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Pre-Mix calibration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Identity card blocking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block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br/>
        <ns0:t xml:space="preserve">- No, no.</ns0:t>
        <ns0:br/>
        <ns0:t>The purpose of this document is to describe the interpretation of requirements by SI teams, and describes the proposed functionality.</ns0:t>
        <ns0:br/>
        <ns0:t xml:space="preserve">- No, no.</ns0:t>
        <ns0:br/>
        <ns0:t>The purpose of this block is as follows:</ns0:t>
        <ns0:br/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Glossary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This section defines the specific term project/system and acronyms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Pre-Mix calibration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OF BLOCK INPUT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Entry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SPECIFICATIONS OF BLOCK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The following sections will describe, in detail,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Blockwork flow</ns0:t>
      </ns0:r>
    </ns0:p>
    <ns0:p>
      <ns0:r>
        <ns0:rPr>
          <ns0:rFonts ns0:ascii="Arial" ns0:hAnsi="Arial"/>
          <ns0:sz ns0:val="20"/>
        </ns0:rPr>
        <ns0:t>The following workflow describes the content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The BF CBF001 has two different activities: to check the grid integrity after calibration and to check the absence of foreign elements in the grid after calibration, which must be marked as conformant (C) or non-conforming (NC).</ns0:t>
            </ns0:r>
          </ns0:p>
        </ns0:tc>
      </ns0:tr>
    </ns0:tbl>
    <ns0:p>
      <ns0:r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Block design description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the grid integrity check after calibration.</ns0:t>
              <ns0:br/>
              <ns0:t>The description "FRM0001" is "Check grid integrity after calibration." Formula type activity with formula: [InteGR "variable" type]</ns0:t>
              <ns0:br/>
              <ns0:br/>
              <ns0:t>2. The system shows the absence of foreign elements in the grid after calibration.</ns0:t>
              <ns0:br/>
              <ns0:t>The description "FRM0002" is "Check the absence of foreign elements in the grid after calibration." Formula type activity with formula: [Type "variable"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