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Operational requirements</ns0:t>
        <ns0:br/>
        <ns0:t xml:space="preserve">Lubrication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Project role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Install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Identification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Details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INTRODUCTION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br/>
        <ns0:t xml:space="preserve">- It's okay.</ns0:t>
        <ns0:br/>
        <ns0:t>The aim of this document is to describe the interpretation of the requirements of the IS teams and describe the proposed functionality.</ns0:t>
        <ns0:br/>
        <ns0:t xml:space="preserve">- It's okay.</ns0:t>
        <ns0:br/>
        <ns0:t>The purpose of this block is to:</ns0:t>
        <ns0:br/>
        <ns0:t xml:space="preserve">- It's okay.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t>This section defines a specific project/system term and abbreviation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Not applicable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IDENTIFY CARD</ns0:t>
      </ns0:r>
    </ns0:p>
    <ns0:p>
      <ns0:r>
        <ns0:t xml:space="preserve">- It's okay.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Model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INSTRUCTIONS</ns0:t>
      </ns0:r>
    </ns0:p>
    <ns0:p>
      <ns0:r>
        <ns0:t xml:space="preserve">- It's okay.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Downloading materials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Take care of Mat#6</ns0:t>
            </ns0:r>
          </ns0:p>
        </ns0:tc>
      </ns0:tr>
      <ns0:tr>
        <ns0:tc>
          <ns0:tcPr>
            <ns0:tcW ns0:type="dxa" ns0:w="2880"/>
          </ns0:tcPr>
          <ns0:p>
            <ns0:r>
              <ns0:t>Instructions for transfer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materials to the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mixer speed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time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start time of mixing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 time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End date of the process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the total preparation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Time estimate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</ns0:t>
      </ns0:r>
    </ns0:p>
    <ns0:p>
      <ns0:r>
        <ns0:t xml:space="preserve">- It's okay.</ns0:t>
      </ns0:r>
    </ns0:p>
    <ns0:p>
      <ns0:r>
        <ns0:rPr>
          <ns0:rFonts ns0:ascii="Arial" ns0:hAnsi="Arial"/>
          <ns0:sz ns0:val="20"/>
        </ns0:rPr>
        <ns0:t>The following sections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National identification No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functions: adding a certain amount of material to the mixer and mixing it for a certain time, combining the amount of matter with the mixing time.</ns0:t>
            </ns0:r>
          </ns0:p>
        </ns0:tc>
      </ns0:tr>
    </ns0:tbl>
    <ns0:p>
      <ns0:r>
        <ns0:t xml:space="preserve">- It's okay.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the design of the block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National identification No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amount of material to be added to the blender.</ns0:t>
              <ns0:br/>
              <ns0:t>The description of "FRM0001" is "Matt#6 : .......................Kg". Formula: [Num "variable" Mat#6]</ns0:t>
              <ns0:br/>
              <ns0:br/>
              <ns0:t>2. The system shows the mixing time.</ns0:t>
              <ns0:br/>
              <ns0:t>The description of "FRM0002" is "Mixing time:....Min". The pattern of action: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