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Calibration before mixing</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Name/Project Role</ns0:t>
            </ns0:r>
          </ns0:p>
        </ns0:tc>
        <ns0:tc>
          <ns0:tcPr>
            <ns0:tcW ns0:type="dxa" ns0:w="4320"/>
          </ns0:tcPr>
          <ns0:p>
            <ns0:pPr>
              <ns0:jc ns0:val="center"/>
            </ns0:pPr>
            <ns0:r>
              <ns0:t>Signature</ns0:t>
            </ns0:r>
          </ns0:p>
        </ns0:tc>
        <ns0:tc>
          <ns0:tcPr>
            <ns0:tcW ns0:type="dxa" ns0:w="4320"/>
          </ns0:tcPr>
          <ns0:p>
            <ns0:pPr>
              <ns0:jc ns0:val="center"/>
            </ns0:pPr>
            <ns0:r>
              <ns0:t>Date</ns0:t>
              <ns0:br/>
              <ns0:t>(dd/mmm/yyyy)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Authorisation</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Table of Contents</ns0:t>
      </ns0:r>
    </ns0:p>
    <ns0:p>
      <ns0:r>
        <ns0:br/>
        <ns0:br/>
      </ns0:r>
    </ns0:p>
    <ns0:p>
      <ns0:pPr>
        <ns0:pStyle ns0:val="TOCHeading"/>
        <ns0:jc ns0:val="left"/>
      </ns0:pPr>
      <ns0:r>
        <ns0:rPr>
          <ns0:rFonts ns0:ascii="Arial Narrow" ns0:hAnsi="Arial Narrow"/>
          <ns0:color ns0:val="64AAE6"/>
          <ns0:sz ns0:val="28"/>
        </ns0:rPr>
        <ns0:t>1. 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identity cards</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Block Detailed Specification</ns0:t>
      </ns0:r>
    </ns0:p>
    <ns0:p>
      <ns0:pPr>
        <ns0:pStyle ns0:val="TOCHeading"/>
        <ns0:ind ns0:left="360"/>
        <ns0:jc ns0:val="left"/>
      </ns0:pPr>
      <ns0:r>
        <ns0:rPr>
          <ns0:rFonts ns0:ascii="Arial Narrow" ns0:hAnsi="Arial Narrow"/>
          <ns0:color ns0:val="64AAE6"/>
          <ns0:sz ns0:val="24"/>
        </ns0:rPr>
        <ns0:t>4.1 Block Workflow</ns0:t>
      </ns0:r>
    </ns0:p>
    <ns0:p>
      <ns0:pPr>
        <ns0:pStyle ns0:val="TOCHeading"/>
        <ns0:ind ns0:left="360"/>
        <ns0:jc ns0:val="left"/>
      </ns0:pPr>
      <ns0:r>
        <ns0:rPr>
          <ns0:rFonts ns0:ascii="Arial Narrow" ns0:hAnsi="Arial Narrow"/>
          <ns0:color ns0:val="64AAE6"/>
          <ns0:sz ns0:val="24"/>
        </ns0:rPr>
        <ns0:t>4.2 Description of block construction</ns0:t>
      </ns0:r>
    </ns0:p>
    <ns0:p>
      <ns0:r>
        <ns0:br ns0:type="page"/>
      </ns0:r>
    </ns0:p>
    <ns0:p>
      <ns0:pPr>
        <ns0:pStyle ns0:val="Heading1"/>
      </ns0:pPr>
      <ns0:r>
        <ns0:rPr>
          <ns0:rFonts ns0:ascii="Arial" ns0:hAnsi="Arial"/>
          <ns0:color ns0:val="000000"/>
          <ns0:sz ns0:val="36"/>
          <ns0:u ns0:val="single"/>
        </ns0:rPr>
        <ns0:t>1. INTRODUCTION</ns0:t>
      </ns0:r>
    </ns0:p>
    <ns0:p>
      <ns0:r>
        <ns0:t xml:space="preserve">- I don't know.</ns0:t>
      </ns0:r>
    </ns0:p>
    <ns0:p>
      <ns0:r>
        <ns0:rPr>
          <ns0:rFonts ns0:ascii="Arial" ns0:hAnsi="Arial"/>
          <ns0:sz ns0:val="20"/>
        </ns0:rPr>
        <ns0:br/>
        <ns0:t xml:space="preserve">- I don't know.</ns0:t>
        <ns0:br/>
        <ns0:t>The purpose of this document is to describe the IS groups' interpretation of the requirements and describe the proposed functionality to be delivered.</ns0:t>
        <ns0:br/>
        <ns0:t xml:space="preserve">- I don't know.</ns0:t>
        <ns0:br/>
        <ns0:t>The purpose of this block is to:</ns0:t>
        <ns0:br/>
        <ns0:t xml:space="preserve">- I don't know.</ns0:t>
      </ns0:r>
    </ns0:p>
    <ns0:p>
      <ns0:pPr>
        <ns0:pStyle ns0:val="Heading3"/>
      </ns0:pPr>
      <ns0:r>
        <ns0:rPr>
          <ns0:rFonts ns0:ascii="Arial" ns0:hAnsi="Arial"/>
          <ns0:color ns0:val="000000"/>
          <ns0:sz ns0:val="24"/>
        </ns0:rPr>
        <ns0:t>1.1 Glossary</ns0:t>
      </ns0:r>
    </ns0:p>
    <ns0:p>
      <ns0:r>
        <ns0:t xml:space="preserve">- I don't know.</ns0:t>
      </ns0:r>
    </ns0:p>
    <ns0:p>
      <ns0:r>
        <ns0:rPr>
          <ns0:rFonts ns0:ascii="Arial" ns0:hAnsi="Arial"/>
          <ns0:sz ns0:val="20"/>
        </ns0:rPr>
        <ns0:t>This section defines specific project/system term and acronym that can be used in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Akronym</ns0:t>
            </ns0:r>
          </ns0:p>
        </ns0:tc>
        <ns0:tc>
          <ns0:tcPr>
            <ns0:tcW ns0:type="dxa" ns0:w="4320"/>
          </ns0:tcPr>
          <ns0:p>
            <ns0:pPr>
              <ns0:jc ns0:val="center"/>
            </ns0:pPr>
            <ns0:r>
              <ns0:rPr>
                <ns0:rFonts ns0:ascii="Arial" ns0:hAnsi="Arial"/>
                <ns0:b/>
                <ns0:color ns0:val="000000"/>
                <ns0:sz ns0:val="20"/>
              </ns0:rPr>
              <ns0:t>For the purposes of this Regulation the following definitions shall apply:</ns0:t>
            </ns0:r>
          </ns0:p>
        </ns0:tc>
      </ns0:tr>
      <ns0:tr>
        <ns0:tc>
          <ns0:tcPr>
            <ns0:tcW ns0:type="dxa" ns0:w="4320"/>
          </ns0:tcPr>
          <ns0:p>
            <ns0:r>
              <ns0:rPr>
                <ns0:rFonts ns0:ascii="Arial" ns0:hAnsi="Arial"/>
                <ns0:color ns0:val="000000"/>
                <ns0:sz ns0:val="20"/>
              </ns0:rPr>
              <ns0:t>Not applicable</ns0:t>
            </ns0:r>
          </ns0:p>
        </ns0:tc>
        <ns0:tc>
          <ns0:tcPr>
            <ns0:tcW ns0:type="dxa" ns0:w="4320"/>
          </ns0:tcPr>
          <ns0:p>
            <ns0:r>
              <ns0:rPr>
                <ns0:rFonts ns0:ascii="Arial" ns0:hAnsi="Arial"/>
                <ns0:color ns0:val="000000"/>
                <ns0:sz ns0:val="20"/>
              </ns0:rPr>
              <ns0:t>Not applicable</ns0:t>
            </ns0:r>
          </ns0:p>
        </ns0:tc>
      </ns0:tr>
    </ns0:tbl>
    <ns0:p>
      <ns0:r>
        <ns0:br/>
        <ns0:br/>
        <ns0:br/>
        <ns0:br/>
        <ns0:br/>
      </ns0:r>
    </ns0:p>
    <ns0:p>
      <ns0:pPr>
        <ns0:pStyle ns0:val="Heading1"/>
      </ns0:pPr>
      <ns0:r>
        <ns0:rPr>
          <ns0:rFonts ns0:ascii="Arial" ns0:hAnsi="Arial"/>
          <ns0:color ns0:val="000000"/>
          <ns0:sz ns0:val="36"/>
          <ns0:u ns0:val="single"/>
        </ns0:rPr>
        <ns0:t>2. BLOCKIDENTITY CARD</ns0:t>
      </ns0:r>
    </ns0:p>
    <ns0:p>
      <ns0:r>
        <ns0:t xml:space="preserve">- I don't know.</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Translation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For vehicles of categories M1 and N1, the following shall apply:</ns0:t>
            </ns0:r>
          </ns0:p>
        </ns0:tc>
        <ns0:tc>
          <ns0:tcPr>
            <ns0:tcW ns0:type="dxa" ns0:w="2880"/>
          </ns0:tcPr>
          <ns0:p>
            <ns0:r>
              <ns0:rPr>
                <ns0:rFonts ns0:ascii="Arial" ns0:hAnsi="Arial"/>
                <ns0:color ns0:val="000000"/>
                <ns0:sz ns0:val="20"/>
              </ns0:rPr>
              <ns0:t>Calibration before mixing</ns0:t>
            </ns0:r>
          </ns0:p>
        </ns0:tc>
      </ns0:tr>
    </ns0:tbl>
    <ns0:p>
      <ns0:r>
        <ns0:br ns0:type="page"/>
      </ns0:r>
    </ns0:p>
    <ns0:p>
      <ns0:pPr>
        <ns0:pStyle ns0:val="Heading1"/>
      </ns0:pPr>
      <ns0:r>
        <ns0:rPr>
          <ns0:rFonts ns0:ascii="Arial" ns0:hAnsi="Arial"/>
          <ns0:color ns0:val="000000"/>
          <ns0:sz ns0:val="36"/>
          <ns0:u ns0:val="single"/>
        </ns0:rPr>
        <ns0:t>3. BLOCK IMPUT VARIABLES</ns0:t>
      </ns0:r>
    </ns0:p>
    <ns0:p>
      <ns0:r>
        <ns0:t xml:space="preserve">- I don't know.</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BLOCK DETAILED SPECIFICATION</ns0:t>
      </ns0:r>
    </ns0:p>
    <ns0:p>
      <ns0:r>
        <ns0:t xml:space="preserve">- I don't know.</ns0:t>
      </ns0:r>
    </ns0:p>
    <ns0:p>
      <ns0:r>
        <ns0:rPr>
          <ns0:rFonts ns0:ascii="Arial" ns0:hAnsi="Arial"/>
          <ns0:sz ns0:val="20"/>
        </ns0:rPr>
        <ns0:t>The following sections describe in detail block usage and configuration.</ns0:t>
      </ns0:r>
    </ns0:p>
    <ns0:p>
      <ns0:pPr>
        <ns0:pStyle ns0:val="Heading3"/>
      </ns0:pPr>
      <ns0:r>
        <ns0:rPr>
          <ns0:rFonts ns0:ascii="Arial" ns0:hAnsi="Arial"/>
          <ns0:color ns0:val="000000"/>
          <ns0:sz ns0:val="24"/>
        </ns0:rPr>
        <ns0:t>4.1 Block Workflow</ns0:t>
      </ns0:r>
    </ns0:p>
    <ns0:p>
      <ns0:r>
        <ns0:rPr>
          <ns0:rFonts ns0:ascii="Arial" ns0:hAnsi="Arial"/>
          <ns0:sz ns0:val="20"/>
        </ns0:rPr>
        <ns0:t>The following workflow describes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For vehicles of categories M1 and N1, the following conditions shall be met:</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number</ns0:t>
            </ns0:r>
          </ns0:p>
        </ns0:tc>
        <ns0:tc>
          <ns0:tcPr>
            <ns0:tcW ns0:type="dxa" ns0:w="4320"/>
          </ns0:tcPr>
          <ns0:p>
            <ns0:pPr>
              <ns0:jc ns0:val="center"/>
            </ns0:pPr>
            <ns0:r>
              <ns0:rPr>
                <ns0:rFonts ns0:ascii="Arial" ns0:hAnsi="Arial"/>
                <ns0:b/>
                <ns0:color ns0:val="000000"/>
                <ns0:sz ns0:val="20"/>
              </ns0:rPr>
              <ns0:t>Working flow description</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BF CBF001 has two different activities: checking the integrity of the grid after calibration and checking the absence of foreign elements on the grid after calibration, both of which shall be marked as compliant (C) or non-compliant (NC).</ns0:t>
            </ns0:r>
          </ns0:p>
        </ns0:tc>
      </ns0:tr>
    </ns0:tbl>
    <ns0:p>
      <ns0:r>
        <ns0:t xml:space="preserve">- I don't know.</ns0:t>
      </ns0:r>
    </ns0:p>
    <ns0:p>
      <ns0:pPr>
        <ns0:pStyle ns0:val="Heading3"/>
      </ns0:pPr>
      <ns0:r>
        <ns0:rPr>
          <ns0:rFonts ns0:ascii="Arial" ns0:hAnsi="Arial"/>
          <ns0:color ns0:val="000000"/>
          <ns0:sz ns0:val="24"/>
        </ns0:rPr>
        <ns0:t>4.2 Description of block construction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number</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1. The system displays the integrity control of the grid after calibration.</ns0:t>
              <ns0:br/>
              <ns0:t>"FRM0001" description is "Check the integrity of the grid after calibration". Formula activity using formula: [Type "variable" INTEGR]</ns0:t>
              <ns0:br/>
              <ns0:br/>
              <ns0:t>2. The system shows the absence of foreign elements on the grid after calibration.</ns0:t>
              <ns0:br/>
              <ns0:t>"FRM0002" description is "Check the absence of foreign elements on the grid after calibration". Formula activity with formula: [Type "variable"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