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功能规格</ns0:t>
        <ns0:br/>
        <ns0:t xml:space="preserve">混合前校校</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名称/ 项目角色</ns0:t>
            </ns0:r>
          </ns0:p>
        </ns0:tc>
        <ns0:tc>
          <ns0:tcPr>
            <ns0:tcW ns0:type="dxa" ns0:w="4320"/>
          </ns0:tcPr>
          <ns0:p>
            <ns0:pPr>
              <ns0:jc ns0:val="center"/>
            </ns0:pPr>
            <ns0:r>
              <ns0:t>签署签署签署</ns0:t>
            </ns0:r>
          </ns0:p>
        </ns0:tc>
        <ns0:tc>
          <ns0:tcPr>
            <ns0:tcW ns0:type="dxa" ns0:w="4320"/>
          </ns0:tcPr>
          <ns0:p>
            <ns0:pPr>
              <ns0:jc ns0:val="center"/>
            </ns0:pPr>
            <ns0:r>
              <ns0:t>日期 日期 日期 日期 日期 日期</ns0:t>
              <ns0:br/>
              <ns0:t>(日/月/年)</ns0:t>
            </ns0:r>
          </ns0:p>
        </ns0:tc>
      </ns0:tr>
      <ns0:tr>
        <ns0:tc>
          <ns0:tcPr>
            <ns0:tcW ns0:type="dxa" ns0:w="4320"/>
          </ns0:tcPr>
          <ns0:p>
            <ns0:r>
              <ns0:t>作者作者作者</ns0:t>
            </ns0:r>
          </ns0:p>
        </ns0:tc>
        <ns0:tc>
          <ns0:tcPr>
            <ns0:tcW ns0:type="dxa" ns0:w="4320"/>
          </ns0:tcPr>
          <ns0:p/>
        </ns0:tc>
        <ns0:tc>
          <ns0:tcPr>
            <ns0:tcW ns0:type="dxa" ns0:w="4320"/>
          </ns0:tcPr>
          <ns0:p/>
        </ns0:tc>
      </ns0:tr>
      <ns0:tr>
        <ns0:tc>
          <ns0:tcPr>
            <ns0:tcW ns0:type="dxa" ns0:w="4320"/>
          </ns0:tcPr>
          <ns0:p>
            <ns0:r>
              <ns0:t>核准者</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目录目录目录</ns0:t>
      </ns0:r>
    </ns0:p>
    <ns0:p>
      <ns0:r>
        <ns0:br/>
        <ns0:br/>
      </ns0:r>
    </ns0:p>
    <ns0:p>
      <ns0:pPr>
        <ns0:pStyle ns0:val="TOCHeading"/>
        <ns0:jc ns0:val="left"/>
      </ns0:pPr>
      <ns0:r>
        <ns0:rPr>
          <ns0:rFonts ns0:ascii="Arial Narrow" ns0:hAnsi="Arial Narrow"/>
          <ns0:color ns0:val="64AAE6"/>
          <ns0:sz ns0:val="28"/>
        </ns0:rPr>
        <ns0:t>1. 导言</ns0:t>
      </ns0:r>
    </ns0:p>
    <ns0:p>
      <ns0:pPr>
        <ns0:pStyle ns0:val="TOCHeading"/>
        <ns0:ind ns0:left="360"/>
        <ns0:jc ns0:val="left"/>
      </ns0:pPr>
      <ns0:r>
        <ns0:rPr>
          <ns0:rFonts ns0:ascii="Arial Narrow" ns0:hAnsi="Arial Narrow"/>
          <ns0:color ns0:val="64AAE6"/>
          <ns0:sz ns0:val="24"/>
        </ns0:rPr>
        <ns0:t>1.1 词汇表</ns0:t>
      </ns0:r>
    </ns0:p>
    <ns0:p>
      <ns0:pPr>
        <ns0:pStyle ns0:val="TOCHeading"/>
        <ns0:jc ns0:val="left"/>
      </ns0:pPr>
      <ns0:r>
        <ns0:rPr>
          <ns0:rFonts ns0:ascii="Arial Narrow" ns0:hAnsi="Arial Narrow"/>
          <ns0:color ns0:val="64AAE6"/>
          <ns0:sz ns0:val="28"/>
        </ns0:rPr>
        <ns0:t>2. 街区身份证</ns0:t>
      </ns0:r>
    </ns0:p>
    <ns0:p>
      <ns0:pPr>
        <ns0:pStyle ns0:val="TOCHeading"/>
        <ns0:jc ns0:val="left"/>
      </ns0:pPr>
      <ns0:r>
        <ns0:rPr>
          <ns0:rFonts ns0:ascii="Arial Narrow" ns0:hAnsi="Arial Narrow"/>
          <ns0:color ns0:val="64AAE6"/>
          <ns0:sz ns0:val="28"/>
        </ns0:rPr>
        <ns0:t>3. 块输入变量</ns0:t>
      </ns0:r>
    </ns0:p>
    <ns0:p>
      <ns0:pPr>
        <ns0:pStyle ns0:val="TOCHeading"/>
        <ns0:jc ns0:val="left"/>
      </ns0:pPr>
      <ns0:r>
        <ns0:rPr>
          <ns0:rFonts ns0:ascii="Arial Narrow" ns0:hAnsi="Arial Narrow"/>
          <ns0:color ns0:val="64AAE6"/>
          <ns0:sz ns0:val="28"/>
        </ns0:rPr>
        <ns0:t>4. 区块详细说明</ns0:t>
      </ns0:r>
    </ns0:p>
    <ns0:p>
      <ns0:pPr>
        <ns0:pStyle ns0:val="TOCHeading"/>
        <ns0:ind ns0:left="360"/>
        <ns0:jc ns0:val="left"/>
      </ns0:pPr>
      <ns0:r>
        <ns0:rPr>
          <ns0:rFonts ns0:ascii="Arial Narrow" ns0:hAnsi="Arial Narrow"/>
          <ns0:color ns0:val="64AAE6"/>
          <ns0:sz ns0:val="24"/>
        </ns0:rPr>
        <ns0:t>4.1 区块工作流程</ns0:t>
      </ns0:r>
    </ns0:p>
    <ns0:p>
      <ns0:pPr>
        <ns0:pStyle ns0:val="TOCHeading"/>
        <ns0:ind ns0:left="360"/>
        <ns0:jc ns0:val="left"/>
      </ns0:pPr>
      <ns0:r>
        <ns0:rPr>
          <ns0:rFonts ns0:ascii="Arial Narrow" ns0:hAnsi="Arial Narrow"/>
          <ns0:color ns0:val="64AAE6"/>
          <ns0:sz ns0:val="24"/>
        </ns0:rPr>
        <ns0:t>4.2 区块设计说明</ns0:t>
      </ns0:r>
    </ns0:p>
    <ns0:p>
      <ns0:r>
        <ns0:br ns0:type="page"/>
      </ns0:r>
    </ns0:p>
    <ns0:p>
      <ns0:pPr>
        <ns0:pStyle ns0:val="Heading1"/>
      </ns0:pPr>
      <ns0:r>
        <ns0:rPr>
          <ns0:rFonts ns0:ascii="Arial" ns0:hAnsi="Arial"/>
          <ns0:color ns0:val="000000"/>
          <ns0:sz ns0:val="36"/>
          <ns0:u ns0:val="single"/>
        </ns0:rPr>
        <ns0:t>1. 导言</ns0:t>
      </ns0:r>
    </ns0:p>
    <ns0:p>
      <ns0:r>
        <ns0:t xml:space="preserve">调</ns0:t>
      </ns0:r>
    </ns0:p>
    <ns0:p>
      <ns0:r>
        <ns0:rPr>
          <ns0:rFonts ns0:ascii="Arial" ns0:hAnsi="Arial"/>
          <ns0:sz ns0:val="20"/>
        </ns0:rPr>
        <ns0:br/>
        <ns0:t xml:space="preserve">调</ns0:t>
        <ns0:br/>
        <ns0:t>本文件的目的是描述IS工作队对需求的解释,并描述拟交付的拟议功能。</ns0:t>
        <ns0:br/>
        <ns0:t xml:space="preserve">调</ns0:t>
        <ns0:br/>
        <ns0:t>本块的目的是:</ns0:t>
        <ns0:br/>
        <ns0:t xml:space="preserve">调</ns0:t>
      </ns0:r>
    </ns0:p>
    <ns0:p>
      <ns0:pPr>
        <ns0:pStyle ns0:val="Heading3"/>
      </ns0:pPr>
      <ns0:r>
        <ns0:rPr>
          <ns0:rFonts ns0:ascii="Arial" ns0:hAnsi="Arial"/>
          <ns0:color ns0:val="000000"/>
          <ns0:sz ns0:val="24"/>
        </ns0:rPr>
        <ns0:t>1.1. 术语汇编</ns0:t>
      </ns0:r>
    </ns0:p>
    <ns0:p>
      <ns0:r>
        <ns0:t xml:space="preserve">调</ns0:t>
      </ns0:r>
    </ns0:p>
    <ns0:p>
      <ns0:r>
        <ns0:rPr>
          <ns0:rFonts ns0:ascii="Arial" ns0:hAnsi="Arial"/>
          <ns0:sz ns0:val="20"/>
        </ns0:rPr>
        <ns0:t>本节界定了可用于本文件的具体项目/系统术语和缩略语。</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学期或简称</ns0:t>
            </ns0:r>
          </ns0:p>
        </ns0:tc>
        <ns0:tc>
          <ns0:tcPr>
            <ns0:tcW ns0:type="dxa" ns0:w="4320"/>
          </ns0:tcPr>
          <ns0:p>
            <ns0:pPr>
              <ns0:jc ns0:val="center"/>
            </ns0:pPr>
            <ns0:r>
              <ns0:rPr>
                <ns0:rFonts ns0:ascii="Arial" ns0:hAnsi="Arial"/>
                <ns0:b/>
                <ns0:color ns0:val="000000"/>
                <ns0:sz ns0:val="20"/>
              </ns0:rPr>
              <ns0:t>定义定义定义定义定义的定义定义定义定义定义的定义定义定义定义定义的定义定义定义定义定义定义的定义</ns0:t>
            </ns0:r>
          </ns0:p>
        </ns0:tc>
      </ns0:tr>
      <ns0:tr>
        <ns0:tc>
          <ns0:tcPr>
            <ns0:tcW ns0:type="dxa" ns0:w="4320"/>
          </ns0:tcPr>
          <ns0:p>
            <ns0:r>
              <ns0:rPr>
                <ns0:rFonts ns0:ascii="Arial" ns0:hAnsi="Arial"/>
                <ns0:color ns0:val="000000"/>
                <ns0:sz ns0:val="20"/>
              </ns0:rPr>
              <ns0:t>不适用/不适用</ns0:t>
            </ns0:r>
          </ns0:p>
        </ns0:tc>
        <ns0:tc>
          <ns0:tcPr>
            <ns0:tcW ns0:type="dxa" ns0:w="4320"/>
          </ns0:tcPr>
          <ns0:p>
            <ns0:r>
              <ns0:rPr>
                <ns0:rFonts ns0:ascii="Arial" ns0:hAnsi="Arial"/>
                <ns0:color ns0:val="000000"/>
                <ns0:sz ns0:val="20"/>
              </ns0:rPr>
              <ns0:t>不适用/不适用</ns0:t>
            </ns0:r>
          </ns0:p>
        </ns0:tc>
      </ns0:tr>
    </ns0:tbl>
    <ns0:p>
      <ns0:r>
        <ns0:br/>
        <ns0:br/>
        <ns0:br/>
        <ns0:br/>
        <ns0:br/>
      </ns0:r>
    </ns0:p>
    <ns0:p>
      <ns0:pPr>
        <ns0:pStyle ns0:val="Heading1"/>
      </ns0:pPr>
      <ns0:r>
        <ns0:rPr>
          <ns0:rFonts ns0:ascii="Arial" ns0:hAnsi="Arial"/>
          <ns0:color ns0:val="000000"/>
          <ns0:sz ns0:val="36"/>
          <ns0:u ns0:val="single"/>
        </ns0:rPr>
        <ns0:t>2. 空白识别标准</ns0:t>
      </ns0:r>
    </ns0:p>
    <ns0:p>
      <ns0:r>
        <ns0:t xml:space="preserve">调</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名称名称名称名称名称</ns0:t>
            </ns0:r>
          </ns0:p>
        </ns0:tc>
        <ns0:tc>
          <ns0:tcPr>
            <ns0:tcW ns0:type="dxa" ns0:w="2880"/>
          </ns0:tcPr>
          <ns0:p>
            <ns0:pPr>
              <ns0:jc ns0:val="center"/>
            </ns0:pPr>
            <ns0:r>
              <ns0:rPr>
                <ns0:rFonts ns0:ascii="Arial" ns0:hAnsi="Arial"/>
                <ns0:b/>
                <ns0:color ns0:val="000000"/>
                <ns0:sz ns0:val="20"/>
              </ns0:rPr>
              <ns0:t>版本版本版本版本</ns0:t>
            </ns0:r>
          </ns0:p>
        </ns0:tc>
        <ns0:tc>
          <ns0:tcPr>
            <ns0:tcW ns0:type="dxa" ns0:w="2880"/>
          </ns0:tcPr>
          <ns0:p>
            <ns0:pPr>
              <ns0:jc ns0:val="center"/>
            </ns0:pPr>
            <ns0:r>
              <ns0:rPr>
                <ns0:rFonts ns0:ascii="Arial" ns0:hAnsi="Arial"/>
                <ns0:b/>
                <ns0:color ns0:val="000000"/>
                <ns0:sz ns0:val="20"/>
              </ns0:rPr>
              <ns0:t>说明说明</ns0:t>
            </ns0:r>
          </ns0:p>
        </ns0:tc>
      </ns0:tr>
      <ns0:tr>
        <ns0:tc>
          <ns0:tcPr>
            <ns0:tcW ns0:type="dxa" ns0:w="2880"/>
          </ns0:tcPr>
          <ns0:p>
            <ns0:r>
              <ns0:rPr>
                <ns0:rFonts ns0:ascii="Arial" ns0:hAnsi="Arial"/>
                <ns0:color ns0:val="000000"/>
                <ns0:sz ns0:val="20"/>
              </ns0:rPr>
              <ns0:t>WQPY WQPY</ns0:t>
            </ns0:r>
          </ns0:p>
        </ns0:tc>
        <ns0:tc>
          <ns0:tcPr>
            <ns0:tcW ns0:type="dxa" ns0:w="2880"/>
          </ns0:tcPr>
          <ns0:p>
            <ns0:r>
              <ns0:rPr>
                <ns0:rFonts ns0:ascii="Arial" ns0:hAnsi="Arial"/>
                <ns0:color ns0:val="000000"/>
                <ns0:sz ns0:val="20"/>
              </ns0:rPr>
              <ns0:t>V1, V1</ns0:t>
            </ns0:r>
          </ns0:p>
        </ns0:tc>
        <ns0:tc>
          <ns0:tcPr>
            <ns0:tcW ns0:type="dxa" ns0:w="2880"/>
          </ns0:tcPr>
          <ns0:p>
            <ns0:r>
              <ns0:rPr>
                <ns0:rFonts ns0:ascii="Arial" ns0:hAnsi="Arial"/>
                <ns0:color ns0:val="000000"/>
                <ns0:sz ns0:val="20"/>
              </ns0:rPr>
              <ns0:t>混合前校校</ns0:t>
            </ns0:r>
          </ns0:p>
        </ns0:tc>
      </ns0:tr>
    </ns0:tbl>
    <ns0:p>
      <ns0:r>
        <ns0:br ns0:type="page"/>
      </ns0:r>
    </ns0:p>
    <ns0:p>
      <ns0:pPr>
        <ns0:pStyle ns0:val="Heading1"/>
      </ns0:pPr>
      <ns0:r>
        <ns0:rPr>
          <ns0:rFonts ns0:ascii="Arial" ns0:hAnsi="Arial"/>
          <ns0:color ns0:val="000000"/>
          <ns0:sz ns0:val="36"/>
          <ns0:u ns0:val="single"/>
        </ns0:rPr>
        <ns0:t>3. 布莱克综合可兑换证券</ns0:t>
      </ns0:r>
    </ns0:p>
    <ns0:p>
      <ns0:r>
        <ns0:t xml:space="preserve">调</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输入变量</ns0:t>
            </ns0:r>
          </ns0:p>
        </ns0:tc>
      </ns0:tr>
      <ns0:tr>
        <ns0:tc>
          <ns0:tcPr>
            <ns0:tcW ns0:type="dxa" ns0:w="2880"/>
          </ns0:tcPr>
          <ns0:p>
            <ns0:pPr>
              <ns0:jc ns0:val="center"/>
            </ns0:pPr>
            <ns0:r>
              <ns0:rPr>
                <ns0:b/>
              </ns0:rPr>
              <ns0:t>变量名称</ns0:t>
            </ns0:r>
          </ns0:p>
        </ns0:tc>
        <ns0:tc>
          <ns0:tcPr>
            <ns0:tcW ns0:type="dxa" ns0:w="2880"/>
          </ns0:tcPr>
          <ns0:p>
            <ns0:pPr>
              <ns0:jc ns0:val="center"/>
            </ns0:pPr>
            <ns0:r>
              <ns0:rPr>
                <ns0:b/>
              </ns0:rPr>
              <ns0:t>数据类型</ns0:t>
            </ns0:r>
          </ns0:p>
        </ns0:tc>
        <ns0:tc>
          <ns0:tcPr>
            <ns0:tcW ns0:type="dxa" ns0:w="2880"/>
          </ns0:tcPr>
          <ns0:p>
            <ns0:pPr>
              <ns0:jc ns0:val="center"/>
            </ns0:pPr>
            <ns0:r>
              <ns0:rPr>
                <ns0:b/>
              </ns0:rPr>
              <ns0:t>说明说明</ns0:t>
            </ns0:r>
          </ns0:p>
        </ns0:tc>
      </ns0:tr>
      <ns0:tr>
        <ns0:tc>
          <ns0:tcPr>
            <ns0:tcW ns0:type="dxa" ns0:w="2880"/>
          </ns0:tcPr>
          <ns0:p>
            <ns0:r/>
          </ns0:p>
        </ns0:tc>
        <ns0:tc>
          <ns0:tcPr>
            <ns0:tcW ns0:type="dxa" ns0:w="2880"/>
          </ns0:tcPr>
          <ns0:p>
            <ns0:r/>
          </ns0:p>
        </ns0:tc>
        <ns0:tc>
          <ns0:tcPr>
            <ns0:tcW ns0:type="dxa" ns0:w="2880"/>
          </ns0:tcPr>
          <ns0:p>
            <ns0:r/>
          </ns0:p>
        </ns0:tc>
      </ns0:tr>
    </ns0:tbl>
    <ns0:p>
      <ns0:r>
        <ns0:br ns0:type="page"/>
      </ns0:r>
    </ns0:p>
    <ns0:p>
      <ns0:pPr>
        <ns0:pStyle ns0:val="Heading1"/>
      </ns0:pPr>
      <ns0:r>
        <ns0:rPr>
          <ns0:rFonts ns0:ascii="Arial" ns0:hAnsi="Arial"/>
          <ns0:color ns0:val="000000"/>
          <ns0:sz ns0:val="28"/>
          <ns0:u ns0:val="single"/>
        </ns0:rPr>
        <ns0:t>4. 封闭式绝密装置</ns0:t>
      </ns0:r>
    </ns0:p>
    <ns0:p>
      <ns0:r>
        <ns0:t xml:space="preserve">调</ns0:t>
      </ns0:r>
    </ns0:p>
    <ns0:p>
      <ns0:r>
        <ns0:rPr>
          <ns0:rFonts ns0:ascii="Arial" ns0:hAnsi="Arial"/>
          <ns0:sz ns0:val="20"/>
        </ns0:rPr>
        <ns0:t>以下各节将详细介绍区块的使用和配置。</ns0:t>
      </ns0:r>
    </ns0:p>
    <ns0:p>
      <ns0:pPr>
        <ns0:pStyle ns0:val="Heading3"/>
      </ns0:pPr>
      <ns0:r>
        <ns0:rPr>
          <ns0:rFonts ns0:ascii="Arial" ns0:hAnsi="Arial"/>
          <ns0:color ns0:val="000000"/>
          <ns0:sz ns0:val="24"/>
        </ns0:rPr>
        <ns0:t>4.1. 工作总流量</ns0:t>
      </ns0:r>
    </ns0:p>
    <ns0:p>
      <ns0:r>
        <ns0:rPr>
          <ns0:rFonts ns0:ascii="Arial" ns0:hAnsi="Arial"/>
          <ns0:sz ns0:val="20"/>
        </ns0:rPr>
        <ns0:t>以下工作流程描述区块的内容:</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re-Mix Calibr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图1 图1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 编号</ns0:t>
            </ns0:r>
          </ns0:p>
        </ns0:tc>
        <ns0:tc>
          <ns0:tcPr>
            <ns0:tcW ns0:type="dxa" ns0:w="4320"/>
          </ns0:tcPr>
          <ns0:p>
            <ns0:pPr>
              <ns0:jc ns0:val="center"/>
            </ns0:pPr>
            <ns0:r>
              <ns0:rPr>
                <ns0:rFonts ns0:ascii="Arial" ns0:hAnsi="Arial"/>
                <ns0:b/>
                <ns0:color ns0:val="000000"/>
                <ns0:sz ns0:val="20"/>
              </ns0:rPr>
              <ns0:t>工作流程说明</ns0:t>
            </ns0:r>
          </ns0:p>
        </ns0:tc>
      </ns0:tr>
      <ns0:tr>
        <ns0:tc>
          <ns0:tcPr>
            <ns0:tcW ns0:type="dxa" ns0:w="4320"/>
          </ns0:tcPr>
          <ns0:p>
            <ns0:r>
              <ns0:rPr>
                <ns0:rFonts ns0:ascii="Arial" ns0:hAnsi="Arial"/>
                <ns0:color ns0:val="000000"/>
                <ns0:sz ns0:val="20"/>
              </ns0:rPr>
              <ns0:t>CBF001 CBF001</ns0:t>
            </ns0:r>
          </ns0:p>
        </ns0:tc>
        <ns0:tc>
          <ns0:tcPr>
            <ns0:tcW ns0:type="dxa" ns0:w="4320"/>
          </ns0:tcPr>
          <ns0:p>
            <ns0:r>
              <ns0:rPr>
                <ns0:rFonts ns0:ascii="Arial" ns0:hAnsi="Arial"/>
                <ns0:color ns0:val="000000"/>
                <ns0:sz ns0:val="20"/>
              </ns0:rPr>
              <ns0:t>BFF CBF001有两种不同的活动:校准后检查网格的完整性,校准后检查网格上没有外国元素,两者均应标为符合(C)或不符合(NC)。</ns0:t>
            </ns0:r>
          </ns0:p>
        </ns0:tc>
      </ns0:tr>
    </ns0:tbl>
    <ns0:p>
      <ns0:r>
        <ns0:t xml:space="preserve">调</ns0:t>
      </ns0:r>
    </ns0:p>
    <ns0:p>
      <ns0:pPr>
        <ns0:pStyle ns0:val="Heading3"/>
      </ns0:pPr>
      <ns0:r>
        <ns0:rPr>
          <ns0:rFonts ns0:ascii="Arial" ns0:hAnsi="Arial"/>
          <ns0:color ns0:val="000000"/>
          <ns0:sz ns0:val="24"/>
        </ns0:rPr>
        <ns0:t>4.2. 区块设计说明</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 编号</ns0:t>
            </ns0:r>
          </ns0:p>
        </ns0:tc>
        <ns0:tc>
          <ns0:tcPr>
            <ns0:tcW ns0:type="dxa" ns0:w="4320"/>
          </ns0:tcPr>
          <ns0:p>
            <ns0:pPr>
              <ns0:jc ns0:val="center"/>
            </ns0:pPr>
            <ns0:r>
              <ns0:rPr>
                <ns0:rFonts ns0:ascii="Arial" ns0:hAnsi="Arial"/>
                <ns0:b/>
                <ns0:color ns0:val="000000"/>
                <ns0:sz ns0:val="20"/>
              </ns0:rPr>
              <ns0:t>详细说明详细说明</ns0:t>
            </ns0:r>
          </ns0:p>
        </ns0:tc>
      </ns0:tr>
      <ns0:tr>
        <ns0:tc>
          <ns0:tcPr>
            <ns0:tcW ns0:type="dxa" ns0:w="4320"/>
          </ns0:tcPr>
          <ns0:p>
            <ns0:r>
              <ns0:rPr>
                <ns0:rFonts ns0:ascii="Arial" ns0:hAnsi="Arial"/>
                <ns0:color ns0:val="000000"/>
                <ns0:sz ns0:val="20"/>
              </ns0:rPr>
              <ns0:t>CBF001 CBF001</ns0:t>
            </ns0:r>
          </ns0:p>
        </ns0:tc>
        <ns0:tc>
          <ns0:tcPr>
            <ns0:tcW ns0:type="dxa" ns0:w="4320"/>
          </ns0:tcPr>
          <ns0:p>
            <ns0:r>
              <ns0:rPr>
                <ns0:rFonts ns0:ascii="Arial" ns0:hAnsi="Arial"/>
                <ns0:color ns0:val="000000"/>
                <ns0:sz ns0:val="20"/>
              </ns0:rPr>
              <ns0:t>1. 系统显示校准后电网的完整性检查。</ns0:t>
              <ns0:br/>
              <ns0:t>“FRM0001”描述是“检查校准后电网的完整性”。公式型活动:[“可变”INTEGR]</ns0:t>
              <ns0:br/>
              <ns0:br/>
              <ns0:t>2. 系统显示校准后网格上外国元素的缺勤检查。</ns0:t>
              <ns0:br/>
              <ns0:t>“FRM0002”的描述是“检查校准后网格上不存在外国元素”。</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