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ns0:body>
    <ns0:p>
      <ns0:pPr>
        <ns0:jc ns0:val="center"/>
      </ns0:pPr>
      <ns0:r>
        <ns0:rPr>
          <ns0:sz ns0:val="56"/>
        </ns0:rPr>
        <ns0:br/>
        <ns0:br/>
        <ns0:br/>
        <ns0:t xml:space="preserve">功能规格</ns0:t>
        <ns0:br/>
        <ns0:t xml:space="preserve">润滑</ns0:t>
        <ns0:br/>
      </ns0:r>
    </ns0:p>
    <ns0:p>
      <ns0:r>
        <ns0:br/>
        <ns0:br/>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4320"/>
          </ns0:tcPr>
          <ns0:p>
            <ns0:pPr>
              <ns0:jc ns0:val="center"/>
            </ns0:pPr>
            <ns0:r>
              <ns0:t>名称/ 项目角色</ns0:t>
            </ns0:r>
          </ns0:p>
        </ns0:tc>
        <ns0:tc>
          <ns0:tcPr>
            <ns0:tcW ns0:type="dxa" ns0:w="4320"/>
          </ns0:tcPr>
          <ns0:p>
            <ns0:pPr>
              <ns0:jc ns0:val="center"/>
            </ns0:pPr>
            <ns0:r>
              <ns0:t>签署签署签署</ns0:t>
            </ns0:r>
          </ns0:p>
        </ns0:tc>
        <ns0:tc>
          <ns0:tcPr>
            <ns0:tcW ns0:type="dxa" ns0:w="4320"/>
          </ns0:tcPr>
          <ns0:p>
            <ns0:pPr>
              <ns0:jc ns0:val="center"/>
            </ns0:pPr>
            <ns0:r>
              <ns0:t>日期 日期 日期 日期 日期 日期</ns0:t>
              <ns0:br/>
              <ns0:t>(日/月/年)</ns0:t>
            </ns0:r>
          </ns0:p>
        </ns0:tc>
      </ns0:tr>
      <ns0:tr>
        <ns0:tc>
          <ns0:tcPr>
            <ns0:tcW ns0:type="dxa" ns0:w="4320"/>
          </ns0:tcPr>
          <ns0:p>
            <ns0:r>
              <ns0:t>作者作者作者</ns0:t>
            </ns0:r>
          </ns0:p>
        </ns0:tc>
        <ns0:tc>
          <ns0:tcPr>
            <ns0:tcW ns0:type="dxa" ns0:w="4320"/>
          </ns0:tcPr>
          <ns0:p/>
        </ns0:tc>
        <ns0:tc>
          <ns0:tcPr>
            <ns0:tcW ns0:type="dxa" ns0:w="4320"/>
          </ns0:tcPr>
          <ns0:p/>
        </ns0:tc>
      </ns0:tr>
      <ns0:tr>
        <ns0:tc>
          <ns0:tcPr>
            <ns0:tcW ns0:type="dxa" ns0:w="4320"/>
          </ns0:tcPr>
          <ns0:p>
            <ns0:r>
              <ns0:t>核准者</ns0:t>
            </ns0:r>
          </ns0:p>
        </ns0:tc>
        <ns0:tc>
          <ns0:tcPr>
            <ns0:tcW ns0:type="dxa" ns0:w="4320"/>
          </ns0:tcPr>
          <ns0:p/>
        </ns0:tc>
        <ns0:tc>
          <ns0:tcPr>
            <ns0:tcW ns0:type="dxa" ns0:w="4320"/>
          </ns0:tcPr>
          <ns0:p/>
        </ns0:tc>
      </ns0:tr>
    </ns0:tbl>
    <ns0:p>
      <ns0:r>
        <ns0:br ns0:type="page"/>
      </ns0:r>
    </ns0:p>
    <ns0:p>
      <ns0:pPr>
        <ns0:pStyle ns0:val="Heading1"/>
      </ns0:pPr>
      <ns0:r>
        <ns0:rPr>
          <ns0:rFonts ns0:ascii="Cambria (Body)" ns0:hAnsi="Cambria (Body)"/>
          <ns0:color ns0:val="000000"/>
          <ns0:sz ns0:val="36"/>
        </ns0:rPr>
        <ns0:t>目录目录目录</ns0:t>
      </ns0:r>
    </ns0:p>
    <ns0:p>
      <ns0:r>
        <ns0:br/>
        <ns0:br/>
      </ns0:r>
    </ns0:p>
    <ns0:p>
      <ns0:pPr>
        <ns0:pStyle ns0:val="TOCHeading"/>
        <ns0:jc ns0:val="left"/>
      </ns0:pPr>
      <ns0:r>
        <ns0:rPr>
          <ns0:rFonts ns0:ascii="Arial Narrow" ns0:hAnsi="Arial Narrow"/>
          <ns0:color ns0:val="64AAE6"/>
          <ns0:sz ns0:val="28"/>
        </ns0:rPr>
        <ns0:t>1. 导言</ns0:t>
      </ns0:r>
    </ns0:p>
    <ns0:p>
      <ns0:pPr>
        <ns0:pStyle ns0:val="TOCHeading"/>
        <ns0:ind ns0:left="360"/>
        <ns0:jc ns0:val="left"/>
      </ns0:pPr>
      <ns0:r>
        <ns0:rPr>
          <ns0:rFonts ns0:ascii="Arial Narrow" ns0:hAnsi="Arial Narrow"/>
          <ns0:color ns0:val="64AAE6"/>
          <ns0:sz ns0:val="24"/>
        </ns0:rPr>
        <ns0:t>1.1 词汇表</ns0:t>
      </ns0:r>
    </ns0:p>
    <ns0:p>
      <ns0:pPr>
        <ns0:pStyle ns0:val="TOCHeading"/>
        <ns0:jc ns0:val="left"/>
      </ns0:pPr>
      <ns0:r>
        <ns0:rPr>
          <ns0:rFonts ns0:ascii="Arial Narrow" ns0:hAnsi="Arial Narrow"/>
          <ns0:color ns0:val="64AAE6"/>
          <ns0:sz ns0:val="28"/>
        </ns0:rPr>
        <ns0:t>2. 街区身份证</ns0:t>
      </ns0:r>
    </ns0:p>
    <ns0:p>
      <ns0:pPr>
        <ns0:pStyle ns0:val="TOCHeading"/>
        <ns0:jc ns0:val="left"/>
      </ns0:pPr>
      <ns0:r>
        <ns0:rPr>
          <ns0:rFonts ns0:ascii="Arial Narrow" ns0:hAnsi="Arial Narrow"/>
          <ns0:color ns0:val="64AAE6"/>
          <ns0:sz ns0:val="28"/>
        </ns0:rPr>
        <ns0:t>3. 块输入变量</ns0:t>
      </ns0:r>
    </ns0:p>
    <ns0:p>
      <ns0:pPr>
        <ns0:pStyle ns0:val="TOCHeading"/>
        <ns0:jc ns0:val="left"/>
      </ns0:pPr>
      <ns0:r>
        <ns0:rPr>
          <ns0:rFonts ns0:ascii="Arial Narrow" ns0:hAnsi="Arial Narrow"/>
          <ns0:color ns0:val="64AAE6"/>
          <ns0:sz ns0:val="28"/>
        </ns0:rPr>
        <ns0:t>4. 区块详细说明</ns0:t>
      </ns0:r>
    </ns0:p>
    <ns0:p>
      <ns0:pPr>
        <ns0:pStyle ns0:val="TOCHeading"/>
        <ns0:ind ns0:left="360"/>
        <ns0:jc ns0:val="left"/>
      </ns0:pPr>
      <ns0:r>
        <ns0:rPr>
          <ns0:rFonts ns0:ascii="Arial Narrow" ns0:hAnsi="Arial Narrow"/>
          <ns0:color ns0:val="64AAE6"/>
          <ns0:sz ns0:val="24"/>
        </ns0:rPr>
        <ns0:t>4.1 区块工作流程</ns0:t>
      </ns0:r>
    </ns0:p>
    <ns0:p>
      <ns0:pPr>
        <ns0:pStyle ns0:val="TOCHeading"/>
        <ns0:ind ns0:left="360"/>
        <ns0:jc ns0:val="left"/>
      </ns0:pPr>
      <ns0:r>
        <ns0:rPr>
          <ns0:rFonts ns0:ascii="Arial Narrow" ns0:hAnsi="Arial Narrow"/>
          <ns0:color ns0:val="64AAE6"/>
          <ns0:sz ns0:val="24"/>
        </ns0:rPr>
        <ns0:t>4.2 区块设计说明</ns0:t>
      </ns0:r>
    </ns0:p>
    <ns0:p>
      <ns0:r>
        <ns0:br ns0:type="page"/>
      </ns0:r>
    </ns0:p>
    <ns0:p>
      <ns0:pPr>
        <ns0:pStyle ns0:val="Heading1"/>
      </ns0:pPr>
      <ns0:r>
        <ns0:rPr>
          <ns0:rFonts ns0:ascii="Arial" ns0:hAnsi="Arial"/>
          <ns0:color ns0:val="000000"/>
          <ns0:sz ns0:val="36"/>
          <ns0:u ns0:val="single"/>
        </ns0:rPr>
        <ns0:t>1. 导言</ns0:t>
      </ns0:r>
    </ns0:p>
    <ns0:p>
      <ns0:r>
        <ns0:t xml:space="preserve">调</ns0:t>
      </ns0:r>
    </ns0:p>
    <ns0:p>
      <ns0:r>
        <ns0:rPr>
          <ns0:rFonts ns0:ascii="Arial" ns0:hAnsi="Arial"/>
          <ns0:sz ns0:val="20"/>
        </ns0:rPr>
        <ns0:br/>
        <ns0:t xml:space="preserve">调</ns0:t>
        <ns0:br/>
        <ns0:t>本文件的目的是描述IS工作队对需求的解释,并描述拟交付的拟议功能。</ns0:t>
        <ns0:br/>
        <ns0:t xml:space="preserve">调</ns0:t>
        <ns0:br/>
        <ns0:t>本块的目的是:</ns0:t>
        <ns0:br/>
        <ns0:t xml:space="preserve">调</ns0:t>
      </ns0:r>
    </ns0:p>
    <ns0:p>
      <ns0:pPr>
        <ns0:pStyle ns0:val="Heading3"/>
      </ns0:pPr>
      <ns0:r>
        <ns0:rPr>
          <ns0:rFonts ns0:ascii="Arial" ns0:hAnsi="Arial"/>
          <ns0:color ns0:val="000000"/>
          <ns0:sz ns0:val="24"/>
        </ns0:rPr>
        <ns0:t>1.1. 术语汇编</ns0:t>
      </ns0:r>
    </ns0:p>
    <ns0:p>
      <ns0:r>
        <ns0:t xml:space="preserve">调</ns0:t>
      </ns0:r>
    </ns0:p>
    <ns0:p>
      <ns0:r>
        <ns0:rPr>
          <ns0:rFonts ns0:ascii="Arial" ns0:hAnsi="Arial"/>
          <ns0:sz ns0:val="20"/>
        </ns0:rPr>
        <ns0:t>本节界定了可用于本文件的具体项目/系统术语和缩略语。</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学期或简称</ns0:t>
            </ns0:r>
          </ns0:p>
        </ns0:tc>
        <ns0:tc>
          <ns0:tcPr>
            <ns0:tcW ns0:type="dxa" ns0:w="4320"/>
          </ns0:tcPr>
          <ns0:p>
            <ns0:pPr>
              <ns0:jc ns0:val="center"/>
            </ns0:pPr>
            <ns0:r>
              <ns0:rPr>
                <ns0:rFonts ns0:ascii="Arial" ns0:hAnsi="Arial"/>
                <ns0:b/>
                <ns0:color ns0:val="000000"/>
                <ns0:sz ns0:val="20"/>
              </ns0:rPr>
              <ns0:t>定义定义定义定义定义的定义定义定义定义定义的定义定义定义定义定义的定义定义定义定义定义定义的定义</ns0:t>
            </ns0:r>
          </ns0:p>
        </ns0:tc>
      </ns0:tr>
      <ns0:tr>
        <ns0:tc>
          <ns0:tcPr>
            <ns0:tcW ns0:type="dxa" ns0:w="4320"/>
          </ns0:tcPr>
          <ns0:p>
            <ns0:r>
              <ns0:rPr>
                <ns0:rFonts ns0:ascii="Arial" ns0:hAnsi="Arial"/>
                <ns0:color ns0:val="000000"/>
                <ns0:sz ns0:val="20"/>
              </ns0:rPr>
              <ns0:t>不适用/不适用</ns0:t>
            </ns0:r>
          </ns0:p>
        </ns0:tc>
        <ns0:tc>
          <ns0:tcPr>
            <ns0:tcW ns0:type="dxa" ns0:w="4320"/>
          </ns0:tcPr>
          <ns0:p>
            <ns0:r>
              <ns0:rPr>
                <ns0:rFonts ns0:ascii="Arial" ns0:hAnsi="Arial"/>
                <ns0:color ns0:val="000000"/>
                <ns0:sz ns0:val="20"/>
              </ns0:rPr>
              <ns0:t>不适用/不适用</ns0:t>
            </ns0:r>
          </ns0:p>
        </ns0:tc>
      </ns0:tr>
    </ns0:tbl>
    <ns0:p>
      <ns0:r>
        <ns0:br/>
        <ns0:br/>
        <ns0:br/>
        <ns0:br/>
        <ns0:br/>
      </ns0:r>
    </ns0:p>
    <ns0:p>
      <ns0:pPr>
        <ns0:pStyle ns0:val="Heading1"/>
      </ns0:pPr>
      <ns0:r>
        <ns0:rPr>
          <ns0:rFonts ns0:ascii="Arial" ns0:hAnsi="Arial"/>
          <ns0:color ns0:val="000000"/>
          <ns0:sz ns0:val="36"/>
          <ns0:u ns0:val="single"/>
        </ns0:rPr>
        <ns0:t>2. 空白识别标准</ns0:t>
      </ns0:r>
    </ns0:p>
    <ns0:p>
      <ns0:r>
        <ns0:t xml:space="preserve">调</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2880"/>
          </ns0:tcPr>
          <ns0:p>
            <ns0:pPr>
              <ns0:jc ns0:val="center"/>
            </ns0:pPr>
            <ns0:r>
              <ns0:rPr>
                <ns0:rFonts ns0:ascii="Arial" ns0:hAnsi="Arial"/>
                <ns0:b/>
                <ns0:color ns0:val="000000"/>
                <ns0:sz ns0:val="20"/>
              </ns0:rPr>
              <ns0:t>名称名称名称名称名称</ns0:t>
            </ns0:r>
          </ns0:p>
        </ns0:tc>
        <ns0:tc>
          <ns0:tcPr>
            <ns0:tcW ns0:type="dxa" ns0:w="2880"/>
          </ns0:tcPr>
          <ns0:p>
            <ns0:pPr>
              <ns0:jc ns0:val="center"/>
            </ns0:pPr>
            <ns0:r>
              <ns0:rPr>
                <ns0:rFonts ns0:ascii="Arial" ns0:hAnsi="Arial"/>
                <ns0:b/>
                <ns0:color ns0:val="000000"/>
                <ns0:sz ns0:val="20"/>
              </ns0:rPr>
              <ns0:t>版本版本版本版本</ns0:t>
            </ns0:r>
          </ns0:p>
        </ns0:tc>
        <ns0:tc>
          <ns0:tcPr>
            <ns0:tcW ns0:type="dxa" ns0:w="2880"/>
          </ns0:tcPr>
          <ns0:p>
            <ns0:pPr>
              <ns0:jc ns0:val="center"/>
            </ns0:pPr>
            <ns0:r>
              <ns0:rPr>
                <ns0:rFonts ns0:ascii="Arial" ns0:hAnsi="Arial"/>
                <ns0:b/>
                <ns0:color ns0:val="000000"/>
                <ns0:sz ns0:val="20"/>
              </ns0:rPr>
              <ns0:t>说明说明</ns0:t>
            </ns0:r>
          </ns0:p>
        </ns0:tc>
      </ns0:tr>
      <ns0:tr>
        <ns0:tc>
          <ns0:tcPr>
            <ns0:tcW ns0:type="dxa" ns0:w="2880"/>
          </ns0:tcPr>
          <ns0:p>
            <ns0:r>
              <ns0:rPr>
                <ns0:rFonts ns0:ascii="Arial" ns0:hAnsi="Arial"/>
                <ns0:color ns0:val="000000"/>
                <ns0:sz ns0:val="20"/>
              </ns0:rPr>
              <ns0:t>SZWK( SZWK)</ns0:t>
            </ns0:r>
          </ns0:p>
        </ns0:tc>
        <ns0:tc>
          <ns0:tcPr>
            <ns0:tcW ns0:type="dxa" ns0:w="2880"/>
          </ns0:tcPr>
          <ns0:p>
            <ns0:r>
              <ns0:rPr>
                <ns0:rFonts ns0:ascii="Arial" ns0:hAnsi="Arial"/>
                <ns0:color ns0:val="000000"/>
                <ns0:sz ns0:val="20"/>
              </ns0:rPr>
              <ns0:t>V1, V1</ns0:t>
            </ns0:r>
          </ns0:p>
        </ns0:tc>
        <ns0:tc>
          <ns0:tcPr>
            <ns0:tcW ns0:type="dxa" ns0:w="2880"/>
          </ns0:tcPr>
          <ns0:p>
            <ns0:r>
              <ns0:rPr>
                <ns0:rFonts ns0:ascii="Arial" ns0:hAnsi="Arial"/>
                <ns0:color ns0:val="000000"/>
                <ns0:sz ns0:val="20"/>
              </ns0:rPr>
              <ns0:t>润滑</ns0:t>
            </ns0:r>
          </ns0:p>
        </ns0:tc>
      </ns0:tr>
    </ns0:tbl>
    <ns0:p>
      <ns0:r>
        <ns0:br ns0:type="page"/>
      </ns0:r>
    </ns0:p>
    <ns0:p>
      <ns0:pPr>
        <ns0:pStyle ns0:val="Heading1"/>
      </ns0:pPr>
      <ns0:r>
        <ns0:rPr>
          <ns0:rFonts ns0:ascii="Arial" ns0:hAnsi="Arial"/>
          <ns0:color ns0:val="000000"/>
          <ns0:sz ns0:val="36"/>
          <ns0:u ns0:val="single"/>
        </ns0:rPr>
        <ns0:t>3. 布莱克综合可兑换证券</ns0:t>
      </ns0:r>
    </ns0:p>
    <ns0:p>
      <ns0:r>
        <ns0:t xml:space="preserve">调</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8640"/>
            <ns0:gridSpan ns0:val="3"/>
          </ns0:tcPr>
          <ns0:p>
            <ns0:pPr>
              <ns0:jc ns0:val="center"/>
            </ns0:pPr>
            <ns0:r>
              <ns0:rPr>
                <ns0:b/>
              </ns0:rPr>
              <ns0:t>输入变量</ns0:t>
            </ns0:r>
          </ns0:p>
        </ns0:tc>
      </ns0:tr>
      <ns0:tr>
        <ns0:tc>
          <ns0:tcPr>
            <ns0:tcW ns0:type="dxa" ns0:w="2880"/>
          </ns0:tcPr>
          <ns0:p>
            <ns0:pPr>
              <ns0:jc ns0:val="center"/>
            </ns0:pPr>
            <ns0:r>
              <ns0:rPr>
                <ns0:b/>
              </ns0:rPr>
              <ns0:t>变量名称</ns0:t>
            </ns0:r>
          </ns0:p>
        </ns0:tc>
        <ns0:tc>
          <ns0:tcPr>
            <ns0:tcW ns0:type="dxa" ns0:w="2880"/>
          </ns0:tcPr>
          <ns0:p>
            <ns0:pPr>
              <ns0:jc ns0:val="center"/>
            </ns0:pPr>
            <ns0:r>
              <ns0:rPr>
                <ns0:b/>
              </ns0:rPr>
              <ns0:t>数据类型</ns0:t>
            </ns0:r>
          </ns0:p>
        </ns0:tc>
        <ns0:tc>
          <ns0:tcPr>
            <ns0:tcW ns0:type="dxa" ns0:w="2880"/>
          </ns0:tcPr>
          <ns0:p>
            <ns0:pPr>
              <ns0:jc ns0:val="center"/>
            </ns0:pPr>
            <ns0:r>
              <ns0:rPr>
                <ns0:b/>
              </ns0:rPr>
              <ns0:t>说明说明</ns0:t>
            </ns0:r>
          </ns0:p>
        </ns0:tc>
      </ns0:tr>
      <ns0:tr>
        <ns0:tc>
          <ns0:tcPr>
            <ns0:tcW ns0:type="dxa" ns0:w="2880"/>
          </ns0:tcPr>
          <ns0:p>
            <ns0:r>
              <ns0:t>材料取出</ns0:t>
            </ns0:r>
          </ns0:p>
        </ns0:tc>
        <ns0:tc>
          <ns0:tcPr>
            <ns0:tcW ns0:type="dxa" ns0:w="2880"/>
          </ns0:tcPr>
          <ns0:p>
            <ns0:r>
              <ns0:t>内核</ns0:t>
            </ns0:r>
          </ns0:p>
        </ns0:tc>
        <ns0:tc>
          <ns0:tcPr>
            <ns0:tcW ns0:type="dxa" ns0:w="2880"/>
          </ns0:tcPr>
          <ns0:p>
            <ns0:r>
              <ns0:t>干掉马特6号</ns0:t>
            </ns0:r>
          </ns0:p>
        </ns0:tc>
      </ns0:tr>
      <ns0:tr>
        <ns0:tc>
          <ns0:tcPr>
            <ns0:tcW ns0:type="dxa" ns0:w="2880"/>
          </ns0:tcPr>
          <ns0:p>
            <ns0:r>
              <ns0:t>转让说明 t</ns0:t>
            </ns0:r>
          </ns0:p>
        </ns0:tc>
        <ns0:tc>
          <ns0:tcPr>
            <ns0:tcW ns0:type="dxa" ns0:w="2880"/>
          </ns0:tcPr>
          <ns0:p>
            <ns0:r>
              <ns0:t>文字文字文字文字文字</ns0:t>
            </ns0:r>
          </ns0:p>
        </ns0:tc>
        <ns0:tc>
          <ns0:tcPr>
            <ns0:tcW ns0:type="dxa" ns0:w="2880"/>
          </ns0:tcPr>
          <ns0:p>
            <ns0:r>
              <ns0:t>将材料传输到混音器</ns0:t>
            </ns0:r>
          </ns0:p>
        </ns0:tc>
      </ns0:tr>
      <ns0:tr>
        <ns0:tc>
          <ns0:tcPr>
            <ns0:tcW ns0:type="dxa" ns0:w="2880"/>
          </ns0:tcPr>
          <ns0:p>
            <ns0:r>
              <ns0:t>记录混音器速度</ns0:t>
            </ns0:r>
          </ns0:p>
        </ns0:tc>
        <ns0:tc>
          <ns0:tcPr>
            <ns0:tcW ns0:type="dxa" ns0:w="2880"/>
          </ns0:tcPr>
          <ns0:p>
            <ns0:r>
              <ns0:t>内核</ns0:t>
            </ns0:r>
          </ns0:p>
        </ns0:tc>
        <ns0:tc>
          <ns0:tcPr>
            <ns0:tcW ns0:type="dxa" ns0:w="2880"/>
          </ns0:tcPr>
          <ns0:p>
            <ns0:r>
              <ns0:t>混混速度</ns0:t>
            </ns0:r>
          </ns0:p>
        </ns0:tc>
      </ns0:tr>
      <ns0:tr>
        <ns0:tc>
          <ns0:tcPr>
            <ns0:tcW ns0:type="dxa" ns0:w="2880"/>
          </ns0:tcPr>
          <ns0:p>
            <ns0:r>
              <ns0:t>记录混合时间</ns0:t>
            </ns0:r>
          </ns0:p>
        </ns0:tc>
        <ns0:tc>
          <ns0:tcPr>
            <ns0:tcW ns0:type="dxa" ns0:w="2880"/>
          </ns0:tcPr>
          <ns0:p>
            <ns0:r>
              <ns0:t>内核</ns0:t>
            </ns0:r>
          </ns0:p>
        </ns0:tc>
        <ns0:tc>
          <ns0:tcPr>
            <ns0:tcW ns0:type="dxa" ns0:w="2880"/>
          </ns0:tcPr>
          <ns0:p>
            <ns0:r>
              <ns0:t>混混时间</ns0:t>
            </ns0:r>
          </ns0:p>
        </ns0:tc>
      </ns0:tr>
      <ns0:tr>
        <ns0:tc>
          <ns0:tcPr>
            <ns0:tcW ns0:type="dxa" ns0:w="2880"/>
          </ns0:tcPr>
          <ns0:p>
            <ns0:r>
              <ns0:t>记录混合开始时间</ns0:t>
            </ns0:r>
          </ns0:p>
        </ns0:tc>
        <ns0:tc>
          <ns0:tcPr>
            <ns0:tcW ns0:type="dxa" ns0:w="2880"/>
          </ns0:tcPr>
          <ns0:p>
            <ns0:r>
              <ns0:t>时间 时间 时间 时间 时间 时间 时间</ns0:t>
            </ns0:r>
          </ns0:p>
        </ns0:tc>
        <ns0:tc>
          <ns0:tcPr>
            <ns0:tcW ns0:type="dxa" ns0:w="2880"/>
          </ns0:tcPr>
          <ns0:p>
            <ns0:r>
              <ns0:t>进程的时间</ns0:t>
            </ns0:r>
          </ns0:p>
        </ns0:tc>
      </ns0:tr>
      <ns0:tr>
        <ns0:tc>
          <ns0:tcPr>
            <ns0:tcW ns0:type="dxa" ns0:w="2880"/>
          </ns0:tcPr>
          <ns0:p>
            <ns0:r>
              <ns0:t>记录混合结束时间</ns0:t>
            </ns0:r>
          </ns0:p>
        </ns0:tc>
        <ns0:tc>
          <ns0:tcPr>
            <ns0:tcW ns0:type="dxa" ns0:w="2880"/>
          </ns0:tcPr>
          <ns0:p>
            <ns0:r>
              <ns0:t>时间 时间 时间 时间 时间 时间 时间</ns0:t>
            </ns0:r>
          </ns0:p>
        </ns0:tc>
        <ns0:tc>
          <ns0:tcPr>
            <ns0:tcW ns0:type="dxa" ns0:w="2880"/>
          </ns0:tcPr>
          <ns0:p>
            <ns0:r>
              <ns0:t>进程结束时间</ns0:t>
            </ns0:r>
          </ns0:p>
        </ns0:tc>
      </ns0:tr>
      <ns0:tr>
        <ns0:tc>
          <ns0:tcPr>
            <ns0:tcW ns0:type="dxa" ns0:w="2880"/>
          </ns0:tcPr>
          <ns0:p>
            <ns0:r>
              <ns0:t>总准备量的自动计算</ns0:t>
            </ns0:r>
          </ns0:p>
        </ns0:tc>
        <ns0:tc>
          <ns0:tcPr>
            <ns0:tcW ns0:type="dxa" ns0:w="2880"/>
          </ns0:tcPr>
          <ns0:p>
            <ns0:r>
              <ns0:t>内核</ns0:t>
            </ns0:r>
          </ns0:p>
        </ns0:tc>
        <ns0:tc>
          <ns0:tcPr>
            <ns0:tcW ns0:type="dxa" ns0:w="2880"/>
          </ns0:tcPr>
          <ns0:p>
            <ns0:r>
              <ns0:t>时间评价</ns0:t>
            </ns0:r>
          </ns0:p>
        </ns0:tc>
      </ns0:tr>
    </ns0:tbl>
    <ns0:p>
      <ns0:r>
        <ns0:br ns0:type="page"/>
      </ns0:r>
    </ns0:p>
    <ns0:p>
      <ns0:pPr>
        <ns0:pStyle ns0:val="Heading1"/>
      </ns0:pPr>
      <ns0:r>
        <ns0:rPr>
          <ns0:rFonts ns0:ascii="Arial" ns0:hAnsi="Arial"/>
          <ns0:color ns0:val="000000"/>
          <ns0:sz ns0:val="28"/>
          <ns0:u ns0:val="single"/>
        </ns0:rPr>
        <ns0:t>4. 封闭式绝密装置</ns0:t>
      </ns0:r>
    </ns0:p>
    <ns0:p>
      <ns0:r>
        <ns0:t xml:space="preserve">调</ns0:t>
      </ns0:r>
    </ns0:p>
    <ns0:p>
      <ns0:r>
        <ns0:rPr>
          <ns0:rFonts ns0:ascii="Arial" ns0:hAnsi="Arial"/>
          <ns0:sz ns0:val="20"/>
        </ns0:rPr>
        <ns0:t>以下各节将详细介绍区块的使用和配置。</ns0:t>
      </ns0:r>
    </ns0:p>
    <ns0:p>
      <ns0:pPr>
        <ns0:pStyle ns0:val="Heading3"/>
      </ns0:pPr>
      <ns0:r>
        <ns0:rPr>
          <ns0:rFonts ns0:ascii="Arial" ns0:hAnsi="Arial"/>
          <ns0:color ns0:val="000000"/>
          <ns0:sz ns0:val="24"/>
        </ns0:rPr>
        <ns0:t>4.1. 工作总流量</ns0:t>
      </ns0:r>
    </ns0:p>
    <ns0:p>
      <ns0:r>
        <ns0:rPr>
          <ns0:rFonts ns0:ascii="Arial" ns0:hAnsi="Arial"/>
          <ns0:sz ns0:val="20"/>
        </ns0:rPr>
        <ns0:t>以下工作流程描述区块的内容:</ns0:t>
      </ns0:r>
    </ns0:p>
    <ns0:p>
      <ns0:pPr>
        <ns0:jc ns0:val="center"/>
      </ns0:pPr>
      <ns0:r>
        <ns0:drawing>
          <ns2:inline>
            <ns2:extent cx="2743200" cy="4297680"/>
            <ns2:docPr id="1" name="Picture 1"/>
            <ns2:cNvGraphicFramePr>
              <ns3:graphicFrameLocks noChangeAspect="1"/>
            </ns2:cNvGraphicFramePr>
            <ns3:graphic>
              <ns3:graphicData uri="http://schemas.openxmlformats.org/drawingml/2006/picture">
                <ns4:pic>
                  <ns4:nvPicPr>
                    <ns4:cNvPr id="0" name="Lubrication.png"/>
                    <ns4:cNvPicPr/>
                  </ns4:nvPicPr>
                  <ns4:blipFill>
                    <ns3:blip ns5:embed="rId9"/>
                    <ns3:stretch>
                      <ns3:fillRect/>
                    </ns3:stretch>
                  </ns4:blipFill>
                  <ns4:spPr>
                    <ns3:xfrm>
                      <ns3:off x="0" y="0"/>
                      <ns3:ext cx="2743200" cy="4297680"/>
                    </ns3:xfrm>
                    <ns3:prstGeom prst="rect"/>
                  </ns4:spPr>
                </ns4:pic>
              </ns3:graphicData>
            </ns3:graphic>
          </ns2:inline>
        </ns0:drawing>
      </ns0:r>
      <ns0:r>
        <ns0:rPr>
          <ns0:rFonts ns0:ascii="Arial" ns0:hAnsi="Arial"/>
          <ns0:i/>
          <ns0:sz ns0:val="20"/>
        </ns0:rPr>
        <ns0:br/>
        <ns0:t>图1 图1</ns0:t>
        <ns0:br/>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 编号</ns0:t>
            </ns0:r>
          </ns0:p>
        </ns0:tc>
        <ns0:tc>
          <ns0:tcPr>
            <ns0:tcW ns0:type="dxa" ns0:w="4320"/>
          </ns0:tcPr>
          <ns0:p>
            <ns0:pPr>
              <ns0:jc ns0:val="center"/>
            </ns0:pPr>
            <ns0:r>
              <ns0:rPr>
                <ns0:rFonts ns0:ascii="Arial" ns0:hAnsi="Arial"/>
                <ns0:b/>
                <ns0:color ns0:val="000000"/>
                <ns0:sz ns0:val="20"/>
              </ns0:rPr>
              <ns0:t>工作流程说明</ns0:t>
            </ns0:r>
          </ns0:p>
        </ns0:tc>
      </ns0:tr>
      <ns0:tr>
        <ns0:tc>
          <ns0:tcPr>
            <ns0:tcW ns0:type="dxa" ns0:w="4320"/>
          </ns0:tcPr>
          <ns0:p>
            <ns0:r>
              <ns0:rPr>
                <ns0:rFonts ns0:ascii="Arial" ns0:hAnsi="Arial"/>
                <ns0:color ns0:val="000000"/>
                <ns0:sz ns0:val="20"/>
              </ns0:rPr>
              <ns0:t>CBF001 CBF001</ns0:t>
            </ns0:r>
          </ns0:p>
        </ns0:tc>
        <ns0:tc>
          <ns0:tcPr>
            <ns0:tcW ns0:type="dxa" ns0:w="4320"/>
          </ns0:tcPr>
          <ns0:p>
            <ns0:r>
              <ns0:rPr>
                <ns0:rFonts ns0:ascii="Arial" ns0:hAnsi="Arial"/>
                <ns0:color ns0:val="000000"/>
                <ns0:sz ns0:val="20"/>
              </ns0:rPr>
              <ns0:t>BFF CBF001有两种不同的活动:在搅拌机中增加一定数量的材料,并在一定期限内混合,将材料数量与混合时间联系起来。</ns0:t>
            </ns0:r>
          </ns0:p>
        </ns0:tc>
      </ns0:tr>
    </ns0:tbl>
    <ns0:p>
      <ns0:r>
        <ns0:t xml:space="preserve">调</ns0:t>
      </ns0:r>
    </ns0:p>
    <ns0:p>
      <ns0:pPr>
        <ns0:pStyle ns0:val="Heading3"/>
      </ns0:pPr>
      <ns0:r>
        <ns0:rPr>
          <ns0:rFonts ns0:ascii="Arial" ns0:hAnsi="Arial"/>
          <ns0:color ns0:val="000000"/>
          <ns0:sz ns0:val="24"/>
        </ns0:rPr>
        <ns0:t>4.2. 区块设计说明</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 编号</ns0:t>
            </ns0:r>
          </ns0:p>
        </ns0:tc>
        <ns0:tc>
          <ns0:tcPr>
            <ns0:tcW ns0:type="dxa" ns0:w="4320"/>
          </ns0:tcPr>
          <ns0:p>
            <ns0:pPr>
              <ns0:jc ns0:val="center"/>
            </ns0:pPr>
            <ns0:r>
              <ns0:rPr>
                <ns0:rFonts ns0:ascii="Arial" ns0:hAnsi="Arial"/>
                <ns0:b/>
                <ns0:color ns0:val="000000"/>
                <ns0:sz ns0:val="20"/>
              </ns0:rPr>
              <ns0:t>详细说明详细说明</ns0:t>
            </ns0:r>
          </ns0:p>
        </ns0:tc>
      </ns0:tr>
      <ns0:tr>
        <ns0:tc>
          <ns0:tcPr>
            <ns0:tcW ns0:type="dxa" ns0:w="4320"/>
          </ns0:tcPr>
          <ns0:p>
            <ns0:r>
              <ns0:rPr>
                <ns0:rFonts ns0:ascii="Arial" ns0:hAnsi="Arial"/>
                <ns0:color ns0:val="000000"/>
                <ns0:sz ns0:val="20"/>
              </ns0:rPr>
              <ns0:t>CBF001 CBF001</ns0:t>
            </ns0:r>
          </ns0:p>
        </ns0:tc>
        <ns0:tc>
          <ns0:tcPr>
            <ns0:tcW ns0:type="dxa" ns0:w="4320"/>
          </ns0:tcPr>
          <ns0:p>
            <ns0:r>
              <ns0:rPr>
                <ns0:rFonts ns0:ascii="Arial" ns0:hAnsi="Arial"/>
                <ns0:color ns0:val="000000"/>
                <ns0:sz ns0:val="20"/>
              </ns0:rPr>
              <ns0:t>1. 系统显示拟添加到搅拌机中的材料数量。</ns0:t>
              <ns0:br/>
              <ns0:t>“FRM0001”描述是“Mat#6 :...".......................Kg"。公式型活动: [Num“可变” mat#6]</ns0:t>
              <ns0:br/>
              <ns0:br/>
              <ns0:t>2. 系统显示混合时间。</ns0:t>
              <ns0:br/>
              <ns0:t>“FRM0002”的描述是“混合时间 :............................Min”。 公式型活动: [Num“可变” MixTim]</ns0:t>
            </ns0:r>
          </ns0:p>
        </ns0:tc>
      </ns0:tr>
    </ns0:tbl>
    <ns0:sectPr ns0:rsidR="00FC693F" ns0:rsidRPr="0006063C" ns0:rsidSect="00034616">
      <ns0:pgSz ns0:w="12240" ns0:h="15840"/>
      <ns0:pgMar ns0:top="1440" ns0:right="1800" ns0:bottom="1440" ns0:left="1800" ns0:header="720" ns0:footer="720" ns0:gutter="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