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功能规格</ns0:t>
        <ns0:br/>
        <ns0:t xml:space="preserve">执行 IPC 状态 IPC</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名称/ 项目角色</ns0:t>
            </ns0:r>
          </ns0:p>
        </ns0:tc>
        <ns0:tc>
          <ns0:tcPr>
            <ns0:tcW ns0:type="dxa" ns0:w="4320"/>
          </ns0:tcPr>
          <ns0:p>
            <ns0:pPr>
              <ns0:jc ns0:val="center"/>
            </ns0:pPr>
            <ns0:r>
              <ns0:t>签署签署签署</ns0:t>
            </ns0:r>
          </ns0:p>
        </ns0:tc>
        <ns0:tc>
          <ns0:tcPr>
            <ns0:tcW ns0:type="dxa" ns0:w="4320"/>
          </ns0:tcPr>
          <ns0:p>
            <ns0:pPr>
              <ns0:jc ns0:val="center"/>
            </ns0:pPr>
            <ns0:r>
              <ns0:t>日期 日期 日期 日期 日期 日期</ns0:t>
              <ns0:br/>
              <ns0:t>(日/月/年)</ns0:t>
            </ns0:r>
          </ns0:p>
        </ns0:tc>
      </ns0:tr>
      <ns0:tr>
        <ns0:tc>
          <ns0:tcPr>
            <ns0:tcW ns0:type="dxa" ns0:w="4320"/>
          </ns0:tcPr>
          <ns0:p>
            <ns0:r>
              <ns0:t>作者作者作者</ns0:t>
            </ns0:r>
          </ns0:p>
        </ns0:tc>
        <ns0:tc>
          <ns0:tcPr>
            <ns0:tcW ns0:type="dxa" ns0:w="4320"/>
          </ns0:tcPr>
          <ns0:p/>
        </ns0:tc>
        <ns0:tc>
          <ns0:tcPr>
            <ns0:tcW ns0:type="dxa" ns0:w="4320"/>
          </ns0:tcPr>
          <ns0:p/>
        </ns0:tc>
      </ns0:tr>
      <ns0:tr>
        <ns0:tc>
          <ns0:tcPr>
            <ns0:tcW ns0:type="dxa" ns0:w="4320"/>
          </ns0:tcPr>
          <ns0:p>
            <ns0:r>
              <ns0:t>核准者</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目录目录目录</ns0:t>
      </ns0:r>
    </ns0:p>
    <ns0:p>
      <ns0:r>
        <ns0:br/>
        <ns0:br/>
      </ns0:r>
    </ns0:p>
    <ns0:p>
      <ns0:pPr>
        <ns0:pStyle ns0:val="TOCHeading"/>
        <ns0:jc ns0:val="left"/>
      </ns0:pPr>
      <ns0:r>
        <ns0:rPr>
          <ns0:rFonts ns0:ascii="Arial Narrow" ns0:hAnsi="Arial Narrow"/>
          <ns0:color ns0:val="64AAE6"/>
          <ns0:sz ns0:val="28"/>
        </ns0:rPr>
        <ns0:t>1. 导言</ns0:t>
      </ns0:r>
    </ns0:p>
    <ns0:p>
      <ns0:pPr>
        <ns0:pStyle ns0:val="TOCHeading"/>
        <ns0:ind ns0:left="360"/>
        <ns0:jc ns0:val="left"/>
      </ns0:pPr>
      <ns0:r>
        <ns0:rPr>
          <ns0:rFonts ns0:ascii="Arial Narrow" ns0:hAnsi="Arial Narrow"/>
          <ns0:color ns0:val="64AAE6"/>
          <ns0:sz ns0:val="24"/>
        </ns0:rPr>
        <ns0:t>1.1 词汇表</ns0:t>
      </ns0:r>
    </ns0:p>
    <ns0:p>
      <ns0:pPr>
        <ns0:pStyle ns0:val="TOCHeading"/>
        <ns0:jc ns0:val="left"/>
      </ns0:pPr>
      <ns0:r>
        <ns0:rPr>
          <ns0:rFonts ns0:ascii="Arial Narrow" ns0:hAnsi="Arial Narrow"/>
          <ns0:color ns0:val="64AAE6"/>
          <ns0:sz ns0:val="28"/>
        </ns0:rPr>
        <ns0:t>2. 街区身份证</ns0:t>
      </ns0:r>
    </ns0:p>
    <ns0:p>
      <ns0:pPr>
        <ns0:pStyle ns0:val="TOCHeading"/>
        <ns0:jc ns0:val="left"/>
      </ns0:pPr>
      <ns0:r>
        <ns0:rPr>
          <ns0:rFonts ns0:ascii="Arial Narrow" ns0:hAnsi="Arial Narrow"/>
          <ns0:color ns0:val="64AAE6"/>
          <ns0:sz ns0:val="28"/>
        </ns0:rPr>
        <ns0:t>3. 块输入变量</ns0:t>
      </ns0:r>
    </ns0:p>
    <ns0:p>
      <ns0:pPr>
        <ns0:pStyle ns0:val="TOCHeading"/>
        <ns0:jc ns0:val="left"/>
      </ns0:pPr>
      <ns0:r>
        <ns0:rPr>
          <ns0:rFonts ns0:ascii="Arial Narrow" ns0:hAnsi="Arial Narrow"/>
          <ns0:color ns0:val="64AAE6"/>
          <ns0:sz ns0:val="28"/>
        </ns0:rPr>
        <ns0:t>4. 区块详细说明</ns0:t>
      </ns0:r>
    </ns0:p>
    <ns0:p>
      <ns0:pPr>
        <ns0:pStyle ns0:val="TOCHeading"/>
        <ns0:ind ns0:left="360"/>
        <ns0:jc ns0:val="left"/>
      </ns0:pPr>
      <ns0:r>
        <ns0:rPr>
          <ns0:rFonts ns0:ascii="Arial Narrow" ns0:hAnsi="Arial Narrow"/>
          <ns0:color ns0:val="64AAE6"/>
          <ns0:sz ns0:val="24"/>
        </ns0:rPr>
        <ns0:t>4.1 区块工作流程</ns0:t>
      </ns0:r>
    </ns0:p>
    <ns0:p>
      <ns0:pPr>
        <ns0:pStyle ns0:val="TOCHeading"/>
        <ns0:ind ns0:left="360"/>
        <ns0:jc ns0:val="left"/>
      </ns0:pPr>
      <ns0:r>
        <ns0:rPr>
          <ns0:rFonts ns0:ascii="Arial Narrow" ns0:hAnsi="Arial Narrow"/>
          <ns0:color ns0:val="64AAE6"/>
          <ns0:sz ns0:val="24"/>
        </ns0:rPr>
        <ns0:t>4.2 区块设计说明</ns0:t>
      </ns0:r>
    </ns0:p>
    <ns0:p>
      <ns0:r>
        <ns0:br ns0:type="page"/>
      </ns0:r>
    </ns0:p>
    <ns0:p>
      <ns0:pPr>
        <ns0:pStyle ns0:val="Heading1"/>
      </ns0:pPr>
      <ns0:r>
        <ns0:rPr>
          <ns0:rFonts ns0:ascii="Arial" ns0:hAnsi="Arial"/>
          <ns0:color ns0:val="000000"/>
          <ns0:sz ns0:val="36"/>
          <ns0:u ns0:val="single"/>
        </ns0:rPr>
        <ns0:t>1. 导言</ns0:t>
      </ns0:r>
    </ns0:p>
    <ns0:p>
      <ns0:r>
        <ns0:t xml:space="preserve">调</ns0:t>
      </ns0:r>
    </ns0:p>
    <ns0:p>
      <ns0:r>
        <ns0:rPr>
          <ns0:rFonts ns0:ascii="Arial" ns0:hAnsi="Arial"/>
          <ns0:sz ns0:val="20"/>
        </ns0:rPr>
        <ns0:br/>
        <ns0:t xml:space="preserve">调</ns0:t>
        <ns0:br/>
        <ns0:t>本文件的目的是描述IS工作队对需求的解释,并描述拟交付的拟议功能。</ns0:t>
        <ns0:br/>
        <ns0:t xml:space="preserve">调</ns0:t>
        <ns0:br/>
        <ns0:t>本块的目的是:</ns0:t>
        <ns0:br/>
        <ns0:t xml:space="preserve">调</ns0:t>
      </ns0:r>
    </ns0:p>
    <ns0:p>
      <ns0:pPr>
        <ns0:pStyle ns0:val="ListBullet"/>
        <ns0:ind ns0:left="576"/>
      </ns0:pPr>
      <ns0:r>
        <ns0:rPr>
          <ns0:rFonts ns0:ascii="Arial" ns0:hAnsi="Arial"/>
          <ns0:sz ns0:val="20"/>
        </ns0:rPr>
        <ns0:t>记录采样日期和时间,通过复选框记录 IPC 人工测试是否符合要求</ns0:t>
      </ns0:r>
    </ns0:p>
    <ns0:p>
      <ns0:r>
        <ns0:br/>
        <ns0:br/>
      </ns0:r>
    </ns0:p>
    <ns0:p>
      <ns0:pPr>
        <ns0:pStyle ns0:val="Heading3"/>
      </ns0:pPr>
      <ns0:r>
        <ns0:rPr>
          <ns0:rFonts ns0:ascii="Arial" ns0:hAnsi="Arial"/>
          <ns0:color ns0:val="000000"/>
          <ns0:sz ns0:val="24"/>
        </ns0:rPr>
        <ns0:t>1.1. 术语汇编</ns0:t>
      </ns0:r>
    </ns0:p>
    <ns0:p>
      <ns0:r>
        <ns0:t xml:space="preserve">调</ns0:t>
      </ns0:r>
    </ns0:p>
    <ns0:p>
      <ns0:r>
        <ns0:rPr>
          <ns0:rFonts ns0:ascii="Arial" ns0:hAnsi="Arial"/>
          <ns0:sz ns0:val="20"/>
        </ns0:rPr>
        <ns0:t>本节界定了可用于本文件的具体项目/系统术语和缩略语。</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学期或简称</ns0:t>
            </ns0:r>
          </ns0:p>
        </ns0:tc>
        <ns0:tc>
          <ns0:tcPr>
            <ns0:tcW ns0:type="dxa" ns0:w="4320"/>
          </ns0:tcPr>
          <ns0:p>
            <ns0:pPr>
              <ns0:jc ns0:val="center"/>
            </ns0:pPr>
            <ns0:r>
              <ns0:rPr>
                <ns0:rFonts ns0:ascii="Arial" ns0:hAnsi="Arial"/>
                <ns0:b/>
                <ns0:color ns0:val="000000"/>
                <ns0:sz ns0:val="20"/>
              </ns0:rPr>
              <ns0:t>定义定义定义定义定义的定义定义定义定义定义的定义定义定义定义定义的定义定义定义定义定义定义的定义</ns0:t>
            </ns0:r>
          </ns0:p>
        </ns0:tc>
      </ns0:tr>
      <ns0:tr>
        <ns0:tc>
          <ns0:tcPr>
            <ns0:tcW ns0:type="dxa" ns0:w="4320"/>
          </ns0:tcPr>
          <ns0:p>
            <ns0:r>
              <ns0:rPr>
                <ns0:rFonts ns0:ascii="Arial" ns0:hAnsi="Arial"/>
                <ns0:color ns0:val="000000"/>
                <ns0:sz ns0:val="20"/>
              </ns0:rPr>
              <ns0:t>不适用/不适用</ns0:t>
            </ns0:r>
          </ns0:p>
        </ns0:tc>
        <ns0:tc>
          <ns0:tcPr>
            <ns0:tcW ns0:type="dxa" ns0:w="4320"/>
          </ns0:tcPr>
          <ns0:p>
            <ns0:r>
              <ns0:rPr>
                <ns0:rFonts ns0:ascii="Arial" ns0:hAnsi="Arial"/>
                <ns0:color ns0:val="000000"/>
                <ns0:sz ns0:val="20"/>
              </ns0:rPr>
              <ns0:t>不适用/不适用</ns0:t>
            </ns0:r>
          </ns0:p>
        </ns0:tc>
      </ns0:tr>
    </ns0:tbl>
    <ns0:p>
      <ns0:r>
        <ns0:br/>
        <ns0:br/>
        <ns0:br/>
        <ns0:br/>
        <ns0:br/>
      </ns0:r>
    </ns0:p>
    <ns0:p>
      <ns0:pPr>
        <ns0:pStyle ns0:val="Heading1"/>
      </ns0:pPr>
      <ns0:r>
        <ns0:rPr>
          <ns0:rFonts ns0:ascii="Arial" ns0:hAnsi="Arial"/>
          <ns0:color ns0:val="000000"/>
          <ns0:sz ns0:val="36"/>
          <ns0:u ns0:val="single"/>
        </ns0:rPr>
        <ns0:t>2. 空白识别标准</ns0:t>
      </ns0:r>
    </ns0:p>
    <ns0:p>
      <ns0:r>
        <ns0:t xml:space="preserve">调</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名称名称名称名称名称</ns0:t>
            </ns0:r>
          </ns0:p>
        </ns0:tc>
        <ns0:tc>
          <ns0:tcPr>
            <ns0:tcW ns0:type="dxa" ns0:w="2880"/>
          </ns0:tcPr>
          <ns0:p>
            <ns0:pPr>
              <ns0:jc ns0:val="center"/>
            </ns0:pPr>
            <ns0:r>
              <ns0:rPr>
                <ns0:rFonts ns0:ascii="Arial" ns0:hAnsi="Arial"/>
                <ns0:b/>
                <ns0:color ns0:val="000000"/>
                <ns0:sz ns0:val="20"/>
              </ns0:rPr>
              <ns0:t>版本版本版本版本</ns0:t>
            </ns0:r>
          </ns0:p>
        </ns0:tc>
        <ns0:tc>
          <ns0:tcPr>
            <ns0:tcW ns0:type="dxa" ns0:w="2880"/>
          </ns0:tcPr>
          <ns0:p>
            <ns0:pPr>
              <ns0:jc ns0:val="center"/>
            </ns0:pPr>
            <ns0:r>
              <ns0:rPr>
                <ns0:rFonts ns0:ascii="Arial" ns0:hAnsi="Arial"/>
                <ns0:b/>
                <ns0:color ns0:val="000000"/>
                <ns0:sz ns0:val="20"/>
              </ns0:rPr>
              <ns0:t>说明说明</ns0:t>
            </ns0:r>
          </ns0:p>
        </ns0:tc>
      </ns0:tr>
      <ns0:tr>
        <ns0:tc>
          <ns0:tcPr>
            <ns0:tcW ns0:type="dxa" ns0:w="2880"/>
          </ns0:tcPr>
          <ns0:p>
            <ns0:r>
              <ns0:rPr>
                <ns0:rFonts ns0:ascii="Arial" ns0:hAnsi="Arial"/>
                <ns0:color ns0:val="000000"/>
                <ns0:sz ns0:val="20"/>
              </ns0:rPr>
              <ns0:t>YXCR 环</ns0:t>
            </ns0:r>
          </ns0:p>
        </ns0:tc>
        <ns0:tc>
          <ns0:tcPr>
            <ns0:tcW ns0:type="dxa" ns0:w="2880"/>
          </ns0:tcPr>
          <ns0:p>
            <ns0:r>
              <ns0:rPr>
                <ns0:rFonts ns0:ascii="Arial" ns0:hAnsi="Arial"/>
                <ns0:color ns0:val="000000"/>
                <ns0:sz ns0:val="20"/>
              </ns0:rPr>
              <ns0:t>V1, V1</ns0:t>
            </ns0:r>
          </ns0:p>
        </ns0:tc>
        <ns0:tc>
          <ns0:tcPr>
            <ns0:tcW ns0:type="dxa" ns0:w="2880"/>
          </ns0:tcPr>
          <ns0:p>
            <ns0:r>
              <ns0:rPr>
                <ns0:rFonts ns0:ascii="Arial" ns0:hAnsi="Arial"/>
                <ns0:color ns0:val="000000"/>
                <ns0:sz ns0:val="20"/>
              </ns0:rPr>
              <ns0:t>执行 IPC 状态 IPC</ns0:t>
            </ns0:r>
          </ns0:p>
        </ns0:tc>
      </ns0:tr>
    </ns0:tbl>
    <ns0:p>
      <ns0:r>
        <ns0:br ns0:type="page"/>
      </ns0:r>
    </ns0:p>
    <ns0:p>
      <ns0:pPr>
        <ns0:pStyle ns0:val="Heading1"/>
      </ns0:pPr>
      <ns0:r>
        <ns0:rPr>
          <ns0:rFonts ns0:ascii="Arial" ns0:hAnsi="Arial"/>
          <ns0:color ns0:val="000000"/>
          <ns0:sz ns0:val="36"/>
          <ns0:u ns0:val="single"/>
        </ns0:rPr>
        <ns0:t>3. 布莱克综合可兑换证券</ns0:t>
      </ns0:r>
    </ns0:p>
    <ns0:p>
      <ns0:r>
        <ns0:t xml:space="preserve">调</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输入变量</ns0:t>
            </ns0:r>
          </ns0:p>
        </ns0:tc>
      </ns0:tr>
      <ns0:tr>
        <ns0:tc>
          <ns0:tcPr>
            <ns0:tcW ns0:type="dxa" ns0:w="2880"/>
          </ns0:tcPr>
          <ns0:p>
            <ns0:pPr>
              <ns0:jc ns0:val="center"/>
            </ns0:pPr>
            <ns0:r>
              <ns0:rPr>
                <ns0:b/>
              </ns0:rPr>
              <ns0:t>变量名称</ns0:t>
            </ns0:r>
          </ns0:p>
        </ns0:tc>
        <ns0:tc>
          <ns0:tcPr>
            <ns0:tcW ns0:type="dxa" ns0:w="2880"/>
          </ns0:tcPr>
          <ns0:p>
            <ns0:pPr>
              <ns0:jc ns0:val="center"/>
            </ns0:pPr>
            <ns0:r>
              <ns0:rPr>
                <ns0:b/>
              </ns0:rPr>
              <ns0:t>数据类型</ns0:t>
            </ns0:r>
          </ns0:p>
        </ns0:tc>
        <ns0:tc>
          <ns0:tcPr>
            <ns0:tcW ns0:type="dxa" ns0:w="2880"/>
          </ns0:tcPr>
          <ns0:p>
            <ns0:pPr>
              <ns0:jc ns0:val="center"/>
            </ns0:pPr>
            <ns0:r>
              <ns0:rPr>
                <ns0:b/>
              </ns0:rPr>
              <ns0:t>说明说明</ns0:t>
            </ns0:r>
          </ns0:p>
        </ns0:tc>
      </ns0:tr>
      <ns0:tr>
        <ns0:tc>
          <ns0:tcPr>
            <ns0:tcW ns0:type="dxa" ns0:w="2880"/>
          </ns0:tcPr>
          <ns0:p>
            <ns0:r>
              <ns0:t>指令 ref (x3)</ns0:t>
            </ns0:r>
          </ns0:p>
        </ns0:tc>
        <ns0:tc>
          <ns0:tcPr>
            <ns0:tcW ns0:type="dxa" ns0:w="2880"/>
          </ns0:tcPr>
          <ns0:p>
            <ns0:r>
              <ns0:t>超超链接</ns0:t>
            </ns0:r>
          </ns0:p>
        </ns0:tc>
        <ns0:tc>
          <ns0:tcPr>
            <ns0:tcW ns0:type="dxa" ns0:w="2880"/>
          </ns0:tcPr>
          <ns0:p>
            <ns0:r>
              <ns0:t>不适用/不适用</ns0:t>
            </ns0:r>
          </ns0:p>
        </ns0:tc>
      </ns0:tr>
      <ns0:tr>
        <ns0:tc>
          <ns0:tcPr>
            <ns0:tcW ns0:type="dxa" ns0:w="2880"/>
          </ns0:tcPr>
          <ns0:p>
            <ns0:r>
              <ns0:t>设备_ 名称</ns0:t>
            </ns0:r>
          </ns0:p>
        </ns0:tc>
        <ns0:tc>
          <ns0:tcPr>
            <ns0:tcW ns0:type="dxa" ns0:w="2880"/>
          </ns0:tcPr>
          <ns0:p>
            <ns0:r>
              <ns0:t>文字文字文字文字文字</ns0:t>
            </ns0:r>
          </ns0:p>
        </ns0:tc>
        <ns0:tc>
          <ns0:tcPr>
            <ns0:tcW ns0:type="dxa" ns0:w="2880"/>
          </ns0:tcPr>
          <ns0:p>
            <ns0:r>
              <ns0:t>不适用/不适用</ns0:t>
            </ns0:r>
          </ns0:p>
        </ns0:tc>
      </ns0:tr>
      <ns0:tr>
        <ns0:tc>
          <ns0:tcPr>
            <ns0:tcW ns0:type="dxa" ns0:w="2880"/>
          </ns0:tcPr>
          <ns0:p>
            <ns0:r>
              <ns0:t>抽样X单位(x2)</ns0:t>
            </ns0:r>
          </ns0:p>
        </ns0:tc>
        <ns0:tc>
          <ns0:tcPr>
            <ns0:tcW ns0:type="dxa" ns0:w="2880"/>
          </ns0:tcPr>
          <ns0:p>
            <ns0:r>
              <ns0:t>内核</ns0:t>
            </ns0:r>
          </ns0:p>
        </ns0:tc>
        <ns0:tc>
          <ns0:tcPr>
            <ns0:tcW ns0:type="dxa" ns0:w="2880"/>
          </ns0:tcPr>
          <ns0:p>
            <ns0:r>
              <ns0:t>不适用/不适用</ns0:t>
            </ns0:r>
          </ns0:p>
        </ns0:tc>
      </ns0:tr>
      <ns0:tr>
        <ns0:tc>
          <ns0:tcPr>
            <ns0:tcW ns0:type="dxa" ns0:w="2880"/>
          </ns0:tcPr>
          <ns0:p>
            <ns0:r>
              <ns0:t>日期 - 测试</ns0:t>
            </ns0:r>
          </ns0:p>
        </ns0:tc>
        <ns0:tc>
          <ns0:tcPr>
            <ns0:tcW ns0:type="dxa" ns0:w="2880"/>
          </ns0:tcPr>
          <ns0:p>
            <ns0:r>
              <ns0:t>日期 日期 日期 日期 日期 日期</ns0:t>
            </ns0:r>
          </ns0:p>
        </ns0:tc>
        <ns0:tc>
          <ns0:tcPr>
            <ns0:tcW ns0:type="dxa" ns0:w="2880"/>
          </ns0:tcPr>
          <ns0:p>
            <ns0:r>
              <ns0:t>不适用/不适用</ns0:t>
            </ns0:r>
          </ns0:p>
        </ns0:tc>
      </ns0:tr>
      <ns0:tr>
        <ns0:tc>
          <ns0:tcPr>
            <ns0:tcW ns0:type="dxa" ns0:w="2880"/>
          </ns0:tcPr>
          <ns0:p>
            <ns0:r>
              <ns0:t>时间 - 测试</ns0:t>
            </ns0:r>
          </ns0:p>
        </ns0:tc>
        <ns0:tc>
          <ns0:tcPr>
            <ns0:tcW ns0:type="dxa" ns0:w="2880"/>
          </ns0:tcPr>
          <ns0:p>
            <ns0:r>
              <ns0:t>时间 时间 时间 时间 时间 时间 时间</ns0:t>
            </ns0:r>
          </ns0:p>
        </ns0:tc>
        <ns0:tc>
          <ns0:tcPr>
            <ns0:tcW ns0:type="dxa" ns0:w="2880"/>
          </ns0:tcPr>
          <ns0:p>
            <ns0:r>
              <ns0:t>不适用/不适用</ns0:t>
            </ns0:r>
          </ns0:p>
        </ns0:tc>
      </ns0:tr>
      <ns0:tr>
        <ns0:tc>
          <ns0:tcPr>
            <ns0:tcW ns0:type="dxa" ns0:w="2880"/>
          </ns0:tcPr>
          <ns0:p>
            <ns0:r>
              <ns0:t>电子签名 - 测试</ns0:t>
            </ns0:r>
          </ns0:p>
        </ns0:tc>
        <ns0:tc>
          <ns0:tcPr>
            <ns0:tcW ns0:type="dxa" ns0:w="2880"/>
          </ns0:tcPr>
          <ns0:p>
            <ns0:r>
              <ns0:t>电子签署</ns0:t>
            </ns0:r>
          </ns0:p>
        </ns0:tc>
        <ns0:tc>
          <ns0:tcPr>
            <ns0:tcW ns0:type="dxa" ns0:w="2880"/>
          </ns0:tcPr>
          <ns0:p>
            <ns0:r>
              <ns0:t>不适用/不适用</ns0:t>
            </ns0:r>
          </ns0:p>
        </ns0:tc>
      </ns0:tr>
    </ns0:tbl>
    <ns0:p>
      <ns0:r>
        <ns0:br ns0:type="page"/>
      </ns0:r>
    </ns0:p>
    <ns0:p>
      <ns0:pPr>
        <ns0:pStyle ns0:val="Heading1"/>
      </ns0:pPr>
      <ns0:r>
        <ns0:rPr>
          <ns0:rFonts ns0:ascii="Arial" ns0:hAnsi="Arial"/>
          <ns0:color ns0:val="000000"/>
          <ns0:sz ns0:val="28"/>
          <ns0:u ns0:val="single"/>
        </ns0:rPr>
        <ns0:t>4. 封闭式绝密装置</ns0:t>
      </ns0:r>
    </ns0:p>
    <ns0:p>
      <ns0:r>
        <ns0:t xml:space="preserve">调</ns0:t>
      </ns0:r>
    </ns0:p>
    <ns0:p>
      <ns0:r>
        <ns0:rPr>
          <ns0:rFonts ns0:ascii="Arial" ns0:hAnsi="Arial"/>
          <ns0:sz ns0:val="20"/>
        </ns0:rPr>
        <ns0:t>以下各节将详细介绍区块的使用和配置。</ns0:t>
      </ns0:r>
    </ns0:p>
    <ns0:p>
      <ns0:pPr>
        <ns0:pStyle ns0:val="Heading3"/>
      </ns0:pPr>
      <ns0:r>
        <ns0:rPr>
          <ns0:rFonts ns0:ascii="Arial" ns0:hAnsi="Arial"/>
          <ns0:color ns0:val="000000"/>
          <ns0:sz ns0:val="24"/>
        </ns0:rPr>
        <ns0:t>4.1. 工作总流量</ns0:t>
      </ns0:r>
    </ns0:p>
    <ns0:p>
      <ns0:r>
        <ns0:rPr>
          <ns0:rFonts ns0:ascii="Arial" ns0:hAnsi="Arial"/>
          <ns0:sz ns0:val="20"/>
        </ns0:rPr>
        <ns0:t>以下工作流程描述区块的内容:</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erform ipc.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图1 图1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编号</ns0:t>
            </ns0:r>
          </ns0:p>
        </ns0:tc>
        <ns0:tc>
          <ns0:tcPr>
            <ns0:tcW ns0:type="dxa" ns0:w="4320"/>
          </ns0:tcPr>
          <ns0:p>
            <ns0:pPr>
              <ns0:jc ns0:val="center"/>
            </ns0:pPr>
            <ns0:r>
              <ns0:rPr>
                <ns0:rFonts ns0:ascii="Arial" ns0:hAnsi="Arial"/>
                <ns0:b/>
                <ns0:color ns0:val="000000"/>
                <ns0:sz ns0:val="20"/>
              </ns0:rPr>
              <ns0:t>工作流程说明</ns0:t>
            </ns0:r>
          </ns0:p>
        </ns0:tc>
      </ns0:tr>
      <ns0:tr>
        <ns0:tc>
          <ns0:tcPr>
            <ns0:tcW ns0:type="dxa" ns0:w="4320"/>
          </ns0:tcPr>
          <ns0:p>
            <ns0:r>
              <ns0:rPr>
                <ns0:rFonts ns0:ascii="Arial" ns0:hAnsi="Arial"/>
                <ns0:color ns0:val="000000"/>
                <ns0:sz ns0:val="20"/>
              </ns0:rPr>
              <ns0:t>CBF001 CBF001</ns0:t>
            </ns0:r>
          </ns0:p>
        </ns0:tc>
        <ns0:tc>
          <ns0:tcPr>
            <ns0:tcW ns0:type="dxa" ns0:w="4320"/>
          </ns0:tcPr>
          <ns0:p>
            <ns0:r>
              <ns0:rPr>
                <ns0:rFonts ns0:ascii="Arial" ns0:hAnsi="Arial"/>
                <ns0:color ns0:val="000000"/>
                <ns0:sz ns0:val="20"/>
              </ns0:rPr>
              <ns0:t>BF CBF001,其中一项活动是打开和阅读《标准作业程序》文件。</ns0:t>
            </ns0:r>
          </ns0:p>
        </ns0:tc>
      </ns0:tr>
      <ns0:tr>
        <ns0:tc>
          <ns0:tcPr>
            <ns0:tcW ns0:type="dxa" ns0:w="4320"/>
          </ns0:tcPr>
          <ns0:p>
            <ns0:r>
              <ns0:rPr>
                <ns0:rFonts ns0:ascii="Arial" ns0:hAnsi="Arial"/>
                <ns0:color ns0:val="000000"/>
                <ns0:sz ns0:val="20"/>
              </ns0:rPr>
              <ns0:t>CBF002 CBF002</ns0:t>
            </ns0:r>
          </ns0:p>
        </ns0:tc>
        <ns0:tc>
          <ns0:tcPr>
            <ns0:tcW ns0:type="dxa" ns0:w="4320"/>
          </ns0:tcPr>
          <ns0:p>
            <ns0:r>
              <ns0:rPr>
                <ns0:rFonts ns0:ascii="Arial" ns0:hAnsi="Arial"/>
                <ns0:color ns0:val="000000"/>
                <ns0:sz ns0:val="20"/>
              </ns0:rPr>
              <ns0:t>BF CBF002有四项不同的活动:抽样、抽样日期、抽样时间和符合性,每项活动都与根据指示参考对特定数量的单位进行取样或执行IPC的认证有关。</ns0:t>
            </ns0:r>
          </ns0:p>
        </ns0:tc>
      </ns0:tr>
    </ns0:tbl>
    <ns0:p>
      <ns0:r>
        <ns0:t xml:space="preserve">调</ns0:t>
      </ns0:r>
    </ns0:p>
    <ns0:p>
      <ns0:pPr>
        <ns0:pStyle ns0:val="Heading3"/>
      </ns0:pPr>
      <ns0:r>
        <ns0:rPr>
          <ns0:rFonts ns0:ascii="Arial" ns0:hAnsi="Arial"/>
          <ns0:color ns0:val="000000"/>
          <ns0:sz ns0:val="24"/>
        </ns0:rPr>
        <ns0:t>4.2. 区块设计说明</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 编号</ns0:t>
            </ns0:r>
          </ns0:p>
        </ns0:tc>
        <ns0:tc>
          <ns0:tcPr>
            <ns0:tcW ns0:type="dxa" ns0:w="4320"/>
          </ns0:tcPr>
          <ns0:p>
            <ns0:pPr>
              <ns0:jc ns0:val="center"/>
            </ns0:pPr>
            <ns0:r>
              <ns0:rPr>
                <ns0:rFonts ns0:ascii="Arial" ns0:hAnsi="Arial"/>
                <ns0:b/>
                <ns0:color ns0:val="000000"/>
                <ns0:sz ns0:val="20"/>
              </ns0:rPr>
              <ns0:t>详细说明详细说明</ns0:t>
            </ns0:r>
          </ns0:p>
        </ns0:tc>
      </ns0:tr>
      <ns0:tr>
        <ns0:tc>
          <ns0:tcPr>
            <ns0:tcW ns0:type="dxa" ns0:w="4320"/>
          </ns0:tcPr>
          <ns0:p>
            <ns0:r>
              <ns0:rPr>
                <ns0:rFonts ns0:ascii="Arial" ns0:hAnsi="Arial"/>
                <ns0:color ns0:val="000000"/>
                <ns0:sz ns0:val="20"/>
              </ns0:rPr>
              <ns0:t>CBF001 CBF001</ns0:t>
            </ns0:r>
          </ns0:p>
        </ns0:tc>
        <ns0:tc>
          <ns0:tcPr>
            <ns0:tcW ns0:type="dxa" ns0:w="4320"/>
          </ns0:tcPr>
          <ns0:p>
            <ns0:r>
              <ns0:rPr>
                <ns0:rFonts ns0:ascii="Arial" ns0:hAnsi="Arial"/>
                <ns0:color ns0:val="000000"/>
                <ns0:sz ns0:val="20"/>
              </ns0:rPr>
              <ns0:t>1. 操作员打开并阅读标准作业程序文件。</ns0:t>
              <ns0:br/>
              <ns0:t>“SOP0001”,描述为“SOP 显示”, SOP 类型活动,配有 SOP 的公式路径: {String 变量 SOP}</ns0:t>
              <ns0:br/>
              <ns0:t xml:space="preserve">调</ns0:t>
            </ns0:r>
          </ns0:p>
        </ns0:tc>
      </ns0:tr>
      <ns0:tr>
        <ns0:tc>
          <ns0:tcPr>
            <ns0:tcW ns0:type="dxa" ns0:w="4320"/>
          </ns0:tcPr>
          <ns0:p>
            <ns0:r>
              <ns0:rPr>
                <ns0:rFonts ns0:ascii="Arial" ns0:hAnsi="Arial"/>
                <ns0:color ns0:val="000000"/>
                <ns0:sz ns0:val="20"/>
              </ns0:rPr>
              <ns0:t>CBF002 CBF002</ns0:t>
            </ns0:r>
          </ns0:p>
        </ns0:tc>
        <ns0:tc>
          <ns0:tcPr>
            <ns0:tcW ns0:type="dxa" ns0:w="4320"/>
          </ns0:tcPr>
          <ns0:p>
            <ns0:r>
              <ns0:rPr>
                <ns0:rFonts ns0:ascii="Arial" ns0:hAnsi="Arial"/>
                <ns0:color ns0:val="000000"/>
                <ns0:sz ns0:val="20"/>
              </ns0:rPr>
              <ns0:t>1. 系统显示取样状态。</ns0:t>
              <ns0:br/>
              <ns0:t>“FRM0001”描述是“抽样”。公式型活动:[“可变”抽样检查]</ns0:t>
              <ns0:br/>
              <ns0:br/>
              <ns0:t>2. 系统显示取样日期。</ns0:t>
              <ns0:br/>
              <ns0:t>“FRM0002”表示为“抽样日期”。公式型活动:[日期“可变”印章]</ns0:t>
              <ns0:br/>
              <ns0:br/>
              <ns0:t>3. 系统显示取样时间。</ns0:t>
              <ns0:br/>
              <ns0:t>“FRM0003”描述为“抽样时间”。公式型活动:[时间“可变”SampT]</ns0:t>
              <ns0:br/>
              <ns0:br/>
              <ns0:t>4. 系统显示符合性状态。</ns0:t>
              <ns0:br/>
              <ns0:t>“FRM0004”的描述是“符合性”。公式型活动:[conf“可变”康多]</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