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Spécifications fonctionnelles</ns0:t>
        <ns0:br/>
        <ns0:t xml:space="preserve">Étalonnage pré-Mix</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Nom / Rôle du projet</ns0:t>
            </ns0:r>
          </ns0:p>
        </ns0:tc>
        <ns0:tc>
          <ns0:tcPr>
            <ns0:tcW ns0:type="dxa" ns0:w="4320"/>
          </ns0:tcPr>
          <ns0:p>
            <ns0:pPr>
              <ns0:jc ns0:val="center"/>
            </ns0:pPr>
            <ns0:r>
              <ns0:t>Signature</ns0:t>
            </ns0:r>
          </ns0:p>
        </ns0:tc>
        <ns0:tc>
          <ns0:tcPr>
            <ns0:tcW ns0:type="dxa" ns0:w="4320"/>
          </ns0:tcPr>
          <ns0:p>
            <ns0:pPr>
              <ns0:jc ns0:val="center"/>
            </ns0:pPr>
            <ns0:r>
              <ns0:t>Date</ns0:t>
              <ns0:br/>
              <ns0:t>(jj/mm/aaaa)</ns0:t>
            </ns0:r>
          </ns0:p>
        </ns0:tc>
      </ns0:tr>
      <ns0:tr>
        <ns0:tc>
          <ns0:tcPr>
            <ns0:tcW ns0:type="dxa" ns0:w="4320"/>
          </ns0:tcPr>
          <ns0:p>
            <ns0:r>
              <ns0:t>Auteur</ns0:t>
            </ns0:r>
          </ns0:p>
        </ns0:tc>
        <ns0:tc>
          <ns0:tcPr>
            <ns0:tcW ns0:type="dxa" ns0:w="4320"/>
          </ns0:tcPr>
          <ns0:p/>
        </ns0:tc>
        <ns0:tc>
          <ns0:tcPr>
            <ns0:tcW ns0:type="dxa" ns0:w="4320"/>
          </ns0:tcPr>
          <ns0:p/>
        </ns0:tc>
      </ns0:tr>
      <ns0:tr>
        <ns0:tc>
          <ns0:tcPr>
            <ns0:tcW ns0:type="dxa" ns0:w="4320"/>
          </ns0:tcPr>
          <ns0:p>
            <ns0:r>
              <ns0:t>Appréciation</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Table des matières</ns0:t>
      </ns0:r>
    </ns0:p>
    <ns0:p>
      <ns0:r>
        <ns0:br/>
        <ns0:br/>
      </ns0:r>
    </ns0:p>
    <ns0:p>
      <ns0:pPr>
        <ns0:pStyle ns0:val="TOCHeading"/>
        <ns0:jc ns0:val="left"/>
      </ns0:pPr>
      <ns0:r>
        <ns0:rPr>
          <ns0:rFonts ns0:ascii="Arial Narrow" ns0:hAnsi="Arial Narrow"/>
          <ns0:color ns0:val="64AAE6"/>
          <ns0:sz ns0:val="28"/>
        </ns0:rPr>
        <ns0:t>1. Présentation</ns0:t>
      </ns0:r>
    </ns0:p>
    <ns0:p>
      <ns0:pPr>
        <ns0:pStyle ns0:val="TOCHeading"/>
        <ns0:ind ns0:left="360"/>
        <ns0:jc ns0:val="left"/>
      </ns0:pPr>
      <ns0:r>
        <ns0:rPr>
          <ns0:rFonts ns0:ascii="Arial Narrow" ns0:hAnsi="Arial Narrow"/>
          <ns0:color ns0:val="64AAE6"/>
          <ns0:sz ns0:val="24"/>
        </ns0:rPr>
        <ns0:t>1.1 Glossaire</ns0:t>
      </ns0:r>
    </ns0:p>
    <ns0:p>
      <ns0:pPr>
        <ns0:pStyle ns0:val="TOCHeading"/>
        <ns0:jc ns0:val="left"/>
      </ns0:pPr>
      <ns0:r>
        <ns0:rPr>
          <ns0:rFonts ns0:ascii="Arial Narrow" ns0:hAnsi="Arial Narrow"/>
          <ns0:color ns0:val="64AAE6"/>
          <ns0:sz ns0:val="28"/>
        </ns0:rPr>
        <ns0:t>2. Carte d'identité de bloc</ns0:t>
      </ns0:r>
    </ns0:p>
    <ns0:p>
      <ns0:pPr>
        <ns0:pStyle ns0:val="TOCHeading"/>
        <ns0:jc ns0:val="left"/>
      </ns0:pPr>
      <ns0:r>
        <ns0:rPr>
          <ns0:rFonts ns0:ascii="Arial Narrow" ns0:hAnsi="Arial Narrow"/>
          <ns0:color ns0:val="64AAE6"/>
          <ns0:sz ns0:val="28"/>
        </ns0:rPr>
        <ns0:t>3. Variables d'entrée par blocs</ns0:t>
      </ns0:r>
    </ns0:p>
    <ns0:p>
      <ns0:pPr>
        <ns0:pStyle ns0:val="TOCHeading"/>
        <ns0:jc ns0:val="left"/>
      </ns0:pPr>
      <ns0:r>
        <ns0:rPr>
          <ns0:rFonts ns0:ascii="Arial Narrow" ns0:hAnsi="Arial Narrow"/>
          <ns0:color ns0:val="64AAE6"/>
          <ns0:sz ns0:val="28"/>
        </ns0:rPr>
        <ns0:t>4. Spécification détaillée du bloc</ns0:t>
      </ns0:r>
    </ns0:p>
    <ns0:p>
      <ns0:pPr>
        <ns0:pStyle ns0:val="TOCHeading"/>
        <ns0:ind ns0:left="360"/>
        <ns0:jc ns0:val="left"/>
      </ns0:pPr>
      <ns0:r>
        <ns0:rPr>
          <ns0:rFonts ns0:ascii="Arial Narrow" ns0:hAnsi="Arial Narrow"/>
          <ns0:color ns0:val="64AAE6"/>
          <ns0:sz ns0:val="24"/>
        </ns0:rPr>
        <ns0:t>4.1 Blocer le flux de travail</ns0:t>
      </ns0:r>
    </ns0:p>
    <ns0:p>
      <ns0:pPr>
        <ns0:pStyle ns0:val="TOCHeading"/>
        <ns0:ind ns0:left="360"/>
        <ns0:jc ns0:val="left"/>
      </ns0:pPr>
      <ns0:r>
        <ns0:rPr>
          <ns0:rFonts ns0:ascii="Arial Narrow" ns0:hAnsi="Arial Narrow"/>
          <ns0:color ns0:val="64AAE6"/>
          <ns0:sz ns0:val="24"/>
        </ns0:rPr>
        <ns0:t>4.2 Description de la conception du bloc</ns0:t>
      </ns0:r>
    </ns0:p>
    <ns0:p>
      <ns0:r>
        <ns0:br ns0:type="page"/>
      </ns0:r>
    </ns0:p>
    <ns0:p>
      <ns0:pPr>
        <ns0:pStyle ns0:val="Heading1"/>
      </ns0:pPr>
      <ns0:r>
        <ns0:rPr>
          <ns0:rFonts ns0:ascii="Arial" ns0:hAnsi="Arial"/>
          <ns0:color ns0:val="000000"/>
          <ns0:sz ns0:val="36"/>
          <ns0:u ns0:val="single"/>
        </ns0:rPr>
        <ns0:t>1. INTRODUCTION</ns0:t>
      </ns0:r>
    </ns0:p>
    <ns0:p>
      <ns0:r>
        <ns0:t xml:space="preserve">Le cas échéant</ns0:t>
      </ns0:r>
    </ns0:p>
    <ns0:p>
      <ns0:r>
        <ns0:rPr>
          <ns0:rFonts ns0:ascii="Arial" ns0:hAnsi="Arial"/>
          <ns0:sz ns0:val="20"/>
        </ns0:rPr>
        <ns0:br/>
        <ns0:t xml:space="preserve">Le cas échéant</ns0:t>
        <ns0:br/>
        <ns0:t>Le présent document a pour but de décrire l'interprétation des exigences par les équipes de SI et de décrire la fonctionnalité proposée.</ns0:t>
        <ns0:br/>
        <ns0:t xml:space="preserve">Le cas échéant</ns0:t>
        <ns0:br/>
        <ns0:t>L'objectif de ce bloc est le suivant:</ns0:t>
        <ns0:br/>
        <ns0:t xml:space="preserve">Le cas échéant</ns0:t>
      </ns0:r>
    </ns0:p>
    <ns0:p>
      <ns0:pPr>
        <ns0:pStyle ns0:val="Heading3"/>
      </ns0:pPr>
      <ns0:r>
        <ns0:rPr>
          <ns0:rFonts ns0:ascii="Arial" ns0:hAnsi="Arial"/>
          <ns0:color ns0:val="000000"/>
          <ns0:sz ns0:val="24"/>
        </ns0:rPr>
        <ns0:t>1.1 Glossaire</ns0:t>
      </ns0:r>
    </ns0:p>
    <ns0:p>
      <ns0:r>
        <ns0:t xml:space="preserve">Le cas échéant</ns0:t>
      </ns0:r>
    </ns0:p>
    <ns0:p>
      <ns0:r>
        <ns0:rPr>
          <ns0:rFonts ns0:ascii="Arial" ns0:hAnsi="Arial"/>
          <ns0:sz ns0:val="20"/>
        </ns0:rPr>
        <ns0:t>La présente section définit le terme et l'acronyme du projet ou du système qui pourraient être utilisés dans le présent document.</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Terme ou acronyme</ns0:t>
            </ns0:r>
          </ns0:p>
        </ns0:tc>
        <ns0:tc>
          <ns0:tcPr>
            <ns0:tcW ns0:type="dxa" ns0:w="4320"/>
          </ns0:tcPr>
          <ns0:p>
            <ns0:pPr>
              <ns0:jc ns0:val="center"/>
            </ns0:pPr>
            <ns0:r>
              <ns0:rPr>
                <ns0:rFonts ns0:ascii="Arial" ns0:hAnsi="Arial"/>
                <ns0:b/>
                <ns0:color ns0:val="000000"/>
                <ns0:sz ns0:val="20"/>
              </ns0:rPr>
              <ns0:t>Définition</ns0:t>
            </ns0:r>
          </ns0:p>
        </ns0:tc>
      </ns0:tr>
      <ns0:tr>
        <ns0:tc>
          <ns0:tcPr>
            <ns0:tcW ns0:type="dxa" ns0:w="4320"/>
          </ns0:tcPr>
          <ns0:p>
            <ns0:r>
              <ns0:rPr>
                <ns0:rFonts ns0:ascii="Arial" ns0:hAnsi="Arial"/>
                <ns0:color ns0:val="000000"/>
                <ns0:sz ns0:val="20"/>
              </ns0:rPr>
              <ns0:t>Sans objet</ns0:t>
            </ns0:r>
          </ns0:p>
        </ns0:tc>
        <ns0:tc>
          <ns0:tcPr>
            <ns0:tcW ns0:type="dxa" ns0:w="4320"/>
          </ns0:tcPr>
          <ns0:p>
            <ns0:r>
              <ns0:rPr>
                <ns0:rFonts ns0:ascii="Arial" ns0:hAnsi="Arial"/>
                <ns0:color ns0:val="000000"/>
                <ns0:sz ns0:val="20"/>
              </ns0:rPr>
              <ns0:t>Sans objet</ns0:t>
            </ns0:r>
          </ns0:p>
        </ns0:tc>
      </ns0:tr>
    </ns0:tbl>
    <ns0:p>
      <ns0:r>
        <ns0:br/>
        <ns0:br/>
        <ns0:br/>
        <ns0:br/>
        <ns0:br/>
      </ns0:r>
    </ns0:p>
    <ns0:p>
      <ns0:pPr>
        <ns0:pStyle ns0:val="Heading1"/>
      </ns0:pPr>
      <ns0:r>
        <ns0:rPr>
          <ns0:rFonts ns0:ascii="Arial" ns0:hAnsi="Arial"/>
          <ns0:color ns0:val="000000"/>
          <ns0:sz ns0:val="36"/>
          <ns0:u ns0:val="single"/>
        </ns0:rPr>
        <ns0:t>2. CARTE D ' IDENTITÉ DU BLOC</ns0:t>
      </ns0:r>
    </ns0:p>
    <ns0:p>
      <ns0:r>
        <ns0:t xml:space="preserve">Le cas échéant</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Dénomination</ns0:t>
            </ns0:r>
          </ns0:p>
        </ns0:tc>
        <ns0:tc>
          <ns0:tcPr>
            <ns0:tcW ns0:type="dxa" ns0:w="2880"/>
          </ns0:tcPr>
          <ns0:p>
            <ns0:pPr>
              <ns0:jc ns0:val="center"/>
            </ns0:pPr>
            <ns0:r>
              <ns0:rPr>
                <ns0:rFonts ns0:ascii="Arial" ns0:hAnsi="Arial"/>
                <ns0:b/>
                <ns0:color ns0:val="000000"/>
                <ns0:sz ns0:val="20"/>
              </ns0:rPr>
              <ns0:t>Version</ns0:t>
            </ns0:r>
          </ns0:p>
        </ns0:tc>
        <ns0:tc>
          <ns0:tcPr>
            <ns0:tcW ns0:type="dxa" ns0:w="2880"/>
          </ns0:tcPr>
          <ns0:p>
            <ns0:pPr>
              <ns0:jc ns0:val="center"/>
            </ns0:pPr>
            <ns0:r>
              <ns0:rPr>
                <ns0:rFonts ns0:ascii="Arial" ns0:hAnsi="Arial"/>
                <ns0:b/>
                <ns0:color ns0:val="000000"/>
                <ns0:sz ns0:val="20"/>
              </ns0:rPr>
              <ns0:t>Désignation des marchandises</ns0:t>
            </ns0:r>
          </ns0:p>
        </ns0:tc>
      </ns0:tr>
      <ns0:tr>
        <ns0:tc>
          <ns0:tcPr>
            <ns0:tcW ns0:type="dxa" ns0:w="2880"/>
          </ns0:tcPr>
          <ns0:p>
            <ns0:r>
              <ns0:rPr>
                <ns0:rFonts ns0:ascii="Arial" ns0:hAnsi="Arial"/>
                <ns0:color ns0:val="000000"/>
                <ns0:sz ns0:val="20"/>
              </ns0:rPr>
              <ns0:t>WQPY</ns0:t>
            </ns0:r>
          </ns0:p>
        </ns0:tc>
        <ns0:tc>
          <ns0:tcPr>
            <ns0:tcW ns0:type="dxa" ns0:w="2880"/>
          </ns0:tcPr>
          <ns0:p>
            <ns0:r>
              <ns0:rPr>
                <ns0:rFonts ns0:ascii="Arial" ns0:hAnsi="Arial"/>
                <ns0:color ns0:val="000000"/>
                <ns0:sz ns0:val="20"/>
              </ns0:rPr>
              <ns0:t>V1</ns0:t>
            </ns0:r>
          </ns0:p>
        </ns0:tc>
        <ns0:tc>
          <ns0:tcPr>
            <ns0:tcW ns0:type="dxa" ns0:w="2880"/>
          </ns0:tcPr>
          <ns0:p>
            <ns0:r>
              <ns0:rPr>
                <ns0:rFonts ns0:ascii="Arial" ns0:hAnsi="Arial"/>
                <ns0:color ns0:val="000000"/>
                <ns0:sz ns0:val="20"/>
              </ns0:rPr>
              <ns0:t>Étalonnage pré-Mix</ns0:t>
            </ns0:r>
          </ns0:p>
        </ns0:tc>
      </ns0:tr>
    </ns0:tbl>
    <ns0:p>
      <ns0:r>
        <ns0:br ns0:type="page"/>
      </ns0:r>
    </ns0:p>
    <ns0:p>
      <ns0:pPr>
        <ns0:pStyle ns0:val="Heading1"/>
      </ns0:pPr>
      <ns0:r>
        <ns0:rPr>
          <ns0:rFonts ns0:ascii="Arial" ns0:hAnsi="Arial"/>
          <ns0:color ns0:val="000000"/>
          <ns0:sz ns0:val="36"/>
          <ns0:u ns0:val="single"/>
        </ns0:rPr>
        <ns0:t>3. VARIABLES D ' INVESTISSEMENT</ns0:t>
      </ns0:r>
    </ns0:p>
    <ns0:p>
      <ns0:r>
        <ns0:t xml:space="preserve">Le cas échéant</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Variable d'entrée</ns0:t>
            </ns0:r>
          </ns0:p>
        </ns0:tc>
      </ns0:tr>
      <ns0:tr>
        <ns0:tc>
          <ns0:tcPr>
            <ns0:tcW ns0:type="dxa" ns0:w="2880"/>
          </ns0:tcPr>
          <ns0:p>
            <ns0:pPr>
              <ns0:jc ns0:val="center"/>
            </ns0:pPr>
            <ns0:r>
              <ns0:rPr>
                <ns0:b/>
              </ns0:rPr>
              <ns0:t>Nom de la variable</ns0:t>
            </ns0:r>
          </ns0:p>
        </ns0:tc>
        <ns0:tc>
          <ns0:tcPr>
            <ns0:tcW ns0:type="dxa" ns0:w="2880"/>
          </ns0:tcPr>
          <ns0:p>
            <ns0:pPr>
              <ns0:jc ns0:val="center"/>
            </ns0:pPr>
            <ns0:r>
              <ns0:rPr>
                <ns0:b/>
              </ns0:rPr>
              <ns0:t>Type de données</ns0:t>
            </ns0:r>
          </ns0:p>
        </ns0:tc>
        <ns0:tc>
          <ns0:tcPr>
            <ns0:tcW ns0:type="dxa" ns0:w="2880"/>
          </ns0:tcPr>
          <ns0:p>
            <ns0:pPr>
              <ns0:jc ns0:val="center"/>
            </ns0:pPr>
            <ns0:r>
              <ns0:rPr>
                <ns0:b/>
              </ns0:rPr>
              <ns0:t>Désignation des marchandises</ns0:t>
            </ns0:r>
          </ns0:p>
        </ns0:tc>
      </ns0:tr>
      <ns0:tr>
        <ns0:tc>
          <ns0:tcPr>
            <ns0:tcW ns0:type="dxa" ns0:w="2880"/>
          </ns0:tcPr>
          <ns0:p>
            <ns0:r/>
          </ns0:p>
        </ns0:tc>
        <ns0:tc>
          <ns0:tcPr>
            <ns0:tcW ns0:type="dxa" ns0:w="2880"/>
          </ns0:tcPr>
          <ns0:p>
            <ns0:r/>
          </ns0:p>
        </ns0:tc>
        <ns0:tc>
          <ns0:tcPr>
            <ns0:tcW ns0:type="dxa" ns0:w="2880"/>
          </ns0:tcPr>
          <ns0:p>
            <ns0:r/>
          </ns0:p>
        </ns0:tc>
      </ns0:tr>
    </ns0:tbl>
    <ns0:p>
      <ns0:r>
        <ns0:br ns0:type="page"/>
      </ns0:r>
    </ns0:p>
    <ns0:p>
      <ns0:pPr>
        <ns0:pStyle ns0:val="Heading1"/>
      </ns0:pPr>
      <ns0:r>
        <ns0:rPr>
          <ns0:rFonts ns0:ascii="Arial" ns0:hAnsi="Arial"/>
          <ns0:color ns0:val="000000"/>
          <ns0:sz ns0:val="28"/>
          <ns0:u ns0:val="single"/>
        </ns0:rPr>
        <ns0:t>4. SPÉCIFICATION DÉTAILLÉE DU BLOC</ns0:t>
      </ns0:r>
    </ns0:p>
    <ns0:p>
      <ns0:r>
        <ns0:t xml:space="preserve">Le cas échéant</ns0:t>
      </ns0:r>
    </ns0:p>
    <ns0:p>
      <ns0:r>
        <ns0:rPr>
          <ns0:rFonts ns0:ascii="Arial" ns0:hAnsi="Arial"/>
          <ns0:sz ns0:val="20"/>
        </ns0:rPr>
        <ns0:t>Les sections suivantes décrivent en détail l'utilisation et la configuration des blocs.</ns0:t>
      </ns0:r>
    </ns0:p>
    <ns0:p>
      <ns0:pPr>
        <ns0:pStyle ns0:val="Heading3"/>
      </ns0:pPr>
      <ns0:r>
        <ns0:rPr>
          <ns0:rFonts ns0:ascii="Arial" ns0:hAnsi="Arial"/>
          <ns0:color ns0:val="000000"/>
          <ns0:sz ns0:val="24"/>
        </ns0:rPr>
        <ns0:t>4.1 Flux de travail en bloc</ns0:t>
      </ns0:r>
    </ns0:p>
    <ns0:p>
      <ns0:r>
        <ns0:rPr>
          <ns0:rFonts ns0:ascii="Arial" ns0:hAnsi="Arial"/>
          <ns0:sz ns0:val="20"/>
        </ns0:rPr>
        <ns0:t>Le flux de travail suivant décrit le contenu du bloc :</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re-Mix Calibration.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Graphique 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Numéro</ns0:t>
            </ns0:r>
          </ns0:p>
        </ns0:tc>
        <ns0:tc>
          <ns0:tcPr>
            <ns0:tcW ns0:type="dxa" ns0:w="4320"/>
          </ns0:tcPr>
          <ns0:p>
            <ns0:pPr>
              <ns0:jc ns0:val="center"/>
            </ns0:pPr>
            <ns0:r>
              <ns0:rPr>
                <ns0:rFonts ns0:ascii="Arial" ns0:hAnsi="Arial"/>
                <ns0:b/>
                <ns0:color ns0:val="000000"/>
                <ns0:sz ns0:val="20"/>
              </ns0:rPr>
              <ns0:t>Description du flux de travail</ns0:t>
            </ns0:r>
          </ns0:p>
        </ns0:tc>
      </ns0:tr>
      <ns0:tr>
        <ns0:tc>
          <ns0:tcPr>
            <ns0:tcW ns0:type="dxa" ns0:w="4320"/>
          </ns0:tcPr>
          <ns0:p>
            <ns0:r>
              <ns0:rPr>
                <ns0:rFonts ns0:ascii="Arial" ns0:hAnsi="Arial"/>
                <ns0:color ns0:val="000000"/>
                <ns0:sz ns0:val="20"/>
              </ns0:rPr>
              <ns0:t>C.F.001</ns0:t>
            </ns0:r>
          </ns0:p>
        </ns0:tc>
        <ns0:tc>
          <ns0:tcPr>
            <ns0:tcW ns0:type="dxa" ns0:w="4320"/>
          </ns0:tcPr>
          <ns0:p>
            <ns0:r>
              <ns0:rPr>
                <ns0:rFonts ns0:ascii="Arial" ns0:hAnsi="Arial"/>
                <ns0:color ns0:val="000000"/>
                <ns0:sz ns0:val="20"/>
              </ns0:rPr>
              <ns0:t>BF CBF001 a deux activités distinctes : vérifier l'intégrité de la grille après étalonnage et vérifier l'absence d'éléments étrangers sur la grille après étalonnage, qui doivent tous deux être marqués comme étant conformes (C) ou non conformes (NC).</ns0:t>
            </ns0:r>
          </ns0:p>
        </ns0:tc>
      </ns0:tr>
    </ns0:tbl>
    <ns0:p>
      <ns0:r>
        <ns0:t xml:space="preserve">Le cas échéant</ns0:t>
      </ns0:r>
    </ns0:p>
    <ns0:p>
      <ns0:pPr>
        <ns0:pStyle ns0:val="Heading3"/>
      </ns0:pPr>
      <ns0:r>
        <ns0:rPr>
          <ns0:rFonts ns0:ascii="Arial" ns0:hAnsi="Arial"/>
          <ns0:color ns0:val="000000"/>
          <ns0:sz ns0:val="24"/>
        </ns0:rPr>
        <ns0:t>4.2 Description de la conception du bloc</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Numéro</ns0:t>
            </ns0:r>
          </ns0:p>
        </ns0:tc>
        <ns0:tc>
          <ns0:tcPr>
            <ns0:tcW ns0:type="dxa" ns0:w="4320"/>
          </ns0:tcPr>
          <ns0:p>
            <ns0:pPr>
              <ns0:jc ns0:val="center"/>
            </ns0:pPr>
            <ns0:r>
              <ns0:rPr>
                <ns0:rFonts ns0:ascii="Arial" ns0:hAnsi="Arial"/>
                <ns0:b/>
                <ns0:color ns0:val="000000"/>
                <ns0:sz ns0:val="20"/>
              </ns0:rPr>
              <ns0:t>Description détaillée</ns0:t>
            </ns0:r>
          </ns0:p>
        </ns0:tc>
      </ns0:tr>
      <ns0:tr>
        <ns0:tc>
          <ns0:tcPr>
            <ns0:tcW ns0:type="dxa" ns0:w="4320"/>
          </ns0:tcPr>
          <ns0:p>
            <ns0:r>
              <ns0:rPr>
                <ns0:rFonts ns0:ascii="Arial" ns0:hAnsi="Arial"/>
                <ns0:color ns0:val="000000"/>
                <ns0:sz ns0:val="20"/>
              </ns0:rPr>
              <ns0:t>C.F.001</ns0:t>
            </ns0:r>
          </ns0:p>
        </ns0:tc>
        <ns0:tc>
          <ns0:tcPr>
            <ns0:tcW ns0:type="dxa" ns0:w="4320"/>
          </ns0:tcPr>
          <ns0:p>
            <ns0:r>
              <ns0:rPr>
                <ns0:rFonts ns0:ascii="Arial" ns0:hAnsi="Arial"/>
                <ns0:color ns0:val="000000"/>
                <ns0:sz ns0:val="20"/>
              </ns0:rPr>
              <ns0:t>1. Le système affiche la vérification de l ' intégrité de la grille après étalonnage.</ns0:t>
              <ns0:br/>
              <ns0:t>La description "FRM0001" est "Vérifier l'intégrité de la grille après étalonnage". Activité de type de formule avec formule: [Type "variable" INTEGR]</ns0:t>
              <ns0:br/>
              <ns0:br/>
              <ns0:t>2. Le système affiche la vérification de l ' absence d ' éléments étrangers sur la grille après étalonnage.</ns0:t>
              <ns0:br/>
              <ns0:t>La description "FRM0002" est "Vérifier l'absence d'éléments étrangers sur la grille après étalonnage".</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