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Spécifications fonctionnelles</ns0:t>
        <ns0:br/>
        <ns0:t xml:space="preserve">Exécution de la CIB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Nom / Rôle du projet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Signature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Date</ns0:t>
              <ns0:br/>
              <ns0:t>(jj/mm/aaaa)</ns0:t>
            </ns0:r>
          </ns0:p>
        </ns0:tc>
      </ns0:tr>
      <ns0:tr>
        <ns0:tc>
          <ns0:tcPr>
            <ns0:tcW ns0:type="dxa" ns0:w="4320"/>
          </ns0:tcPr>
          <ns0:p>
            <ns0:r>
              <ns0:t>Auteur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Appréciation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Table des matières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Présentation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Glossaire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Carte d'identité de bloc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Variables d'entrée par blocs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Spécification détaillée du bloc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Blocer le flux de travail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Description de la conception du bloc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INTRODUCTION</ns0:t>
      </ns0:r>
    </ns0:p>
    <ns0:p>
      <ns0:r>
        <ns0:t xml:space="preserve">Le cas échéant</ns0:t>
      </ns0:r>
    </ns0:p>
    <ns0:p>
      <ns0:r>
        <ns0:rPr>
          <ns0:rFonts ns0:ascii="Arial" ns0:hAnsi="Arial"/>
          <ns0:sz ns0:val="20"/>
        </ns0:rPr>
        <ns0:br/>
        <ns0:t xml:space="preserve">Le cas échéant</ns0:t>
        <ns0:br/>
        <ns0:t>Le présent document a pour but de décrire l'interprétation des exigences par les équipes de SI et de décrire la fonctionnalité proposée.</ns0:t>
        <ns0:br/>
        <ns0:t xml:space="preserve">Le cas échéant</ns0:t>
        <ns0:br/>
        <ns0:t>L'objectif de ce bloc est le suivant:</ns0:t>
        <ns0:br/>
        <ns0:t xml:space="preserve">Le cas échéant</ns0:t>
      </ns0:r>
    </ns0:p>
    <ns0:p>
      <ns0:pPr>
        <ns0:pStyle ns0:val="ListBullet"/>
        <ns0:ind ns0:left="576"/>
      </ns0:pPr>
      <ns0:r>
        <ns0:rPr>
          <ns0:rFonts ns0:ascii="Arial" ns0:hAnsi="Arial"/>
          <ns0:sz ns0:val="20"/>
        </ns0:rPr>
        <ns0:t>Identifiez l'équipement ou le poste de travail sur lequel la CIB est exécutée Date et heure de l'échantillonnage à l'aide d'une case à cocher Enregistrement de la conformité à la CIB à l'aide d'une case à cocher Engagement de l'opérateur de l'enregistrement à l'aide d'une signature électronique</ns0:t>
      </ns0:r>
    </ns0:p>
    <ns0:p>
      <ns0:r>
        <ns0:br/>
        <ns0:br/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 Glossaire</ns0:t>
      </ns0:r>
    </ns0:p>
    <ns0:p>
      <ns0:r>
        <ns0:t xml:space="preserve">Le cas échéant</ns0:t>
      </ns0:r>
    </ns0:p>
    <ns0:p>
      <ns0:r>
        <ns0:rPr>
          <ns0:rFonts ns0:ascii="Arial" ns0:hAnsi="Arial"/>
          <ns0:sz ns0:val="20"/>
        </ns0:rPr>
        <ns0:t>La présente section définit le terme et l'acronyme du projet ou du système qui pourraient être utilisés dans le présent document.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Terme ou acronyme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Définition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Sans objet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Sans objet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CARTE D ' IDENTITÉ DU BLOC</ns0:t>
      </ns0:r>
    </ns0:p>
    <ns0:p>
      <ns0:r>
        <ns0:t xml:space="preserve">Le cas échéant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Dénomination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Version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Désignation des marchandises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YXCR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Exécution de la CIB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VARIABLES D ' INVESTISSEMENT</ns0:t>
      </ns0:r>
    </ns0:p>
    <ns0:p>
      <ns0:r>
        <ns0:t xml:space="preserve">Le cas échéant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Variable d'entrée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Nom de la variable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Type de données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Désignation des marchandises</ns0:t>
            </ns0:r>
          </ns0:p>
        </ns0:tc>
      </ns0:tr>
      <ns0:tr>
        <ns0:tc>
          <ns0:tcPr>
            <ns0:tcW ns0:type="dxa" ns0:w="2880"/>
          </ns0:tcPr>
          <ns0:p>
            <ns0:r>
              <ns0:t>Instruction réf (x3)</ns0:t>
            </ns0:r>
          </ns0:p>
        </ns0:tc>
        <ns0:tc>
          <ns0:tcPr>
            <ns0:tcW ns0:type="dxa" ns0:w="2880"/>
          </ns0:tcPr>
          <ns0:p>
            <ns0:r>
              <ns0:t>hyperlien</ns0:t>
            </ns0:r>
          </ns0:p>
        </ns0:tc>
        <ns0:tc>
          <ns0:tcPr>
            <ns0:tcW ns0:type="dxa" ns0:w="2880"/>
          </ns0:tcPr>
          <ns0:p>
            <ns0:r>
              <ns0:t>Sans objet</ns0:t>
            </ns0:r>
          </ns0:p>
        </ns0:tc>
      </ns0:tr>
      <ns0:tr>
        <ns0:tc>
          <ns0:tcPr>
            <ns0:tcW ns0:type="dxa" ns0:w="2880"/>
          </ns0:tcPr>
          <ns0:p>
            <ns0:r>
              <ns0:t>_Nom de l'équipement</ns0:t>
            </ns0:r>
          </ns0:p>
        </ns0:tc>
        <ns0:tc>
          <ns0:tcPr>
            <ns0:tcW ns0:type="dxa" ns0:w="2880"/>
          </ns0:tcPr>
          <ns0:p>
            <ns0:r>
              <ns0:t>Texte</ns0:t>
            </ns0:r>
          </ns0:p>
        </ns0:tc>
        <ns0:tc>
          <ns0:tcPr>
            <ns0:tcW ns0:type="dxa" ns0:w="2880"/>
          </ns0:tcPr>
          <ns0:p>
            <ns0:r>
              <ns0:t>Sans objet</ns0:t>
            </ns0:r>
          </ns0:p>
        </ns0:tc>
      </ns0:tr>
      <ns0:tr>
        <ns0:tc>
          <ns0:tcPr>
            <ns0:tcW ns0:type="dxa" ns0:w="2880"/>
          </ns0:tcPr>
          <ns0:p>
            <ns0:r>
              <ns0:t>Échantillonnage des unités X (x2)</ns0:t>
            </ns0:r>
          </ns0:p>
        </ns0:tc>
        <ns0:tc>
          <ns0:tcPr>
            <ns0:tcW ns0:type="dxa" ns0:w="2880"/>
          </ns0:tcPr>
          <ns0:p>
            <ns0:r>
              <ns0:t>Numéro</ns0:t>
            </ns0:r>
          </ns0:p>
        </ns0:tc>
        <ns0:tc>
          <ns0:tcPr>
            <ns0:tcW ns0:type="dxa" ns0:w="2880"/>
          </ns0:tcPr>
          <ns0:p>
            <ns0:r>
              <ns0:t>Sans objet</ns0:t>
            </ns0:r>
          </ns0:p>
        </ns0:tc>
      </ns0:tr>
      <ns0:tr>
        <ns0:tc>
          <ns0:tcPr>
            <ns0:tcW ns0:type="dxa" ns0:w="2880"/>
          </ns0:tcPr>
          <ns0:p>
            <ns0:r>
              <ns0:t>Date - Essai</ns0:t>
            </ns0:r>
          </ns0:p>
        </ns0:tc>
        <ns0:tc>
          <ns0:tcPr>
            <ns0:tcW ns0:type="dxa" ns0:w="2880"/>
          </ns0:tcPr>
          <ns0:p>
            <ns0:r>
              <ns0:t>Date</ns0:t>
            </ns0:r>
          </ns0:p>
        </ns0:tc>
        <ns0:tc>
          <ns0:tcPr>
            <ns0:tcW ns0:type="dxa" ns0:w="2880"/>
          </ns0:tcPr>
          <ns0:p>
            <ns0:r>
              <ns0:t>Sans objet</ns0:t>
            </ns0:r>
          </ns0:p>
        </ns0:tc>
      </ns0:tr>
      <ns0:tr>
        <ns0:tc>
          <ns0:tcPr>
            <ns0:tcW ns0:type="dxa" ns0:w="2880"/>
          </ns0:tcPr>
          <ns0:p>
            <ns0:r>
              <ns0:t>Temps - Essais</ns0:t>
            </ns0:r>
          </ns0:p>
        </ns0:tc>
        <ns0:tc>
          <ns0:tcPr>
            <ns0:tcW ns0:type="dxa" ns0:w="2880"/>
          </ns0:tcPr>
          <ns0:p>
            <ns0:r>
              <ns0:t>Heure</ns0:t>
            </ns0:r>
          </ns0:p>
        </ns0:tc>
        <ns0:tc>
          <ns0:tcPr>
            <ns0:tcW ns0:type="dxa" ns0:w="2880"/>
          </ns0:tcPr>
          <ns0:p>
            <ns0:r>
              <ns0:t>Sans objet</ns0:t>
            </ns0:r>
          </ns0:p>
        </ns0:tc>
      </ns0:tr>
      <ns0:tr>
        <ns0:tc>
          <ns0:tcPr>
            <ns0:tcW ns0:type="dxa" ns0:w="2880"/>
          </ns0:tcPr>
          <ns0:p>
            <ns0:r>
              <ns0:t>e-signature - essai</ns0:t>
            </ns0:r>
          </ns0:p>
        </ns0:tc>
        <ns0:tc>
          <ns0:tcPr>
            <ns0:tcW ns0:type="dxa" ns0:w="2880"/>
          </ns0:tcPr>
          <ns0:p>
            <ns0:r>
              <ns0:t>Signe électronique</ns0:t>
            </ns0:r>
          </ns0:p>
        </ns0:tc>
        <ns0:tc>
          <ns0:tcPr>
            <ns0:tcW ns0:type="dxa" ns0:w="2880"/>
          </ns0:tcPr>
          <ns0:p>
            <ns0:r>
              <ns0:t>Sans objet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SPÉCIFICATION DÉTAILLÉE DU BLOC</ns0:t>
      </ns0:r>
    </ns0:p>
    <ns0:p>
      <ns0:r>
        <ns0:t xml:space="preserve">Le cas échéant</ns0:t>
      </ns0:r>
    </ns0:p>
    <ns0:p>
      <ns0:r>
        <ns0:rPr>
          <ns0:rFonts ns0:ascii="Arial" ns0:hAnsi="Arial"/>
          <ns0:sz ns0:val="20"/>
        </ns0:rPr>
        <ns0:t>Les sections suivantes décrivent en détail l'utilisation et la configuration des blocs.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 Flux de travail en bloc</ns0:t>
      </ns0:r>
    </ns0:p>
    <ns0:p>
      <ns0:r>
        <ns0:rPr>
          <ns0:rFonts ns0:ascii="Arial" ns0:hAnsi="Arial"/>
          <ns0:sz ns0:val="20"/>
        </ns0:rPr>
        <ns0:t>Le flux de travail suivant décrit le contenu du bloc 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perform ipc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Graphique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Numéro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 du flux de travail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C.F.001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avec 1 activité pour ouvrir et lire le document SOP.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Règlement (UE) no 1308/2013 du Parlement européen et du Conseil du 17 décembre 2013 relatif à la mise en œuvre de l'accord de coopération entre la Communauté économique européenne et la République populaire de Chine relatif à l'application de l'accord de coopération entre la Communauté économique européenne et la République populaire de Chine relatif à l'application de l'accord de coopération entre la Communauté économique européenne et la République populaire de Chine relatif à l'application de l'accord de coopération entre la Communauté économique européenne et la République populaire de Chine relatif à l'application de l'accord de coopération entre la Communauté économique européenne et la République populaire de Chine relatif à l'application de l'accord de coopération entre la Communauté économique européenne et la République populaire de Chine relatif à l'application de l'accord de coopération entre la Communauté économique européenne et la République populaire de Chine relatif à l'application de l'accord de coopération entre la Communauté économique européenne et la République populaire de Chine relatif à l'application de l'accord de coopération entre la Communauté économique européenne et la République populaire de Chine relatif à l'application de l'accord de coopération entre la Communauté économique européenne et la République populaire de Chine relatif à l'application de l'accord de l'accord de coopération entre la Communauté économique économique européenne sur l'Espace économique économique économique économique économique économique européenne (JOC.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CBF002 a quatre activités distinctes : échantillonnage, date d'échantillonnage, temps d'échantillonnage et conformité, chacune associée à la certification de l'échantillonnage ou à l'exécution de la CIB sur un nombre déterminé d'unités selon une référence d'instruction.</ns0:t>
            </ns0:r>
          </ns0:p>
        </ns0:tc>
      </ns0:tr>
    </ns0:tbl>
    <ns0:p>
      <ns0:r>
        <ns0:t xml:space="preserve">Le cas échéant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 Description de la conception du bloc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Numéro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 détaillée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C.F.001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L'opérateur ouvre et lit le document SOP.</ns0:t>
              <ns0:br/>
              <ns0:t>"SOP0001", description est "SOP display", activité de type SOP avec chemin de formule vers SOP: {String variable SOP}</ns0:t>
              <ns0:br/>
              <ns0:t xml:space="preserve">Le cas échéant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Règlement (UE) no 1308/2013 du Parlement européen et du Conseil du 17 décembre 2013 relatif à la mise en œuvre de l'accord de coopération entre la Communauté économique européenne et la République populaire de Chine relatif à l'application de l'accord de coopération entre la Communauté économique européenne et la République populaire de Chine relatif à l'application de l'accord de coopération entre la Communauté économique européenne et la République populaire de Chine relatif à l'application de l'accord de coopération entre la Communauté économique européenne et la République populaire de Chine relatif à l'application de l'accord de coopération entre la Communauté économique européenne et la République populaire de Chine relatif à l'application de l'accord de coopération entre la Communauté économique européenne et la République populaire de Chine relatif à l'application de l'accord de coopération entre la Communauté économique européenne et la République populaire de Chine relatif à l'application de l'accord de coopération entre la Communauté économique européenne et la République populaire de Chine relatif à l'application de l'accord de coopération entre la Communauté économique européenne et la République populaire de Chine relatif à l'application de l'accord de coopération entre la Communauté économique européenne et la République populaire de Chine relatif à l'application de l'accord de l'accord de coopération entre la Communauté économique économique européenne sur l'Espace économique économique économique économique économique économique européenne (JOC.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Le système affiche l ' état d ' échantillonnage.</ns0:t>
              <ns0:br/>
              <ns0:t>"FRM0001" description est "Echantillonnage". Activité de type de formule avec formule: [Cochez "variable" Sampl]</ns0:t>
              <ns0:br/>
              <ns0:br/>
              <ns0:t>2. Le système affiche la date de prélèvement.</ns0:t>
              <ns0:br/>
              <ns0:t>"FRM0002" description est "Date d'échantillonnage". Activité de type de formule avec formule: [Date "variable" SampD]</ns0:t>
              <ns0:br/>
              <ns0:br/>
              <ns0:t>3. Le système affiche le temps de prélèvement.</ns0:t>
              <ns0:br/>
              <ns0:t>"FRM0003" description est "Temps d'échantillonnage". Activité de type de formule avec formule: [Temps "variable" SampT]</ns0:t>
              <ns0:br/>
              <ns0:br/>
              <ns0:t>4. Le système affiche le statut de conformité.</ns0:t>
              <ns0:br/>
              <ns0:t>"FRM0004" description est "Conformité". Activité de type de formule avec formule: [Conf "variable" Confo]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