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Funktionelle Spezifikationen</ns0:t>
        <ns0:br/>
        <ns0:t xml:space="preserve">Kalibrierung vor dem Mischen</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 / Projektrolle</ns0:t>
            </ns0:r>
          </ns0:p>
        </ns0:tc>
        <ns0:tc>
          <ns0:tcPr>
            <ns0:tcW ns0:type="dxa" ns0:w="4320"/>
          </ns0:tcPr>
          <ns0:p>
            <ns0:pPr>
              <ns0:jc ns0:val="center"/>
            </ns0:pPr>
            <ns0:r>
              <ns0:t>Unterschrift</ns0:t>
            </ns0:r>
          </ns0:p>
        </ns0:tc>
        <ns0:tc>
          <ns0:tcPr>
            <ns0:tcW ns0:type="dxa" ns0:w="4320"/>
          </ns0:tcPr>
          <ns0:p>
            <ns0:pPr>
              <ns0:jc ns0:val="center"/>
            </ns0:pPr>
            <ns0:r>
              <ns0:t>Zeitpunkt</ns0:t>
              <ns0:br/>
              <ns0:t>(TT/MM/JJJJ)</ns0:t>
            </ns0:r>
          </ns0:p>
        </ns0:tc>
      </ns0:tr>
      <ns0:tr>
        <ns0:tc>
          <ns0:tcPr>
            <ns0:tcW ns0:type="dxa" ns0:w="4320"/>
          </ns0:tcPr>
          <ns0:p>
            <ns0:r>
              <ns0:t>Verfasser</ns0:t>
            </ns0:r>
          </ns0:p>
        </ns0:tc>
        <ns0:tc>
          <ns0:tcPr>
            <ns0:tcW ns0:type="dxa" ns0:w="4320"/>
          </ns0:tcPr>
          <ns0:p/>
        </ns0:tc>
        <ns0:tc>
          <ns0:tcPr>
            <ns0:tcW ns0:type="dxa" ns0:w="4320"/>
          </ns0:tcPr>
          <ns0:p/>
        </ns0:tc>
      </ns0:tr>
      <ns0:tr>
        <ns0:tc>
          <ns0:tcPr>
            <ns0:tcW ns0:type="dxa" ns0:w="4320"/>
          </ns0:tcPr>
          <ns0:p>
            <ns0:r>
              <ns0:t>Anwendungsbereich</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Inhaltsverzeichnis</ns0:t>
      </ns0:r>
    </ns0:p>
    <ns0:p>
      <ns0:r>
        <ns0:br/>
        <ns0:br/>
      </ns0:r>
    </ns0:p>
    <ns0:p>
      <ns0:pPr>
        <ns0:pStyle ns0:val="TOCHeading"/>
        <ns0:jc ns0:val="left"/>
      </ns0:pPr>
      <ns0:r>
        <ns0:rPr>
          <ns0:rFonts ns0:ascii="Arial Narrow" ns0:hAnsi="Arial Narrow"/>
          <ns0:color ns0:val="64AAE6"/>
          <ns0:sz ns0:val="28"/>
        </ns0:rPr>
        <ns0:t>1. Einleitung</ns0:t>
      </ns0:r>
    </ns0:p>
    <ns0:p>
      <ns0:pPr>
        <ns0:pStyle ns0:val="TOCHeading"/>
        <ns0:ind ns0:left="360"/>
        <ns0:jc ns0:val="left"/>
      </ns0:pPr>
      <ns0:r>
        <ns0:rPr>
          <ns0:rFonts ns0:ascii="Arial Narrow" ns0:hAnsi="Arial Narrow"/>
          <ns0:color ns0:val="64AAE6"/>
          <ns0:sz ns0:val="24"/>
        </ns0:rPr>
        <ns0:t>1.1 Glossar</ns0:t>
      </ns0:r>
    </ns0:p>
    <ns0:p>
      <ns0:pPr>
        <ns0:pStyle ns0:val="TOCHeading"/>
        <ns0:jc ns0:val="left"/>
      </ns0:pPr>
      <ns0:r>
        <ns0:rPr>
          <ns0:rFonts ns0:ascii="Arial Narrow" ns0:hAnsi="Arial Narrow"/>
          <ns0:color ns0:val="64AAE6"/>
          <ns0:sz ns0:val="28"/>
        </ns0:rPr>
        <ns0:t>2. Personalausweis blockieren</ns0:t>
      </ns0:r>
    </ns0:p>
    <ns0:p>
      <ns0:pPr>
        <ns0:pStyle ns0:val="TOCHeading"/>
        <ns0:jc ns0:val="left"/>
      </ns0:pPr>
      <ns0:r>
        <ns0:rPr>
          <ns0:rFonts ns0:ascii="Arial Narrow" ns0:hAnsi="Arial Narrow"/>
          <ns0:color ns0:val="64AAE6"/>
          <ns0:sz ns0:val="28"/>
        </ns0:rPr>
        <ns0:t>3. Eingabevariablen blockieren</ns0:t>
      </ns0:r>
    </ns0:p>
    <ns0:p>
      <ns0:pPr>
        <ns0:pStyle ns0:val="TOCHeading"/>
        <ns0:jc ns0:val="left"/>
      </ns0:pPr>
      <ns0:r>
        <ns0:rPr>
          <ns0:rFonts ns0:ascii="Arial Narrow" ns0:hAnsi="Arial Narrow"/>
          <ns0:color ns0:val="64AAE6"/>
          <ns0:sz ns0:val="28"/>
        </ns0:rPr>
        <ns0:t>4. Detaillierte Spezifikation blockieren</ns0:t>
      </ns0:r>
    </ns0:p>
    <ns0:p>
      <ns0:pPr>
        <ns0:pStyle ns0:val="TOCHeading"/>
        <ns0:ind ns0:left="360"/>
        <ns0:jc ns0:val="left"/>
      </ns0:pPr>
      <ns0:r>
        <ns0:rPr>
          <ns0:rFonts ns0:ascii="Arial Narrow" ns0:hAnsi="Arial Narrow"/>
          <ns0:color ns0:val="64AAE6"/>
          <ns0:sz ns0:val="24"/>
        </ns0:rPr>
        <ns0:t>4.1 Arbeitsablauf blockieren</ns0:t>
      </ns0:r>
    </ns0:p>
    <ns0:p>
      <ns0:pPr>
        <ns0:pStyle ns0:val="TOCHeading"/>
        <ns0:ind ns0:left="360"/>
        <ns0:jc ns0:val="left"/>
      </ns0:pPr>
      <ns0:r>
        <ns0:rPr>
          <ns0:rFonts ns0:ascii="Arial Narrow" ns0:hAnsi="Arial Narrow"/>
          <ns0:color ns0:val="64AAE6"/>
          <ns0:sz ns0:val="24"/>
        </ns0:rPr>
        <ns0:t>4.2 Entwurfsbeschreibung blockieren</ns0:t>
      </ns0:r>
    </ns0:p>
    <ns0:p>
      <ns0:r>
        <ns0:br ns0:type="page"/>
      </ns0:r>
    </ns0:p>
    <ns0:p>
      <ns0:pPr>
        <ns0:pStyle ns0:val="Heading1"/>
      </ns0:pPr>
      <ns0:r>
        <ns0:rPr>
          <ns0:rFonts ns0:ascii="Arial" ns0:hAnsi="Arial"/>
          <ns0:color ns0:val="000000"/>
          <ns0:sz ns0:val="36"/>
          <ns0:u ns0:val="single"/>
        </ns0:rPr>
        <ns0:t>1. EINLEITUNG</ns0:t>
      </ns0:r>
    </ns0:p>
    <ns0:p>
      <ns0:r>
        <ns0:t xml:space="preserve">Der Präsident</ns0:t>
      </ns0:r>
    </ns0:p>
    <ns0:p>
      <ns0:r>
        <ns0:rPr>
          <ns0:rFonts ns0:ascii="Arial" ns0:hAnsi="Arial"/>
          <ns0:sz ns0:val="20"/>
        </ns0:rPr>
        <ns0:br/>
        <ns0:t xml:space="preserve">Der Präsident</ns0:t>
        <ns0:br/>
        <ns0:t>Ziel dieses Dokuments ist es, die Interpretation der Anforderungen durch die IS-Teams zu beschreiben und die zu liefernde Funktionalität zu beschreiben.</ns0:t>
        <ns0:br/>
        <ns0:t xml:space="preserve">Der Präsident</ns0:t>
        <ns0:br/>
        <ns0:t>Der Zweck dieses Blocks ist:</ns0:t>
        <ns0:br/>
        <ns0:t xml:space="preserve">Der Präsident</ns0:t>
      </ns0:r>
    </ns0:p>
    <ns0:p>
      <ns0:pPr>
        <ns0:pStyle ns0:val="Heading3"/>
      </ns0:pPr>
      <ns0:r>
        <ns0:rPr>
          <ns0:rFonts ns0:ascii="Arial" ns0:hAnsi="Arial"/>
          <ns0:color ns0:val="000000"/>
          <ns0:sz ns0:val="24"/>
        </ns0:rPr>
        <ns0:t>1.1. Glossar</ns0:t>
      </ns0:r>
    </ns0:p>
    <ns0:p>
      <ns0:r>
        <ns0:t xml:space="preserve">Der Präsident</ns0:t>
      </ns0:r>
    </ns0:p>
    <ns0:p>
      <ns0:r>
        <ns0:rPr>
          <ns0:rFonts ns0:ascii="Arial" ns0:hAnsi="Arial"/>
          <ns0:sz ns0:val="20"/>
        </ns0:rPr>
        <ns0:t>Dieser Abschnitt definiert spezifische Projekt-/Systembegriffe und Akronyme, die in diesem Dokument verwendet werden könnten.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Bezeichnung oder Abkürzung</ns0:t>
            </ns0:r>
          </ns0:p>
        </ns0:tc>
        <ns0:tc>
          <ns0:tcPr>
            <ns0:tcW ns0:type="dxa" ns0:w="4320"/>
          </ns0:tcPr>
          <ns0:p>
            <ns0:pPr>
              <ns0:jc ns0:val="center"/>
            </ns0:pPr>
            <ns0:r>
              <ns0:rPr>
                <ns0:rFonts ns0:ascii="Arial" ns0:hAnsi="Arial"/>
                <ns0:b/>
                <ns0:color ns0:val="000000"/>
                <ns0:sz ns0:val="20"/>
              </ns0:rPr>
              <ns0:t>Begriffsbestimmung</ns0:t>
            </ns0:r>
          </ns0:p>
        </ns0:tc>
      </ns0:tr>
      <ns0:tr>
        <ns0:tc>
          <ns0:tcPr>
            <ns0:tcW ns0:type="dxa" ns0:w="4320"/>
          </ns0:tcPr>
          <ns0:p>
            <ns0:r>
              <ns0:rPr>
                <ns0:rFonts ns0:ascii="Arial" ns0:hAnsi="Arial"/>
                <ns0:color ns0:val="000000"/>
                <ns0:sz ns0:val="20"/>
              </ns0:rPr>
              <ns0:t>Nicht zutreffend</ns0:t>
            </ns0:r>
          </ns0:p>
        </ns0:tc>
        <ns0:tc>
          <ns0:tcPr>
            <ns0:tcW ns0:type="dxa" ns0:w="4320"/>
          </ns0:tcPr>
          <ns0:p>
            <ns0:r>
              <ns0:rPr>
                <ns0:rFonts ns0:ascii="Arial" ns0:hAnsi="Arial"/>
                <ns0:color ns0:val="000000"/>
                <ns0:sz ns0:val="20"/>
              </ns0:rPr>
              <ns0:t>Nicht zutreffend</ns0:t>
            </ns0:r>
          </ns0:p>
        </ns0:tc>
      </ns0:tr>
    </ns0:tbl>
    <ns0:p>
      <ns0:r>
        <ns0:br/>
        <ns0:br/>
        <ns0:br/>
        <ns0:br/>
        <ns0:br/>
      </ns0:r>
    </ns0:p>
    <ns0:p>
      <ns0:pPr>
        <ns0:pStyle ns0:val="Heading1"/>
      </ns0:pPr>
      <ns0:r>
        <ns0:rPr>
          <ns0:rFonts ns0:ascii="Arial" ns0:hAnsi="Arial"/>
          <ns0:color ns0:val="000000"/>
          <ns0:sz ns0:val="36"/>
          <ns0:u ns0:val="single"/>
        </ns0:rPr>
        <ns0:t>2. BLOCK IDENTITY CARD</ns0:t>
      </ns0:r>
    </ns0:p>
    <ns0:p>
      <ns0:r>
        <ns0:t xml:space="preserve">Der Präsident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Bezeichnung</ns0:t>
            </ns0:r>
          </ns0:p>
        </ns0:tc>
        <ns0:tc>
          <ns0:tcPr>
            <ns0:tcW ns0:type="dxa" ns0:w="2880"/>
          </ns0:tcPr>
          <ns0:p>
            <ns0:pPr>
              <ns0:jc ns0:val="center"/>
            </ns0:pPr>
            <ns0:r>
              <ns0:rPr>
                <ns0:rFonts ns0:ascii="Arial" ns0:hAnsi="Arial"/>
                <ns0:b/>
                <ns0:color ns0:val="000000"/>
                <ns0:sz ns0:val="20"/>
              </ns0:rPr>
              <ns0:t>Fassung</ns0:t>
            </ns0:r>
          </ns0:p>
        </ns0:tc>
        <ns0:tc>
          <ns0:tcPr>
            <ns0:tcW ns0:type="dxa" ns0:w="2880"/>
          </ns0:tcPr>
          <ns0:p>
            <ns0:pPr>
              <ns0:jc ns0:val="center"/>
            </ns0:pPr>
            <ns0:r>
              <ns0:rPr>
                <ns0:rFonts ns0:ascii="Arial" ns0:hAnsi="Arial"/>
                <ns0:b/>
                <ns0:color ns0:val="000000"/>
                <ns0:sz ns0:val="20"/>
              </ns0:rPr>
              <ns0:t>Warenbezeichnung</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Kalibrierung vor dem Mischen</ns0:t>
            </ns0:r>
          </ns0:p>
        </ns0:tc>
      </ns0:tr>
    </ns0:tbl>
    <ns0:p>
      <ns0:r>
        <ns0:br ns0:type="page"/>
      </ns0:r>
    </ns0:p>
    <ns0:p>
      <ns0:pPr>
        <ns0:pStyle ns0:val="Heading1"/>
      </ns0:pPr>
      <ns0:r>
        <ns0:rPr>
          <ns0:rFonts ns0:ascii="Arial" ns0:hAnsi="Arial"/>
          <ns0:color ns0:val="000000"/>
          <ns0:sz ns0:val="36"/>
          <ns0:u ns0:val="single"/>
        </ns0:rPr>
        <ns0:t>3. BLOCK INPUT VARIABLES</ns0:t>
      </ns0:r>
    </ns0:p>
    <ns0:p>
      <ns0:r>
        <ns0:t xml:space="preserve">Der Präsident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Eingabevariable</ns0:t>
            </ns0:r>
          </ns0:p>
        </ns0:tc>
      </ns0:tr>
      <ns0:tr>
        <ns0:tc>
          <ns0:tcPr>
            <ns0:tcW ns0:type="dxa" ns0:w="2880"/>
          </ns0:tcPr>
          <ns0:p>
            <ns0:pPr>
              <ns0:jc ns0:val="center"/>
            </ns0:pPr>
            <ns0:r>
              <ns0:rPr>
                <ns0:b/>
              </ns0:rPr>
              <ns0:t>Variablenname</ns0:t>
            </ns0:r>
          </ns0:p>
        </ns0:tc>
        <ns0:tc>
          <ns0:tcPr>
            <ns0:tcW ns0:type="dxa" ns0:w="2880"/>
          </ns0:tcPr>
          <ns0:p>
            <ns0:pPr>
              <ns0:jc ns0:val="center"/>
            </ns0:pPr>
            <ns0:r>
              <ns0:rPr>
                <ns0:b/>
              </ns0:rPr>
              <ns0:t>Datentyp</ns0:t>
            </ns0:r>
          </ns0:p>
        </ns0:tc>
        <ns0:tc>
          <ns0:tcPr>
            <ns0:tcW ns0:type="dxa" ns0:w="2880"/>
          </ns0:tcPr>
          <ns0:p>
            <ns0:pPr>
              <ns0:jc ns0:val="center"/>
            </ns0:pPr>
            <ns0:r>
              <ns0:rPr>
                <ns0:b/>
              </ns0:rPr>
              <ns0:t>Warenbezeichnung</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BLOCK DETAILLIERTE SPEZIFIKATION</ns0:t>
      </ns0:r>
    </ns0:p>
    <ns0:p>
      <ns0:r>
        <ns0:t xml:space="preserve">Der Präsident</ns0:t>
      </ns0:r>
    </ns0:p>
    <ns0:p>
      <ns0:r>
        <ns0:rPr>
          <ns0:rFonts ns0:ascii="Arial" ns0:hAnsi="Arial"/>
          <ns0:sz ns0:val="20"/>
        </ns0:rPr>
        <ns0:t>Die folgenden Abschnitte beschreiben im Detail die Verwendung und Konfiguration des Blocks.</ns0:t>
      </ns0:r>
    </ns0:p>
    <ns0:p>
      <ns0:pPr>
        <ns0:pStyle ns0:val="Heading3"/>
      </ns0:pPr>
      <ns0:r>
        <ns0:rPr>
          <ns0:rFonts ns0:ascii="Arial" ns0:hAnsi="Arial"/>
          <ns0:color ns0:val="000000"/>
          <ns0:sz ns0:val="24"/>
        </ns0:rPr>
        <ns0:t>4.1. Arbeitsablauf blockieren</ns0:t>
      </ns0:r>
    </ns0:p>
    <ns0:p>
      <ns0:r>
        <ns0:rPr>
          <ns0:rFonts ns0:ascii="Arial" ns0:hAnsi="Arial"/>
          <ns0:sz ns0:val="20"/>
        </ns0:rPr>
        <ns0:t>Folgender Workflow beschreibt den Inhalt des Blocks:</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Abbildung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Beschreibung des Workflows</ns0:t>
            </ns0:r>
          </ns0:p>
        </ns0:tc>
      </ns0:tr>
      <ns0:tr>
        <ns0:tc>
          <ns0:tcPr>
            <ns0:tcW ns0:type="dxa" ns0:w="4320"/>
          </ns0:tcPr>
          <ns0:p>
            <ns0:r>
              <ns0:rPr>
                <ns0:rFonts ns0:ascii="Arial" ns0:hAnsi="Arial"/>
                <ns0:color ns0:val="000000"/>
                <ns0:sz ns0:val="20"/>
              </ns0:rPr>
              <ns0:t>L 347 vom 20.12.2013, S. 1).</ns0:t>
            </ns0:r>
          </ns0:p>
        </ns0:tc>
        <ns0:tc>
          <ns0:tcPr>
            <ns0:tcW ns0:type="dxa" ns0:w="4320"/>
          </ns0:tcPr>
          <ns0:p>
            <ns0:r>
              <ns0:rPr>
                <ns0:rFonts ns0:ascii="Arial" ns0:hAnsi="Arial"/>
                <ns0:color ns0:val="000000"/>
                <ns0:sz ns0:val="20"/>
              </ns0:rPr>
              <ns0:t>BF CBF001 hat zwei verschiedene Tätigkeiten: Überprüfung der Integrität des Gitters nach der Kalibrierung und Überprüfung des Fehlens von Fremdelementen im Gitter nach der Kalibrierung, die beide als konform (C) oder nicht konform (NC) gekennzeichnet werden sollen.</ns0:t>
            </ns0:r>
          </ns0:p>
        </ns0:tc>
      </ns0:tr>
    </ns0:tbl>
    <ns0:p>
      <ns0:r>
        <ns0:t xml:space="preserve">Der Präsident</ns0:t>
      </ns0:r>
    </ns0:p>
    <ns0:p>
      <ns0:pPr>
        <ns0:pStyle ns0:val="Heading3"/>
      </ns0:pPr>
      <ns0:r>
        <ns0:rPr>
          <ns0:rFonts ns0:ascii="Arial" ns0:hAnsi="Arial"/>
          <ns0:color ns0:val="000000"/>
          <ns0:sz ns0:val="24"/>
        </ns0:rPr>
        <ns0:t>4.2. Entwurfsbeschreibung blockieren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Ausführliche Beschreibung</ns0:t>
            </ns0:r>
          </ns0:p>
        </ns0:tc>
      </ns0:tr>
      <ns0:tr>
        <ns0:tc>
          <ns0:tcPr>
            <ns0:tcW ns0:type="dxa" ns0:w="4320"/>
          </ns0:tcPr>
          <ns0:p>
            <ns0:r>
              <ns0:rPr>
                <ns0:rFonts ns0:ascii="Arial" ns0:hAnsi="Arial"/>
                <ns0:color ns0:val="000000"/>
                <ns0:sz ns0:val="20"/>
              </ns0:rPr>
              <ns0:t>L 347 vom 20.12.2013, S. 1).</ns0:t>
            </ns0:r>
          </ns0:p>
        </ns0:tc>
        <ns0:tc>
          <ns0:tcPr>
            <ns0:tcW ns0:type="dxa" ns0:w="4320"/>
          </ns0:tcPr>
          <ns0:p>
            <ns0:r>
              <ns0:rPr>
                <ns0:rFonts ns0:ascii="Arial" ns0:hAnsi="Arial"/>
                <ns0:color ns0:val="000000"/>
                <ns0:sz ns0:val="20"/>
              </ns0:rPr>
              <ns0:t>1. System zeigt die Integritätsprüfung des Rasters nach der Kalibrierung an.</ns0:t>
              <ns0:br/>
              <ns0:t>"FRM0001" Beschreibung ist "Überprüfen Sie die Integrität des Gitters nach der Kalibrierung". Formel Typ Aktivität mit Formel: [Typ "variable" INTEGR]</ns0:t>
              <ns0:br/>
              <ns0:br/>
              <ns0:t>2. System zeigt die Abwesenheitsprüfung von Fremdelementen im Raster nach der Kalibrierung an.</ns0:t>
              <ns0:br/>
              <ns0:t>"FRM0002" Beschreibung ist "Überprüfen Sie das Fehlen von Fremdelementen auf dem Raster nach der Kalibrierung". Formel Typ Aktivität mit Formel: [Typ "variable" ABSFEL]</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