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 ns1:Ignorable="w14 wp14">
  <ns0:body>
    <ns0:p>
      <ns0:pPr>
        <ns0:jc ns0:val="center"/>
      </ns0:pPr>
      <ns0:r>
        <ns0:rPr>
          <ns0:sz ns0:val="56"/>
        </ns0:rPr>
        <ns0:br/>
        <ns0:br/>
        <ns0:br/>
        <ns0:t xml:space="preserve">Specifiche funzionali</ns0:t>
        <ns0:br/>
        <ns0:t xml:space="preserve">Calibrazione pre-mix</ns0:t>
        <ns0:br/>
      </ns0:r>
    </ns0:p>
    <ns0:p>
      <ns0:r>
        <ns0:br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t>Nome / Ruolo del progetto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Firma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Data</ns0:t>
              <ns0:br/>
              <ns0:t>(gg/mmm/aaaa)</ns0:t>
            </ns0:r>
          </ns0:p>
        </ns0:tc>
      </ns0:tr>
      <ns0:tr>
        <ns0:tc>
          <ns0:tcPr>
            <ns0:tcW ns0:type="dxa" ns0:w="4320"/>
          </ns0:tcPr>
          <ns0:p>
            <ns0:r>
              <ns0:t>Autore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  <ns0:tr>
        <ns0:tc>
          <ns0:tcPr>
            <ns0:tcW ns0:type="dxa" ns0:w="4320"/>
          </ns0:tcPr>
          <ns0:p>
            <ns0:r>
              <ns0:t>Proprietario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Cambria (Body)" ns0:hAnsi="Cambria (Body)"/>
          <ns0:color ns0:val="000000"/>
          <ns0:sz ns0:val="36"/>
        </ns0:rPr>
        <ns0:t>Indice</ns0:t>
      </ns0:r>
    </ns0:p>
    <ns0:p>
      <ns0:r>
        <ns0:br/>
        <ns0:br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1. Introduzione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1.1 Glossario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2. Bloccare la carta di identità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3. Bloccare le variabili di ingresso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4. Blocco specifiche dettagliate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4.1 Blocco del flusso di lavoro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4.2 Descrizione del progetto a blocchi</ns0:t>
      </ns0:r>
    </ns0:p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1. INTRODUZIONE</ns0:t>
      </ns0:r>
    </ns0:p>
    <ns0:p>
      <ns0:r>
        <ns0:t xml:space="preserve">- Si'.</ns0:t>
      </ns0:r>
    </ns0:p>
    <ns0:p>
      <ns0:r>
        <ns0:rPr>
          <ns0:rFonts ns0:ascii="Arial" ns0:hAnsi="Arial"/>
          <ns0:sz ns0:val="20"/>
        </ns0:rPr>
        <ns0:br/>
        <ns0:t xml:space="preserve">- Si'.</ns0:t>
        <ns0:br/>
        <ns0:t>L'obiettivo di questo documento è quello di descrivere l'interpretazione delle IS team dei requisiti, e descrive la funzionalità proposta da fornire.</ns0:t>
        <ns0:br/>
        <ns0:t xml:space="preserve">- Si'.</ns0:t>
        <ns0:br/>
        <ns0:t>Lo scopo di questo blocco è il seguente:</ns0:t>
        <ns0:br/>
        <ns0:t xml:space="preserve">- Si'.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1.1. Glossario</ns0:t>
      </ns0:r>
    </ns0:p>
    <ns0:p>
      <ns0:r>
        <ns0:t xml:space="preserve">- Si'.</ns0:t>
      </ns0:r>
    </ns0:p>
    <ns0:p>
      <ns0:r>
        <ns0:rPr>
          <ns0:rFonts ns0:ascii="Arial" ns0:hAnsi="Arial"/>
          <ns0:sz ns0:val="20"/>
        </ns0:rPr>
        <ns0:t>Questa sezione definisce il termine specifico del progetto/sistema e l'acronimo che potrebbe essere utilizzato in questo documento.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Termine o acronimo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Definizione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N/A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N/A</ns0:t>
            </ns0:r>
          </ns0:p>
        </ns0:tc>
      </ns0:tr>
    </ns0:tbl>
    <ns0:p>
      <ns0:r>
        <ns0:br/>
        <ns0:br/>
        <ns0:br/>
        <ns0:br/>
        <ns0:br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2. BLOCK IDENTITY CARD</ns0:t>
      </ns0:r>
    </ns0:p>
    <ns0:p>
      <ns0:r>
        <ns0:t xml:space="preserve">- Si'.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Nome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Versione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Descrizione</ns0:t>
            </ns0:r>
          </ns0:p>
        </ns0:tc>
      </ns0:tr>
      <ns0:tr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WQPY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V1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Calibrazione pre-mix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3. BLOCCARE VARIABILI</ns0:t>
      </ns0:r>
    </ns0:p>
    <ns0:p>
      <ns0:r>
        <ns0:t xml:space="preserve">- Si'.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8640"/>
            <ns0:gridSpan ns0:val="3"/>
          </ns0:tcPr>
          <ns0:p>
            <ns0:pPr>
              <ns0:jc ns0:val="center"/>
            </ns0:pPr>
            <ns0:r>
              <ns0:rPr>
                <ns0:b/>
              </ns0:rPr>
              <ns0:t>Variabile di ingresso</ns0:t>
            </ns0:r>
          </ns0:p>
        </ns0:tc>
      </ns0:tr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Nome variabile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Tipo di dati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Descrizione</ns0:t>
            </ns0:r>
          </ns0:p>
        </ns0:tc>
      </ns0:tr>
      <ns0:tr>
        <ns0:tc>
          <ns0:tcPr>
            <ns0:tcW ns0:type="dxa" ns0:w="2880"/>
          </ns0:tcPr>
          <ns0:p>
            <ns0:r/>
          </ns0:p>
        </ns0:tc>
        <ns0:tc>
          <ns0:tcPr>
            <ns0:tcW ns0:type="dxa" ns0:w="2880"/>
          </ns0:tcPr>
          <ns0:p>
            <ns0:r/>
          </ns0:p>
        </ns0:tc>
        <ns0:tc>
          <ns0:tcPr>
            <ns0:tcW ns0:type="dxa" ns0:w="2880"/>
          </ns0:tcPr>
          <ns0:p>
            <ns0:r/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28"/>
          <ns0:u ns0:val="single"/>
        </ns0:rPr>
        <ns0:t>4. SPECIFICHE DETTAGLIATE DEL BLOCK</ns0:t>
      </ns0:r>
    </ns0:p>
    <ns0:p>
      <ns0:r>
        <ns0:t xml:space="preserve">- Si'.</ns0:t>
      </ns0:r>
    </ns0:p>
    <ns0:p>
      <ns0:r>
        <ns0:rPr>
          <ns0:rFonts ns0:ascii="Arial" ns0:hAnsi="Arial"/>
          <ns0:sz ns0:val="20"/>
        </ns0:rPr>
        <ns0:t>Le seguenti sezioni descriveranno, in dettaglio, l'utilizzo e la configurazione del blocco.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4.1. Blocco del flusso di lavoro</ns0:t>
      </ns0:r>
    </ns0:p>
    <ns0:p>
      <ns0:r>
        <ns0:rPr>
          <ns0:rFonts ns0:ascii="Arial" ns0:hAnsi="Arial"/>
          <ns0:sz ns0:val="20"/>
        </ns0:rPr>
        <ns0:t>Il seguente flusso di lavoro descrive il contenuto del blocco:</ns0:t>
      </ns0:r>
    </ns0:p>
    <ns0:p>
      <ns0:pPr>
        <ns0:jc ns0:val="center"/>
      </ns0:pPr>
      <ns0:r>
        <ns0:drawing>
          <ns2:inline>
            <ns2:extent cx="2743200" cy="4297680"/>
            <ns2:docPr id="1" name="Picture 1"/>
            <ns2:cNvGraphicFramePr>
              <ns3:graphicFrameLocks noChangeAspect="1"/>
            </ns2:cNvGraphicFramePr>
            <ns3:graphic>
              <ns3:graphicData uri="http://schemas.openxmlformats.org/drawingml/2006/picture">
                <ns4:pic>
                  <ns4:nvPicPr>
                    <ns4:cNvPr id="0" name="Pre-Mix Calibration.png"/>
                    <ns4:cNvPicPr/>
                  </ns4:nvPicPr>
                  <ns4:blipFill>
                    <ns3:blip ns5:embed="rId9"/>
                    <ns3:stretch>
                      <ns3:fillRect/>
                    </ns3:stretch>
                  </ns4:blipFill>
                  <ns4:spPr>
                    <ns3:xfrm>
                      <ns3:off x="0" y="0"/>
                      <ns3:ext cx="2743200" cy="4297680"/>
                    </ns3:xfrm>
                    <ns3:prstGeom prst="rect"/>
                  </ns4:spPr>
                </ns4:pic>
              </ns3:graphicData>
            </ns3:graphic>
          </ns2:inline>
        </ns0:drawing>
      </ns0:r>
      <ns0:r>
        <ns0:rPr>
          <ns0:rFonts ns0:ascii="Arial" ns0:hAnsi="Arial"/>
          <ns0:i/>
          <ns0:sz ns0:val="20"/>
        </ns0:rPr>
        <ns0:br/>
        <ns0:t>Figura 1</ns0:t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Descrizione del flusso di lavoro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CBF001 ha due attività distinte: verificare l'integrità della griglia dopo la taratura e verificare l'assenza di elementi estranei sulla griglia dopo la taratura, entrambi da contrassegnare come conformi (C) o non conformi (NC).</ns0:t>
            </ns0:r>
          </ns0:p>
        </ns0:tc>
      </ns0:tr>
    </ns0:tbl>
    <ns0:p>
      <ns0:r>
        <ns0:t xml:space="preserve">- Si'.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4.2. Descrizione del progetto del blocco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Descrizione dettagliata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Il sistema visualizza il controllo dell'integrità della griglia dopo la taratura.</ns0:t>
              <ns0:br/>
              <ns0:t>La descrizione "FRM0001" è "Verifica l'integrità della griglia dopo la taratura." Attività di tipo formula con formula: [Tipo "variabile" INTEGR]</ns0:t>
              <ns0:br/>
              <ns0:br/>
              <ns0:t>2. Il sistema visualizza il controllo dell'assenza di elementi estranei sulla griglia dopo la calibrazione.</ns0:t>
              <ns0:br/>
              <ns0:t>La descrizione "FRM0002" è "Verifica l'assenza di elementi estranei sulla griglia dopo la taratura." Attività di tipo formula con formula: [Tipo "variabile" ABSFEL]</ns0:t>
            </ns0:r>
          </ns0:p>
        </ns0:tc>
      </ns0:tr>
    </ns0:tbl>
    <ns0:sectPr ns0:rsidR="00FC693F" ns0:rsidRPr="0006063C" ns0:rsidSect="00034616">
      <ns0:pgSz ns0:w="12240" ns0:h="15840"/>
      <ns0:pgMar ns0:top="1440" ns0:right="1800" ns0:bottom="1440" ns0:left="180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