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Specifiche funzionali</ns0:t>
        <ns0:br/>
        <ns0:t xml:space="preserve">Lubrificazione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Nome / Ruolo del progetto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Firma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Data</ns0:t>
              <ns0:br/>
              <ns0:t>(gg/mmm/aaaa)</ns0:t>
            </ns0:r>
          </ns0:p>
        </ns0:tc>
      </ns0:tr>
      <ns0:tr>
        <ns0:tc>
          <ns0:tcPr>
            <ns0:tcW ns0:type="dxa" ns0:w="4320"/>
          </ns0:tcPr>
          <ns0:p>
            <ns0:r>
              <ns0:t>Autore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Proprietario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Indice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Introduzione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Glossario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Bloccare la carta di identità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Bloccare le variabili di ingresso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Blocco specifiche dettagliate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Blocco del flusso di lavoro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Descrizione del progetto a blocchi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INTRODUZIONE</ns0:t>
      </ns0:r>
    </ns0:p>
    <ns0:p>
      <ns0:r>
        <ns0:t xml:space="preserve">- Si'.</ns0:t>
      </ns0:r>
    </ns0:p>
    <ns0:p>
      <ns0:r>
        <ns0:rPr>
          <ns0:rFonts ns0:ascii="Arial" ns0:hAnsi="Arial"/>
          <ns0:sz ns0:val="20"/>
        </ns0:rPr>
        <ns0:br/>
        <ns0:t xml:space="preserve">- Si'.</ns0:t>
        <ns0:br/>
        <ns0:t>L'obiettivo di questo documento è quello di descrivere l'interpretazione delle IS team dei requisiti, e descrive la funzionalità proposta da fornire.</ns0:t>
        <ns0:br/>
        <ns0:t xml:space="preserve">- Si'.</ns0:t>
        <ns0:br/>
        <ns0:t>Lo scopo di questo blocco è il seguente:</ns0:t>
        <ns0:br/>
        <ns0:t xml:space="preserve">- Si'.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1.1. Glossario</ns0:t>
      </ns0:r>
    </ns0:p>
    <ns0:p>
      <ns0:r>
        <ns0:t xml:space="preserve">- Si'.</ns0:t>
      </ns0:r>
    </ns0:p>
    <ns0:p>
      <ns0:r>
        <ns0:rPr>
          <ns0:rFonts ns0:ascii="Arial" ns0:hAnsi="Arial"/>
          <ns0:sz ns0:val="20"/>
        </ns0:rPr>
        <ns0:t>Questa sezione definisce il termine specifico del progetto/sistema e l'acronimo che potrebbe essere utilizzato in questo documento.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Termine o acronimo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Definizione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N/A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N/A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BLOCK IDENTITY CARD</ns0:t>
      </ns0:r>
    </ns0:p>
    <ns0:p>
      <ns0:r>
        <ns0:t xml:space="preserve">- Si'.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Nome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Versione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Descrizione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SZWK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Lubrificazione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BLOCCARE VARIABILI</ns0:t>
      </ns0:r>
    </ns0:p>
    <ns0:p>
      <ns0:r>
        <ns0:t xml:space="preserve">- Si'.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Variabile di ingresso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Nome variabile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Tipo di dati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Descrizione</ns0:t>
            </ns0:r>
          </ns0:p>
        </ns0:tc>
      </ns0:tr>
      <ns0:tr>
        <ns0:tc>
          <ns0:tcPr>
            <ns0:tcW ns0:type="dxa" ns0:w="2880"/>
          </ns0:tcPr>
          <ns0:p>
            <ns0:r>
              <ns0:t>takeout dei materiali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Tira fuori Mat#6</ns0:t>
            </ns0:r>
          </ns0:p>
        </ns0:tc>
      </ns0:tr>
      <ns0:tr>
        <ns0:tc>
          <ns0:tcPr>
            <ns0:tcW ns0:type="dxa" ns0:w="2880"/>
          </ns0:tcPr>
          <ns0:p>
            <ns0:r>
              <ns0:t>Istruzioni per il trasferimento t</ns0:t>
            </ns0:r>
          </ns0:p>
        </ns0:tc>
        <ns0:tc>
          <ns0:tcPr>
            <ns0:tcW ns0:type="dxa" ns0:w="2880"/>
          </ns0:tcPr>
          <ns0:p>
            <ns0:r>
              <ns0:t>Testo</ns0:t>
            </ns0:r>
          </ns0:p>
        </ns0:tc>
        <ns0:tc>
          <ns0:tcPr>
            <ns0:tcW ns0:type="dxa" ns0:w="2880"/>
          </ns0:tcPr>
          <ns0:p>
            <ns0:r>
              <ns0:t>Trasferire i materiali al mixer</ns0:t>
            </ns0:r>
          </ns0:p>
        </ns0:tc>
      </ns0:tr>
      <ns0:tr>
        <ns0:tc>
          <ns0:tcPr>
            <ns0:tcW ns0:type="dxa" ns0:w="2880"/>
          </ns0:tcPr>
          <ns0:p>
            <ns0:r>
              <ns0:t>Registrare la velocità del mixer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Velocità del miscelatore</ns0:t>
            </ns0:r>
          </ns0:p>
        </ns0:tc>
      </ns0:tr>
      <ns0:tr>
        <ns0:tc>
          <ns0:tcPr>
            <ns0:tcW ns0:type="dxa" ns0:w="2880"/>
          </ns0:tcPr>
          <ns0:p>
            <ns0:r>
              <ns0:t>Registrare il tempo di miscelazione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Tempo di miscelazione</ns0:t>
            </ns0:r>
          </ns0:p>
        </ns0:tc>
      </ns0:tr>
      <ns0:tr>
        <ns0:tc>
          <ns0:tcPr>
            <ns0:tcW ns0:type="dxa" ns0:w="2880"/>
          </ns0:tcPr>
          <ns0:p>
            <ns0:r>
              <ns0:t>Registrare l'ora di inizio della miscelazione</ns0:t>
            </ns0:r>
          </ns0:p>
        </ns0:tc>
        <ns0:tc>
          <ns0:tcPr>
            <ns0:tcW ns0:type="dxa" ns0:w="2880"/>
          </ns0:tcPr>
          <ns0:p>
            <ns0:r>
              <ns0:t>Ora</ns0:t>
            </ns0:r>
          </ns0:p>
        </ns0:tc>
        <ns0:tc>
          <ns0:tcPr>
            <ns0:tcW ns0:type="dxa" ns0:w="2880"/>
          </ns0:tcPr>
          <ns0:p>
            <ns0:r>
              <ns0:t>starter Tempo del processo</ns0:t>
            </ns0:r>
          </ns0:p>
        </ns0:tc>
      </ns0:tr>
      <ns0:tr>
        <ns0:tc>
          <ns0:tcPr>
            <ns0:tcW ns0:type="dxa" ns0:w="2880"/>
          </ns0:tcPr>
          <ns0:p>
            <ns0:r>
              <ns0:t>Registrare l'ora di fine miscelazione</ns0:t>
            </ns0:r>
          </ns0:p>
        </ns0:tc>
        <ns0:tc>
          <ns0:tcPr>
            <ns0:tcW ns0:type="dxa" ns0:w="2880"/>
          </ns0:tcPr>
          <ns0:p>
            <ns0:r>
              <ns0:t>Ora</ns0:t>
            </ns0:r>
          </ns0:p>
        </ns0:tc>
        <ns0:tc>
          <ns0:tcPr>
            <ns0:tcW ns0:type="dxa" ns0:w="2880"/>
          </ns0:tcPr>
          <ns0:p>
            <ns0:r>
              <ns0:t>Fine del processo</ns0:t>
            </ns0:r>
          </ns0:p>
        </ns0:tc>
      </ns0:tr>
      <ns0:tr>
        <ns0:tc>
          <ns0:tcPr>
            <ns0:tcW ns0:type="dxa" ns0:w="2880"/>
          </ns0:tcPr>
          <ns0:p>
            <ns0:r>
              <ns0:t>Calcolo automatico della preparazione totale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Valutazione temporale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SPECIFICHE DETTAGLIATE DEL BLOCK</ns0:t>
      </ns0:r>
    </ns0:p>
    <ns0:p>
      <ns0:r>
        <ns0:t xml:space="preserve">- Si'.</ns0:t>
      </ns0:r>
    </ns0:p>
    <ns0:p>
      <ns0:r>
        <ns0:rPr>
          <ns0:rFonts ns0:ascii="Arial" ns0:hAnsi="Arial"/>
          <ns0:sz ns0:val="20"/>
        </ns0:rPr>
        <ns0:t>Le seguenti sezioni descriveranno, in dettaglio, l'utilizzo e la configurazione del blocco.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4.1. Blocco del flusso di lavoro</ns0:t>
      </ns0:r>
    </ns0:p>
    <ns0:p>
      <ns0:r>
        <ns0:rPr>
          <ns0:rFonts ns0:ascii="Arial" ns0:hAnsi="Arial"/>
          <ns0:sz ns0:val="20"/>
        </ns0:rPr>
        <ns0:t>Il seguente flusso di lavoro descrive il contenuto del blocco: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Lubrication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Figura 1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Descrizione del flusso di lavoro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 ha due attività distinte: aggiungere una determinata quantità di materiale nel frullatore e mescolarlo per una durata specificata, correlando la quantità di materiale con il tempo di miscelazione.</ns0:t>
            </ns0:r>
          </ns0:p>
        </ns0:tc>
      </ns0:tr>
    </ns0:tbl>
    <ns0:p>
      <ns0:r>
        <ns0:t xml:space="preserve">- Si'.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4.2. Descrizione del progetto del blocco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Descrizione dettagliata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Il sistema visualizza la quantità di materiale da aggiungere nel frullatore.</ns0:t>
              <ns0:br/>
              <ns0:t>La descrizione "FRM0001" è "Mat#6: .......Kg." Attività tipo formula con formula: [Num "variable" Mat#6]</ns0:t>
              <ns0:br/>
              <ns0:br/>
              <ns0:t>2. Il sistema visualizza il tempo di miscelazione.</ns0:t>
              <ns0:br/>
              <ns0:t>"FRM0002" descrizione è "tempo di miscelazione:...............min." Attività tipo formula con formula: [Num "variabile" MixTim]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