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Especificaciones funcionales</ns0:t>
        <ns0:br/>
        <ns0:t xml:space="preserve">Calibración Pre-Mix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Nombre / Rol del proyecto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Firma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Fecha</ns0:t>
              <ns0:br/>
              <ns0:t>(dd/mmm/aaaa)</ns0:t>
            </ns0:r>
          </ns0:p>
        </ns0:tc>
      </ns0:tr>
      <ns0:tr>
        <ns0:tc>
          <ns0:tcPr>
            <ns0:tcW ns0:type="dxa" ns0:w="4320"/>
          </ns0:tcPr>
          <ns0:p>
            <ns0:r>
              <ns0:t>Autor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Índice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Introducción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Glosario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Bloqueo de la tarjeta de identidad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Variables de entrada de bloque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Especificación detallada del bloque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Flujo de trabajo de bloques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Descripción del diseño del bloque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INTRODUCCIÓN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br/>
        <ns0:t xml:space="preserve">- No, no.</ns0:t>
        <ns0:br/>
        <ns0:t>El objetivo de este documento es describir la interpretación de los requisitos por parte de los equipos de SI, y describe la funcionalidad propuesta.</ns0:t>
        <ns0:br/>
        <ns0:t xml:space="preserve">- No, no.</ns0:t>
        <ns0:br/>
        <ns0:t>El propósito de este bloque es el siguiente:</ns0:t>
        <ns0:br/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Glosario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Esta sección define el término específico proyecto/sistema y las acrónimos que podrían usarse en este documento.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Término o Acrónimo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Definición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N/D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N/D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TARJETA DE IDENTIDAD BLOCK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Nombre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Versión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Calibración Pre-Mix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DE BLOCK INPUT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Variable de entrada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Nombre variable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Tipo de datos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Descripción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ESPECIFICACIONES DETALLADAS DE BLOCK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Las siguientes secciones describirán, en detalle, el uso y la configuración del bloque.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Flujo de trabajo en bloque</ns0:t>
      </ns0:r>
    </ns0:p>
    <ns0:p>
      <ns0:r>
        <ns0:rPr>
          <ns0:rFonts ns0:ascii="Arial" ns0:hAnsi="Arial"/>
          <ns0:sz ns0:val="20"/>
        </ns0:rPr>
        <ns0:t>El siguiente flujo de trabajo describe el contenido del bloque: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Gráfico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 del flujo de trabajo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El BF CBF001 tiene dos actividades distintas: comprobar la integridad de la cuadrícula después de la calibración y comprobar la ausencia de elementos extraños en la cuadrícula después de la calibración, que deben marcarse como conformes (C) o no conformes (NC).</ns0:t>
            </ns0:r>
          </ns0:p>
        </ns0:tc>
      </ns0:tr>
    </ns0:tbl>
    <ns0:p>
      <ns0:r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Descripción del diseño del bloque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 detallada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El sistema muestra la comprobación de integridad de la cuadrícula después de la calibración.</ns0:t>
              <ns0:br/>
              <ns0:t>La descripción "FRM0001" es "Comprobar la integridad de la cuadrícula después de la calibración". Actividad de tipo de fórmula con fórmula: [Tipo "variable" INTEGR]</ns0:t>
              <ns0:br/>
              <ns0:br/>
              <ns0:t>2. El sistema muestra la comprobación de ausencia de elementos extraños en la cuadrícula después de la calibración.</ns0:t>
              <ns0:br/>
              <ns0:t>La descripción "FRM0002" es "Comprobar la ausencia de elementos extraños en la cuadrícula después de la calibración". Actividad de tipo de fórmula con fórmula: [Tipo "variable"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