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ns0:document xmlns:ns0="http://schemas.openxmlformats.org/wordprocessingml/2006/main" xmlns:ns1="http://schemas.openxmlformats.org/markup-compatibility/2006" xmlns:ns2="http://schemas.openxmlformats.org/drawingml/2006/wordprocessingDrawing" xmlns:ns3="http://schemas.openxmlformats.org/drawingml/2006/main" xmlns:ns4="http://schemas.openxmlformats.org/drawingml/2006/picture" xmlns:ns5="http://schemas.openxmlformats.org/officeDocument/2006/relationships" ns1:Ignorable="w14 wp14">
  <ns0:body>
    <ns0:p>
      <ns0:pPr>
        <ns0:jc ns0:val="center"/>
      </ns0:pPr>
      <ns0:r>
        <ns0:rPr>
          <ns0:sz ns0:val="56"/>
        </ns0:rPr>
        <ns0:br/>
        <ns0:br/>
        <ns0:br/>
        <ns0:t xml:space="preserve">Toiminnalliset vaatimukset</ns0:t>
        <ns0:br/>
        <ns0:t xml:space="preserve">Tee IPC</ns0:t>
        <ns0:br/>
      </ns0:r>
    </ns0:p>
    <ns0:p>
      <ns0:r>
        <ns0:br/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t>Nimi / projektin rooli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Allekirjoitus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t>Päivämäärä</ns0:t>
              <ns0:br/>
              <ns0:t>(pp/kk/vvvv)</ns0:t>
            </ns0:r>
          </ns0:p>
        </ns0:tc>
      </ns0:tr>
      <ns0:tr>
        <ns0:tc>
          <ns0:tcPr>
            <ns0:tcW ns0:type="dxa" ns0:w="4320"/>
          </ns0:tcPr>
          <ns0:p>
            <ns0:r>
              <ns0:t>Tekijä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  <ns0:tr>
        <ns0:tc>
          <ns0:tcPr>
            <ns0:tcW ns0:type="dxa" ns0:w="4320"/>
          </ns0:tcPr>
          <ns0:p>
            <ns0:r>
              <ns0:t>Asenna</ns0:t>
            </ns0:r>
          </ns0:p>
        </ns0:tc>
        <ns0:tc>
          <ns0:tcPr>
            <ns0:tcW ns0:type="dxa" ns0:w="4320"/>
          </ns0:tcPr>
          <ns0:p/>
        </ns0:tc>
        <ns0:tc>
          <ns0:tcPr>
            <ns0:tcW ns0:type="dxa" ns0:w="4320"/>
          </ns0:tcPr>
          <ns0:p/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Cambria (Body)" ns0:hAnsi="Cambria (Body)"/>
          <ns0:color ns0:val="000000"/>
          <ns0:sz ns0:val="36"/>
        </ns0:rPr>
        <ns0:t>Sisällys</ns0:t>
      </ns0:r>
    </ns0:p>
    <ns0:p>
      <ns0:r>
        <ns0:br/>
        <ns0:br/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1. Johdanto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1.1 Sanasto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2. Tunnistuskortti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3. Block Input -muuttujat</ns0:t>
      </ns0:r>
    </ns0:p>
    <ns0:p>
      <ns0:pPr>
        <ns0:pStyle ns0:val="TOCHeading"/>
        <ns0:jc ns0:val="left"/>
      </ns0:pPr>
      <ns0:r>
        <ns0:rPr>
          <ns0:rFonts ns0:ascii="Arial Narrow" ns0:hAnsi="Arial Narrow"/>
          <ns0:color ns0:val="64AAE6"/>
          <ns0:sz ns0:val="28"/>
        </ns0:rPr>
        <ns0:t>4. Block Yksityiskohtainen erittely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4.1 Block workflow</ns0:t>
      </ns0:r>
    </ns0:p>
    <ns0:p>
      <ns0:pPr>
        <ns0:pStyle ns0:val="TOCHeading"/>
        <ns0:ind ns0:left="360"/>
        <ns0:jc ns0:val="left"/>
      </ns0:pPr>
      <ns0:r>
        <ns0:rPr>
          <ns0:rFonts ns0:ascii="Arial Narrow" ns0:hAnsi="Arial Narrow"/>
          <ns0:color ns0:val="64AAE6"/>
          <ns0:sz ns0:val="24"/>
        </ns0:rPr>
        <ns0:t>4.2 Block-suunnittelukuvaus</ns0:t>
      </ns0:r>
    </ns0:p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1. JOHDANTO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br/>
        <ns0:t xml:space="preserve">- Ei se mitään.</ns0:t>
        <ns0:br/>
        <ns0:t>Tämän dokumentin tavoitteena on kuvata IS:n tiimien tulkintaa vaatimuksista ja kuvailla ehdotettua toiminnallisuutta.</ns0:t>
        <ns0:br/>
        <ns0:t xml:space="preserve">- Ei se mitään.</ns0:t>
        <ns0:br/>
        <ns0:t>Tämän lohkon tarkoitus on seuraava:</ns0:t>
        <ns0:br/>
        <ns0:t xml:space="preserve">- Ei se mitään.</ns0:t>
      </ns0:r>
    </ns0:p>
    <ns0:p>
      <ns0:pPr>
        <ns0:pStyle ns0:val="ListBullet"/>
        <ns0:ind ns0:left="576"/>
      </ns0:pPr>
      <ns0:r>
        <ns0:rPr>
          <ns0:rFonts ns0:ascii="Arial" ns0:hAnsi="Arial"/>
          <ns0:sz ns0:val="20"/>
        </ns0:rPr>
        <ns0:t>Tunnista laitteet tai työasema, jolla IPC suoritetaan Kirjaa näytteenottopäivä ja -aika valintaruudun Record IPC -testien vaatimustenmukaisuus manuaalisesti valintalaatikon kautta Record-operaattorin sitoumus sähköiseen allekirjoitukseen</ns0:t>
      </ns0:r>
    </ns0:p>
    <ns0:p>
      <ns0:r>
        <ns0:br/>
        <ns0:br/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1.1. Sanasto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Tässä jaksossa määritellään erityinen hanke-/järjestelmätermi ja lyhenne, jota tässä asiakirjassa voitaisiin käyttää.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Termi tai akronyymi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Määritelmä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Ei sovelleta</ns0:t>
            </ns0:r>
          </ns0:p>
        </ns0:tc>
      </ns0:tr>
    </ns0:tbl>
    <ns0:p>
      <ns0:r>
        <ns0:br/>
        <ns0:br/>
        <ns0:br/>
        <ns0:br/>
        <ns0:br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2. BLOCK IDENTITY CARD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Malli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YXCR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V1</ns0:t>
            </ns0:r>
          </ns0:p>
        </ns0:tc>
        <ns0:tc>
          <ns0:tcPr>
            <ns0:tcW ns0:type="dxa" ns0:w="288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Tee IPC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36"/>
          <ns0:u ns0:val="single"/>
        </ns0:rPr>
        <ns0:t>3. BLOCK INPUT MUUTTUJAT</ns0:t>
      </ns0:r>
    </ns0:p>
    <ns0:p>
      <ns0:r>
        <ns0:t xml:space="preserve">- Ei se mitään.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2880"/>
        <ns0:gridCol ns0:w="2880"/>
        <ns0:gridCol ns0:w="2880"/>
      </ns0:tblGrid>
      <ns0:tr>
        <ns0:tc>
          <ns0:tcPr>
            <ns0:tcW ns0:type="dxa" ns0:w="8640"/>
            <ns0:gridSpan ns0:val="3"/>
          </ns0:tcPr>
          <ns0:p>
            <ns0:pPr>
              <ns0:jc ns0:val="center"/>
            </ns0:pPr>
            <ns0:r>
              <ns0:rPr>
                <ns0:b/>
              </ns0:rPr>
              <ns0:t>Syötemuuttuja</ns0:t>
            </ns0:r>
          </ns0:p>
        </ns0:tc>
      </ns0:tr>
      <ns0:tr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Muuttujan nimi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Tietojen tyyppi</ns0:t>
            </ns0:r>
          </ns0:p>
        </ns0:tc>
        <ns0:tc>
          <ns0:tcPr>
            <ns0:tcW ns0:type="dxa" ns0:w="2880"/>
          </ns0:tcPr>
          <ns0:p>
            <ns0:pPr>
              <ns0:jc ns0:val="center"/>
            </ns0:pPr>
            <ns0:r>
              <ns0:rPr>
                <ns0:b/>
              </ns0:rPr>
              <ns0:t>Tavaran kuvaus</ns0:t>
            </ns0:r>
          </ns0:p>
        </ns0:tc>
      </ns0:tr>
      <ns0:tr>
        <ns0:tc>
          <ns0:tcPr>
            <ns0:tcW ns0:type="dxa" ns0:w="2880"/>
          </ns0:tcPr>
          <ns0:p>
            <ns0:r>
              <ns0:t>Ohjeviite (x3)</ns0:t>
            </ns0:r>
          </ns0:p>
        </ns0:tc>
        <ns0:tc>
          <ns0:tcPr>
            <ns0:tcW ns0:type="dxa" ns0:w="2880"/>
          </ns0:tcPr>
          <ns0:p>
            <ns0:r>
              <ns0:t>hyperlinkki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  <ns0:tr>
        <ns0:tc>
          <ns0:tcPr>
            <ns0:tcW ns0:type="dxa" ns0:w="2880"/>
          </ns0:tcPr>
          <ns0:p>
            <ns0:r>
              <ns0:t>Laitteen nimi</ns0:t>
            </ns0:r>
          </ns0:p>
        </ns0:tc>
        <ns0:tc>
          <ns0:tcPr>
            <ns0:tcW ns0:type="dxa" ns0:w="2880"/>
          </ns0:tcPr>
          <ns0:p>
            <ns0:r>
              <ns0:t>Teksti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  <ns0:tr>
        <ns0:tc>
          <ns0:tcPr>
            <ns0:tcW ns0:type="dxa" ns0:w="2880"/>
          </ns0:tcPr>
          <ns0:p>
            <ns0:r>
              <ns0:t>Näytteenotto X yksikköä (x2)</ns0:t>
            </ns0:r>
          </ns0:p>
        </ns0:tc>
        <ns0:tc>
          <ns0:tcPr>
            <ns0:tcW ns0:type="dxa" ns0:w="2880"/>
          </ns0:tcPr>
          <ns0:p>
            <ns0:r>
              <ns0:t>Num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  <ns0:tr>
        <ns0:tc>
          <ns0:tcPr>
            <ns0:tcW ns0:type="dxa" ns0:w="2880"/>
          </ns0:tcPr>
          <ns0:p>
            <ns0:r>
              <ns0:t>Päiväys - Testit</ns0:t>
            </ns0:r>
          </ns0:p>
        </ns0:tc>
        <ns0:tc>
          <ns0:tcPr>
            <ns0:tcW ns0:type="dxa" ns0:w="2880"/>
          </ns0:tcPr>
          <ns0:p>
            <ns0:r>
              <ns0:t>Päivämäärä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  <ns0:tr>
        <ns0:tc>
          <ns0:tcPr>
            <ns0:tcW ns0:type="dxa" ns0:w="2880"/>
          </ns0:tcPr>
          <ns0:p>
            <ns0:r>
              <ns0:t>Aikatestit</ns0:t>
            </ns0:r>
          </ns0:p>
        </ns0:tc>
        <ns0:tc>
          <ns0:tcPr>
            <ns0:tcW ns0:type="dxa" ns0:w="2880"/>
          </ns0:tcPr>
          <ns0:p>
            <ns0:r>
              <ns0:t>Aika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  <ns0:tr>
        <ns0:tc>
          <ns0:tcPr>
            <ns0:tcW ns0:type="dxa" ns0:w="2880"/>
          </ns0:tcPr>
          <ns0:p>
            <ns0:r>
              <ns0:t>Sähköinen allekirjoitus - testaus</ns0:t>
            </ns0:r>
          </ns0:p>
        </ns0:tc>
        <ns0:tc>
          <ns0:tcPr>
            <ns0:tcW ns0:type="dxa" ns0:w="2880"/>
          </ns0:tcPr>
          <ns0:p>
            <ns0:r>
              <ns0:t>Sähköinen allekirjoitus</ns0:t>
            </ns0:r>
          </ns0:p>
        </ns0:tc>
        <ns0:tc>
          <ns0:tcPr>
            <ns0:tcW ns0:type="dxa" ns0:w="2880"/>
          </ns0:tcPr>
          <ns0:p>
            <ns0:r>
              <ns0:t>Ei sovelleta</ns0:t>
            </ns0:r>
          </ns0:p>
        </ns0:tc>
      </ns0:tr>
    </ns0:tbl>
    <ns0:p>
      <ns0:r>
        <ns0:br ns0:type="page"/>
      </ns0:r>
    </ns0:p>
    <ns0:p>
      <ns0:pPr>
        <ns0:pStyle ns0:val="Heading1"/>
      </ns0:pPr>
      <ns0:r>
        <ns0:rPr>
          <ns0:rFonts ns0:ascii="Arial" ns0:hAnsi="Arial"/>
          <ns0:color ns0:val="000000"/>
          <ns0:sz ns0:val="28"/>
          <ns0:u ns0:val="single"/>
        </ns0:rPr>
        <ns0:t>4. YKSITYISKOHTAINEN ERITELMÄ</ns0:t>
      </ns0:r>
    </ns0:p>
    <ns0:p>
      <ns0:r>
        <ns0:t xml:space="preserve">- Ei se mitään.</ns0:t>
      </ns0:r>
    </ns0:p>
    <ns0:p>
      <ns0:r>
        <ns0:rPr>
          <ns0:rFonts ns0:ascii="Arial" ns0:hAnsi="Arial"/>
          <ns0:sz ns0:val="20"/>
        </ns0:rPr>
        <ns0:t>Seuraavissa osioissa kuvataan yksityiskohtaisesti lohkon käyttöä ja kokoonpanoa.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4.1. Block workflow</ns0:t>
      </ns0:r>
    </ns0:p>
    <ns0:p>
      <ns0:r>
        <ns0:rPr>
          <ns0:rFonts ns0:ascii="Arial" ns0:hAnsi="Arial"/>
          <ns0:sz ns0:val="20"/>
        </ns0:rPr>
        <ns0:t>Seuraava työnkulku kuvaa lohkon sisältöä:</ns0:t>
      </ns0:r>
    </ns0:p>
    <ns0:p>
      <ns0:pPr>
        <ns0:jc ns0:val="center"/>
      </ns0:pPr>
      <ns0:r>
        <ns0:drawing>
          <ns2:inline>
            <ns2:extent cx="2743200" cy="4297680"/>
            <ns2:docPr id="1" name="Picture 1"/>
            <ns2:cNvGraphicFramePr>
              <ns3:graphicFrameLocks noChangeAspect="1"/>
            </ns2:cNvGraphicFramePr>
            <ns3:graphic>
              <ns3:graphicData uri="http://schemas.openxmlformats.org/drawingml/2006/picture">
                <ns4:pic>
                  <ns4:nvPicPr>
                    <ns4:cNvPr id="0" name="perform ipc.png"/>
                    <ns4:cNvPicPr/>
                  </ns4:nvPicPr>
                  <ns4:blipFill>
                    <ns3:blip ns5:embed="rId9"/>
                    <ns3:stretch>
                      <ns3:fillRect/>
                    </ns3:stretch>
                  </ns4:blipFill>
                  <ns4:spPr>
                    <ns3:xfrm>
                      <ns3:off x="0" y="0"/>
                      <ns3:ext cx="2743200" cy="4297680"/>
                    </ns3:xfrm>
                    <ns3:prstGeom prst="rect"/>
                  </ns4:spPr>
                </ns4:pic>
              </ns3:graphicData>
            </ns3:graphic>
          </ns2:inline>
        </ns0:drawing>
      </ns0:r>
      <ns0:r>
        <ns0:rPr>
          <ns0:rFonts ns0:ascii="Arial" ns0:hAnsi="Arial"/>
          <ns0:i/>
          <ns0:sz ns0:val="20"/>
        </ns0:rPr>
        <ns0:br/>
        <ns0:t>Kuva 1</ns0:t>
        <ns0:br/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Työnkulun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CBF001, jossa on 1 toiminto avata ja lukea SOP-asiakirja.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BF CBF002:llä on neljä erillistä toimintoa: näytteenotto, näytteenottopäivä, näytteenottoaika ja vaatimustenmukaisuus, jotka kaikki liittyvät näytteenoton sertifiointiin tai IPC:n suorittamiseen tietyllä määrällä yksiköitä ohjeen mukaisesti.</ns0:t>
            </ns0:r>
          </ns0:p>
        </ns0:tc>
      </ns0:tr>
    </ns0:tbl>
    <ns0:p>
      <ns0:r>
        <ns0:t xml:space="preserve">- Ei se mitään.</ns0:t>
      </ns0:r>
    </ns0:p>
    <ns0:p>
      <ns0:pPr>
        <ns0:pStyle ns0:val="Heading3"/>
      </ns0:pPr>
      <ns0:r>
        <ns0:rPr>
          <ns0:rFonts ns0:ascii="Arial" ns0:hAnsi="Arial"/>
          <ns0:color ns0:val="000000"/>
          <ns0:sz ns0:val="24"/>
        </ns0:rPr>
        <ns0:t>4.2. Lohkon suunnittelun kuvaus</ns0:t>
      </ns0:r>
    </ns0:p>
    <ns0:tbl>
      <ns0:tblPr>
        <ns0:tblStyle ns0:val="TableGrid"/>
        <ns0:tblW ns0:type="auto" ns0:w="0"/>
        <ns0:tblLook ns0:firstColumn="1" ns0:firstRow="1" ns0:lastColumn="0" ns0:lastRow="0" ns0:noHBand="0" ns0:noVBand="1" ns0:val="04A0"/>
      </ns0:tblPr>
      <ns0:tblGrid>
        <ns0:gridCol ns0:w="4320"/>
        <ns0:gridCol ns0:w="4320"/>
      </ns0:tblGrid>
      <ns0:tr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Henkilötunnus</ns0:t>
            </ns0:r>
          </ns0:p>
        </ns0:tc>
        <ns0:tc>
          <ns0:tcPr>
            <ns0:tcW ns0:type="dxa" ns0:w="4320"/>
          </ns0:tcPr>
          <ns0:p>
            <ns0:pPr>
              <ns0:jc ns0:val="center"/>
            </ns0:pPr>
            <ns0:r>
              <ns0:rPr>
                <ns0:rFonts ns0:ascii="Arial" ns0:hAnsi="Arial"/>
                <ns0:b/>
                <ns0:color ns0:val="000000"/>
                <ns0:sz ns0:val="20"/>
              </ns0:rPr>
              <ns0:t>Yksityiskohtainen kuvaus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CBF001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Operaattori avaa ja lukee SOP-dokumentin.</ns0:t>
              <ns0:br/>
              <ns0:t>"SOP0001", kuvaus on "SOP-näyttö", SOP-tyyppinen toiminta kaavapolulla SOP: {String-muuttuja SOP}</ns0:t>
              <ns0:br/>
              <ns0:t xml:space="preserve">- Ei se mitään.</ns0:t>
            </ns0:r>
          </ns0:p>
        </ns0:tc>
      </ns0:tr>
      <ns0:tr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CBF002</ns0:t>
            </ns0:r>
          </ns0:p>
        </ns0:tc>
        <ns0:tc>
          <ns0:tcPr>
            <ns0:tcW ns0:type="dxa" ns0:w="4320"/>
          </ns0:tcPr>
          <ns0:p>
            <ns0:r>
              <ns0:rPr>
                <ns0:rFonts ns0:ascii="Arial" ns0:hAnsi="Arial"/>
                <ns0:color ns0:val="000000"/>
                <ns0:sz ns0:val="20"/>
              </ns0:rPr>
              <ns0:t>1. Järjestelmä näyttää näytteenoton tilan.</ns0:t>
              <ns0:br/>
              <ns0:t>"FRM0001" kuvaus on "Sampling". Formulatyypin aktiviteetti kaavalla: [Tarkista "variantti" Sampl]</ns0:t>
              <ns0:br/>
              <ns0:br/>
              <ns0:t>2. Järjestelmä näyttää näytteenoton päivämäärän.</ns0:t>
              <ns0:br/>
              <ns0:t>"FRM0002" kuvaus on "Sampling Date". Kaavan mukainen toiminta kaavalla: [Päiväys "variantti" SampD]</ns0:t>
              <ns0:br/>
              <ns0:br/>
              <ns0:t>3. Järjestelmä näyttää näytteenoton ajan.</ns0:t>
              <ns0:br/>
              <ns0:t>"FRM0003" kuvaus on "Sampling Time". Formulatyypin aktiivisuus kaavalla: [Aika "variantti" SampT]</ns0:t>
              <ns0:br/>
              <ns0:br/>
              <ns0:t>4. Järjestelmä näyttää vaatimustenmukaisuuden tilan.</ns0:t>
              <ns0:br/>
              <ns0:t>"FRM0004" kuvaus on "epämuodostuma". Kaavan mukainen toiminta: [Conf "muuttuva" Confo]</ns0:t>
            </ns0:r>
          </ns0:p>
        </ns0:tc>
      </ns0:tr>
    </ns0:tbl>
    <ns0:sectPr ns0:rsidR="00FC693F" ns0:rsidRPr="0006063C" ns0:rsidSect="00034616">
      <ns0:pgSz ns0:w="12240" ns0:h="15840"/>
      <ns0:pgMar ns0:top="1440" ns0:right="1800" ns0:bottom="1440" ns0:left="1800" ns0:header="720" ns0:footer="720" ns0:gutter="0"/>
      <ns0:cols ns0:space="720"/>
      <ns0:docGrid ns0:linePitch="360"/>
    </ns0:sectPr>
  </ns0:body>
</ns0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