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Role:</w:t>
      </w:r>
    </w:p>
    <w:p>
      <w:r>
        <w:t>Each member of the Working Group is assigned by their respective treaty body to act as focal point of its treaty body for this task.</w:t>
      </w:r>
    </w:p>
    <w:p>
      <w:r>
        <w:t>The Working Group will have virtual working sessions.</w:t>
      </w:r>
    </w:p>
    <w:p>
      <w:r>
        <w:t>The working sessions will be announced one week in advance, with the agenda to be addressed.</w:t>
      </w:r>
    </w:p>
    <w:p>
      <w:r>
        <w:t>The working sessions will be open for the participation of any additional Treaty Bodies members, unless otherwise decided by its members.</w:t>
      </w:r>
    </w:p>
    <w:p>
      <w:r>
        <w:t xml:space="preserve">The Working Group could explore fund-raising activities based on concrete projects and outputs suggested by treaty bodies.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