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PDO Entity Generator — Sequence Diagrams</w:t>
      </w:r>
    </w:p>
    <w:p>
      <w:pPr>
        <w:jc w:val="center"/>
      </w:pPr>
      <w:r>
        <w:rPr>
          <w:color w:val="646464"/>
          <w:sz w:val="24"/>
        </w:rPr>
        <w:t>Comprehensive sequence diagrams covering the primary user flows and key component interactions.</w:t>
      </w:r>
    </w:p>
    <w:p/>
    <w:p>
      <w:pPr>
        <w:pStyle w:val="Heading1"/>
      </w:pPr>
      <w:r>
        <w:t>1. Composer Plugin — Auto-Configuration on Install</w:t>
      </w:r>
    </w:p>
    <w:p>
      <w:r>
        <w:rPr>
          <w:b/>
        </w:rPr>
        <w:t xml:space="preserve">Trigger: </w:t>
      </w:r>
      <w:r>
        <w:t>composer install / composer update</w:t>
      </w:r>
    </w:p>
    <w:p>
      <w:r>
        <w:t>This flow is triggered automatically when a user runs composer install or composer update in a project that includes kdevhubin/pdoentitygenerator. The PostInstallHandler Composer Plugin hooks into the POST_INSTALL_CMD and POST_UPDATE_CMD lifecycle events to auto-create the default configuration file.</w:t>
      </w:r>
    </w:p>
    <w:p/>
    <w:p>
      <w:pPr>
        <w:pStyle w:val="ListBullet"/>
      </w:pPr>
      <w:r>
        <w:t>Flow Summary:</w:t>
      </w:r>
    </w:p>
    <w:p>
      <w:pPr>
        <w:pStyle w:val="ListBullet2"/>
      </w:pPr>
      <w:r>
        <w:t>Composer dispatches post-install/post-update event</w:t>
      </w:r>
    </w:p>
    <w:p>
      <w:pPr>
        <w:pStyle w:val="ListBullet2"/>
      </w:pPr>
      <w:r>
        <w:t>PostInstallHandler resolves the project root via vendor-dir config</w:t>
      </w:r>
    </w:p>
    <w:p>
      <w:pPr>
        <w:pStyle w:val="ListBullet2"/>
      </w:pPr>
      <w:r>
        <w:t>Checks if config/pdoentitygenerator.yaml already exists</w:t>
      </w:r>
    </w:p>
    <w:p>
      <w:pPr>
        <w:pStyle w:val="ListBullet2"/>
      </w:pPr>
      <w:r>
        <w:t>If missing: creates config/ directory (with chmod 0775 for Docker compatibility)</w:t>
      </w:r>
    </w:p>
    <w:p>
      <w:pPr>
        <w:pStyle w:val="ListBullet2"/>
      </w:pPr>
      <w:r>
        <w:t>Writes default YAML template via ConfigLoader::getDefaultConfigContent()</w:t>
      </w:r>
    </w:p>
    <w:p>
      <w:pPr>
        <w:pStyle w:val="ListBullet2"/>
      </w:pPr>
      <w:r>
        <w:t>Sets file permissions to 0666 (writable by any user in Docker)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62988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8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2. CLI Generation — Primary User Flow</w:t>
      </w:r>
    </w:p>
    <w:p>
      <w:r>
        <w:rPr>
          <w:b/>
        </w:rPr>
        <w:t xml:space="preserve">Command: </w:t>
      </w:r>
      <w:r>
        <w:t>vendor/bin/pdoentitygenerator table &lt;table_name&gt;</w:t>
      </w:r>
    </w:p>
    <w:p>
      <w:r>
        <w:t>This is the main user flow. The developer runs the CLI command to generate Entity and Repository classes from a database table. The command orchestrates a multi-step pipeline through six components.</w:t>
      </w:r>
    </w:p>
    <w:p/>
    <w:p>
      <w:pPr>
        <w:pStyle w:val="ListBullet"/>
      </w:pPr>
      <w:r>
        <w:t>Pipeline Steps:</w:t>
      </w:r>
    </w:p>
    <w:p>
      <w:pPr>
        <w:pStyle w:val="ListBullet2"/>
      </w:pPr>
      <w:r>
        <w:t>CLI entry point resolves the Composer autoloader</w:t>
      </w:r>
    </w:p>
    <w:p>
      <w:pPr>
        <w:pStyle w:val="ListBullet2"/>
      </w:pPr>
      <w:r>
        <w:t>GenerateEntityCommand parses argv (validates command and table name)</w:t>
      </w:r>
    </w:p>
    <w:p>
      <w:pPr>
        <w:pStyle w:val="ListBullet2"/>
      </w:pPr>
      <w:r>
        <w:t>Resolves project root by walking up to find composer.json</w:t>
      </w:r>
    </w:p>
    <w:p>
      <w:pPr>
        <w:pStyle w:val="ListBullet2"/>
      </w:pPr>
      <w:r>
        <w:t>ConfigLoader reads and validates config/pdoentitygenerator.yaml via Symfony YAML</w:t>
      </w:r>
    </w:p>
    <w:p>
      <w:pPr>
        <w:pStyle w:val="ListBullet2"/>
      </w:pPr>
      <w:r>
        <w:t>Creates PDO connection with exception mode and native prepared statements</w:t>
      </w:r>
    </w:p>
    <w:p>
      <w:pPr>
        <w:pStyle w:val="ListBullet2"/>
      </w:pPr>
      <w:r>
        <w:t>TableInspector executes DESCRIBE query, maps SQL types to PHP types</w:t>
      </w:r>
    </w:p>
    <w:p>
      <w:pPr>
        <w:pStyle w:val="ListBullet2"/>
      </w:pPr>
      <w:r>
        <w:t>EntityGenerator builds a POPO class with typed properties, getters, and fluent setters</w:t>
      </w:r>
    </w:p>
    <w:p>
      <w:pPr>
        <w:pStyle w:val="ListBullet2"/>
      </w:pPr>
      <w:r>
        <w:t>RepositoryGenerator builds CRUD methods with bindValue() and PDO type constants</w:t>
      </w:r>
    </w:p>
    <w:p>
      <w:pPr>
        <w:pStyle w:val="ListBullet2"/>
      </w:pPr>
      <w:r>
        <w:t>Writes both files to disc with Docker-safe permissions (chmod 0775/0664)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24235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23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3. Generated Repository — Runtime CRUD Interactions</w:t>
      </w:r>
    </w:p>
    <w:p>
      <w:r>
        <w:t>This diagram shows how the generated repository class interacts with the database at runtime, after the code has been generated. All five CRUD methods are covered: find, findAll, insert, update, and delete.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SQL Operation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PDO Type Binding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Return</w:t>
            </w:r>
          </w:p>
        </w:tc>
      </w:tr>
      <w:tr>
        <w:tc>
          <w:tcPr>
            <w:tcW w:type="dxa" w:w="2160"/>
          </w:tcPr>
          <w:p>
            <w:r>
              <w:t>find($id)</w:t>
            </w:r>
          </w:p>
        </w:tc>
        <w:tc>
          <w:tcPr>
            <w:tcW w:type="dxa" w:w="2160"/>
          </w:tcPr>
          <w:p>
            <w:r>
              <w:t>SELECT ... WHERE pk = :id LIMIT 1</w:t>
            </w:r>
          </w:p>
        </w:tc>
        <w:tc>
          <w:tcPr>
            <w:tcW w:type="dxa" w:w="2160"/>
          </w:tcPr>
          <w:p>
            <w:r>
              <w:t>bindValue(:id, $id, PARAM_INT)</w:t>
            </w:r>
          </w:p>
        </w:tc>
        <w:tc>
          <w:tcPr>
            <w:tcW w:type="dxa" w:w="2160"/>
          </w:tcPr>
          <w:p>
            <w:r>
              <w:t>?Entity or null</w:t>
            </w:r>
          </w:p>
        </w:tc>
      </w:tr>
      <w:tr>
        <w:tc>
          <w:tcPr>
            <w:tcW w:type="dxa" w:w="2160"/>
          </w:tcPr>
          <w:p>
            <w:r>
              <w:t>findAll()</w:t>
            </w:r>
          </w:p>
        </w:tc>
        <w:tc>
          <w:tcPr>
            <w:tcW w:type="dxa" w:w="2160"/>
          </w:tcPr>
          <w:p>
            <w:r>
              <w:t>SELECT * FROM table</w:t>
            </w:r>
          </w:p>
        </w:tc>
        <w:tc>
          <w:tcPr>
            <w:tcW w:type="dxa" w:w="2160"/>
          </w:tcPr>
          <w:p>
            <w:r>
              <w:t>No parameters</w:t>
            </w:r>
          </w:p>
        </w:tc>
        <w:tc>
          <w:tcPr>
            <w:tcW w:type="dxa" w:w="2160"/>
          </w:tcPr>
          <w:p>
            <w:r>
              <w:t>Entity[]</w:t>
            </w:r>
          </w:p>
        </w:tc>
      </w:tr>
      <w:tr>
        <w:tc>
          <w:tcPr>
            <w:tcW w:type="dxa" w:w="2160"/>
          </w:tcPr>
          <w:p>
            <w:r>
              <w:t>insert($entity)</w:t>
            </w:r>
          </w:p>
        </w:tc>
        <w:tc>
          <w:tcPr>
            <w:tcW w:type="dxa" w:w="2160"/>
          </w:tcPr>
          <w:p>
            <w:r>
              <w:t>INSERT INTO table (...) VALUES (...)</w:t>
            </w:r>
          </w:p>
        </w:tc>
        <w:tc>
          <w:tcPr>
            <w:tcW w:type="dxa" w:w="2160"/>
          </w:tcPr>
          <w:p>
            <w:r>
              <w:t>bindValue per column with typed constant</w:t>
            </w:r>
          </w:p>
        </w:tc>
        <w:tc>
          <w:tcPr>
            <w:tcW w:type="dxa" w:w="2160"/>
          </w:tcPr>
          <w:p>
            <w:r>
              <w:t>Entity (with ID)</w:t>
            </w:r>
          </w:p>
        </w:tc>
      </w:tr>
      <w:tr>
        <w:tc>
          <w:tcPr>
            <w:tcW w:type="dxa" w:w="2160"/>
          </w:tcPr>
          <w:p>
            <w:r>
              <w:t>update($entity)</w:t>
            </w:r>
          </w:p>
        </w:tc>
        <w:tc>
          <w:tcPr>
            <w:tcW w:type="dxa" w:w="2160"/>
          </w:tcPr>
          <w:p>
            <w:r>
              <w:t>UPDATE table SET ... WHERE pk = :id</w:t>
            </w:r>
          </w:p>
        </w:tc>
        <w:tc>
          <w:tcPr>
            <w:tcW w:type="dxa" w:w="2160"/>
          </w:tcPr>
          <w:p>
            <w:r>
              <w:t>bindValue per column + PK binding</w:t>
            </w:r>
          </w:p>
        </w:tc>
        <w:tc>
          <w:tcPr>
            <w:tcW w:type="dxa" w:w="2160"/>
          </w:tcPr>
          <w:p>
            <w:r>
              <w:t>Entity</w:t>
            </w:r>
          </w:p>
        </w:tc>
      </w:tr>
      <w:tr>
        <w:tc>
          <w:tcPr>
            <w:tcW w:type="dxa" w:w="2160"/>
          </w:tcPr>
          <w:p>
            <w:r>
              <w:t>delete($id)</w:t>
            </w:r>
          </w:p>
        </w:tc>
        <w:tc>
          <w:tcPr>
            <w:tcW w:type="dxa" w:w="2160"/>
          </w:tcPr>
          <w:p>
            <w:r>
              <w:t>DELETE FROM table WHERE pk = :id</w:t>
            </w:r>
          </w:p>
        </w:tc>
        <w:tc>
          <w:tcPr>
            <w:tcW w:type="dxa" w:w="2160"/>
          </w:tcPr>
          <w:p>
            <w:r>
              <w:t>bindValue(:id, $id, PARAM_INT)</w:t>
            </w:r>
          </w:p>
        </w:tc>
        <w:tc>
          <w:tcPr>
            <w:tcW w:type="dxa" w:w="2160"/>
          </w:tcPr>
          <w:p>
            <w:r>
              <w:t>bool</w:t>
            </w:r>
          </w:p>
        </w:tc>
      </w:tr>
    </w:tbl>
    <w:p/>
    <w:p>
      <w:pPr>
        <w:pStyle w:val="ListBullet"/>
      </w:pPr>
      <w:r>
        <w:t>Key Characteristics:</w:t>
      </w:r>
    </w:p>
    <w:p>
      <w:pPr>
        <w:pStyle w:val="ListBullet2"/>
      </w:pPr>
      <w:r>
        <w:t>All parameters use bindValue() with explicit PDO::PARAM_* type constants</w:t>
      </w:r>
    </w:p>
    <w:p>
      <w:pPr>
        <w:pStyle w:val="ListBullet2"/>
      </w:pPr>
      <w:r>
        <w:t>Nullable columns use a local variable with ternary for PDO::PARAM_NULL</w:t>
      </w:r>
    </w:p>
    <w:p>
      <w:pPr>
        <w:pStyle w:val="ListBullet2"/>
      </w:pPr>
      <w:r>
        <w:t>DateTimeImmutable values are formatted as Y-m-d H:i:s before binding</w:t>
      </w:r>
    </w:p>
    <w:p>
      <w:pPr>
        <w:pStyle w:val="ListBullet2"/>
      </w:pPr>
      <w:r>
        <w:t>Primary keys are set via ReflectionProperty (bypassing the missing setter)</w:t>
      </w:r>
    </w:p>
    <w:p>
      <w:pPr>
        <w:pStyle w:val="ListBullet2"/>
      </w:pPr>
      <w:r>
        <w:t>Entity hydration uses type casting: (int), (float), (bool), (string), new DateTimeImmutable()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60154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154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4. Participants Summary</w:t>
      </w:r>
    </w:p>
    <w:p>
      <w:r>
        <w:t>Reference table mapping each diagram participant to its source class and role.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Participant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Class / 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2880"/>
          </w:tcPr>
          <w:p>
            <w:r>
              <w:t>User</w:t>
            </w:r>
          </w:p>
        </w:tc>
        <w:tc>
          <w:tcPr>
            <w:tcW w:type="dxa" w:w="2880"/>
          </w:tcPr>
          <w:p>
            <w:r>
              <w:t>Developer</w:t>
            </w:r>
          </w:p>
        </w:tc>
        <w:tc>
          <w:tcPr>
            <w:tcW w:type="dxa" w:w="2880"/>
          </w:tcPr>
          <w:p>
            <w:r>
              <w:t>Triggers Composer install or CLI command</w:t>
            </w:r>
          </w:p>
        </w:tc>
      </w:tr>
      <w:tr>
        <w:tc>
          <w:tcPr>
            <w:tcW w:type="dxa" w:w="2880"/>
          </w:tcPr>
          <w:p>
            <w:r>
              <w:t>Composer</w:t>
            </w:r>
          </w:p>
        </w:tc>
        <w:tc>
          <w:tcPr>
            <w:tcW w:type="dxa" w:w="2880"/>
          </w:tcPr>
          <w:p>
            <w:r>
              <w:t>Composer 2.x</w:t>
            </w:r>
          </w:p>
        </w:tc>
        <w:tc>
          <w:tcPr>
            <w:tcW w:type="dxa" w:w="2880"/>
          </w:tcPr>
          <w:p>
            <w:r>
              <w:t>Dispatches lifecycle events</w:t>
            </w:r>
          </w:p>
        </w:tc>
      </w:tr>
      <w:tr>
        <w:tc>
          <w:tcPr>
            <w:tcW w:type="dxa" w:w="2880"/>
          </w:tcPr>
          <w:p>
            <w:r>
              <w:t>CLI</w:t>
            </w:r>
          </w:p>
        </w:tc>
        <w:tc>
          <w:tcPr>
            <w:tcW w:type="dxa" w:w="2880"/>
          </w:tcPr>
          <w:p>
            <w:r>
              <w:t>bin/pdoentitygenerator</w:t>
            </w:r>
          </w:p>
        </w:tc>
        <w:tc>
          <w:tcPr>
            <w:tcW w:type="dxa" w:w="2880"/>
          </w:tcPr>
          <w:p>
            <w:r>
              <w:t>Entry point — resolves autoloader, delegates to command</w:t>
            </w:r>
          </w:p>
        </w:tc>
      </w:tr>
      <w:tr>
        <w:tc>
          <w:tcPr>
            <w:tcW w:type="dxa" w:w="2880"/>
          </w:tcPr>
          <w:p>
            <w:r>
              <w:t>Command</w:t>
            </w:r>
          </w:p>
        </w:tc>
        <w:tc>
          <w:tcPr>
            <w:tcW w:type="dxa" w:w="2880"/>
          </w:tcPr>
          <w:p>
            <w:r>
              <w:t>GenerateEntityCommand</w:t>
            </w:r>
          </w:p>
        </w:tc>
        <w:tc>
          <w:tcPr>
            <w:tcW w:type="dxa" w:w="2880"/>
          </w:tcPr>
          <w:p>
            <w:r>
              <w:t>Orchestrates the full generation pipeline</w:t>
            </w:r>
          </w:p>
        </w:tc>
      </w:tr>
      <w:tr>
        <w:tc>
          <w:tcPr>
            <w:tcW w:type="dxa" w:w="2880"/>
          </w:tcPr>
          <w:p>
            <w:r>
              <w:t>ConfigLoader</w:t>
            </w:r>
          </w:p>
        </w:tc>
        <w:tc>
          <w:tcPr>
            <w:tcW w:type="dxa" w:w="2880"/>
          </w:tcPr>
          <w:p>
            <w:r>
              <w:t>ConfigLoader</w:t>
            </w:r>
          </w:p>
        </w:tc>
        <w:tc>
          <w:tcPr>
            <w:tcW w:type="dxa" w:w="2880"/>
          </w:tcPr>
          <w:p>
            <w:r>
              <w:t>Reads and validates YAML configuration</w:t>
            </w:r>
          </w:p>
        </w:tc>
      </w:tr>
      <w:tr>
        <w:tc>
          <w:tcPr>
            <w:tcW w:type="dxa" w:w="2880"/>
          </w:tcPr>
          <w:p>
            <w:r>
              <w:t>YAML</w:t>
            </w:r>
          </w:p>
        </w:tc>
        <w:tc>
          <w:tcPr>
            <w:tcW w:type="dxa" w:w="2880"/>
          </w:tcPr>
          <w:p>
            <w:r>
              <w:t>Symfony\Component\Yaml\Yaml</w:t>
            </w:r>
          </w:p>
        </w:tc>
        <w:tc>
          <w:tcPr>
            <w:tcW w:type="dxa" w:w="2880"/>
          </w:tcPr>
          <w:p>
            <w:r>
              <w:t>Parses YAML files</w:t>
            </w:r>
          </w:p>
        </w:tc>
      </w:tr>
      <w:tr>
        <w:tc>
          <w:tcPr>
            <w:tcW w:type="dxa" w:w="2880"/>
          </w:tcPr>
          <w:p>
            <w:r>
              <w:t>PDO</w:t>
            </w:r>
          </w:p>
        </w:tc>
        <w:tc>
          <w:tcPr>
            <w:tcW w:type="dxa" w:w="2880"/>
          </w:tcPr>
          <w:p>
            <w:r>
              <w:t>\PDO</w:t>
            </w:r>
          </w:p>
        </w:tc>
        <w:tc>
          <w:tcPr>
            <w:tcW w:type="dxa" w:w="2880"/>
          </w:tcPr>
          <w:p>
            <w:r>
              <w:t>Database connection and prepared statements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MySQL / MariaDB</w:t>
            </w:r>
          </w:p>
        </w:tc>
        <w:tc>
          <w:tcPr>
            <w:tcW w:type="dxa" w:w="2880"/>
          </w:tcPr>
          <w:p>
            <w:r>
              <w:t>Source of table schema and runtime data</w:t>
            </w:r>
          </w:p>
        </w:tc>
      </w:tr>
      <w:tr>
        <w:tc>
          <w:tcPr>
            <w:tcW w:type="dxa" w:w="2880"/>
          </w:tcPr>
          <w:p>
            <w:r>
              <w:t>TableInspector</w:t>
            </w:r>
          </w:p>
        </w:tc>
        <w:tc>
          <w:tcPr>
            <w:tcW w:type="dxa" w:w="2880"/>
          </w:tcPr>
          <w:p>
            <w:r>
              <w:t>TableInspector</w:t>
            </w:r>
          </w:p>
        </w:tc>
        <w:tc>
          <w:tcPr>
            <w:tcW w:type="dxa" w:w="2880"/>
          </w:tcPr>
          <w:p>
            <w:r>
              <w:t>Inspects table schema via DESCRIBE</w:t>
            </w:r>
          </w:p>
        </w:tc>
      </w:tr>
      <w:tr>
        <w:tc>
          <w:tcPr>
            <w:tcW w:type="dxa" w:w="2880"/>
          </w:tcPr>
          <w:p>
            <w:r>
              <w:t>EntityGen</w:t>
            </w:r>
          </w:p>
        </w:tc>
        <w:tc>
          <w:tcPr>
            <w:tcW w:type="dxa" w:w="2880"/>
          </w:tcPr>
          <w:p>
            <w:r>
              <w:t>EntityGenerator</w:t>
            </w:r>
          </w:p>
        </w:tc>
        <w:tc>
          <w:tcPr>
            <w:tcW w:type="dxa" w:w="2880"/>
          </w:tcPr>
          <w:p>
            <w:r>
              <w:t>Generates Entity class source code</w:t>
            </w:r>
          </w:p>
        </w:tc>
      </w:tr>
      <w:tr>
        <w:tc>
          <w:tcPr>
            <w:tcW w:type="dxa" w:w="2880"/>
          </w:tcPr>
          <w:p>
            <w:r>
              <w:t>RepoGen</w:t>
            </w:r>
          </w:p>
        </w:tc>
        <w:tc>
          <w:tcPr>
            <w:tcW w:type="dxa" w:w="2880"/>
          </w:tcPr>
          <w:p>
            <w:r>
              <w:t>RepositoryGenerator</w:t>
            </w:r>
          </w:p>
        </w:tc>
        <w:tc>
          <w:tcPr>
            <w:tcW w:type="dxa" w:w="2880"/>
          </w:tcPr>
          <w:p>
            <w:r>
              <w:t>Generates Repository class source code</w:t>
            </w:r>
          </w:p>
        </w:tc>
      </w:tr>
      <w:tr>
        <w:tc>
          <w:tcPr>
            <w:tcW w:type="dxa" w:w="2880"/>
          </w:tcPr>
          <w:p>
            <w:r>
              <w:t>PostInstallHandler</w:t>
            </w:r>
          </w:p>
        </w:tc>
        <w:tc>
          <w:tcPr>
            <w:tcW w:type="dxa" w:w="2880"/>
          </w:tcPr>
          <w:p>
            <w:r>
              <w:t>PostInstallHandler</w:t>
            </w:r>
          </w:p>
        </w:tc>
        <w:tc>
          <w:tcPr>
            <w:tcW w:type="dxa" w:w="2880"/>
          </w:tcPr>
          <w:p>
            <w:r>
              <w:t>Composer Plugin — auto-creates config file</w:t>
            </w:r>
          </w:p>
        </w:tc>
      </w:tr>
      <w:tr>
        <w:tc>
          <w:tcPr>
            <w:tcW w:type="dxa" w:w="2880"/>
          </w:tcPr>
          <w:p>
            <w:r>
              <w:t>FileSystem</w:t>
            </w:r>
          </w:p>
        </w:tc>
        <w:tc>
          <w:tcPr>
            <w:tcW w:type="dxa" w:w="2880"/>
          </w:tcPr>
          <w:p>
            <w:r>
              <w:t>PHP filesystem functions</w:t>
            </w:r>
          </w:p>
        </w:tc>
        <w:tc>
          <w:tcPr>
            <w:tcW w:type="dxa" w:w="2880"/>
          </w:tcPr>
          <w:p>
            <w:r>
              <w:t>Directory creation and file writing</w:t>
            </w:r>
          </w:p>
        </w:tc>
      </w:tr>
      <w:tr>
        <w:tc>
          <w:tcPr>
            <w:tcW w:type="dxa" w:w="2880"/>
          </w:tcPr>
          <w:p>
            <w:r>
              <w:t>Repo</w:t>
            </w:r>
          </w:p>
        </w:tc>
        <w:tc>
          <w:tcPr>
            <w:tcW w:type="dxa" w:w="2880"/>
          </w:tcPr>
          <w:p>
            <w:r>
              <w:t>Generated *Repository</w:t>
            </w:r>
          </w:p>
        </w:tc>
        <w:tc>
          <w:tcPr>
            <w:tcW w:type="dxa" w:w="2880"/>
          </w:tcPr>
          <w:p>
            <w:r>
              <w:t>Runtime CRUD operations (generated output)</w:t>
            </w:r>
          </w:p>
        </w:tc>
      </w:tr>
      <w:tr>
        <w:tc>
          <w:tcPr>
            <w:tcW w:type="dxa" w:w="2880"/>
          </w:tcPr>
          <w:p>
            <w:r>
              <w:t>Entity</w:t>
            </w:r>
          </w:p>
        </w:tc>
        <w:tc>
          <w:tcPr>
            <w:tcW w:type="dxa" w:w="2880"/>
          </w:tcPr>
          <w:p>
            <w:r>
              <w:t>Generated Entity class</w:t>
            </w:r>
          </w:p>
        </w:tc>
        <w:tc>
          <w:tcPr>
            <w:tcW w:type="dxa" w:w="2880"/>
          </w:tcPr>
          <w:p>
            <w:r>
              <w:t>Runtime data object (generated output)</w:t>
            </w:r>
          </w:p>
        </w:tc>
      </w:tr>
    </w:tbl>
    <w:p/>
    <w:p>
      <w:pPr>
        <w:pStyle w:val="Heading1"/>
      </w:pPr>
      <w:r>
        <w:t>5. PDO Type Mapping Reference</w:t>
      </w:r>
    </w:p>
    <w:p>
      <w:r>
        <w:t>Mapping of PHP types to PDO parameter type constants used in generated bindValue() calls.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PHP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PDO Type Constant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 Expression</w:t>
            </w:r>
          </w:p>
        </w:tc>
      </w:tr>
      <w:tr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PDO::PARAM_INT</w:t>
            </w:r>
          </w:p>
        </w:tc>
        <w:tc>
          <w:tcPr>
            <w:tcW w:type="dxa" w:w="2880"/>
          </w:tcPr>
          <w:p>
            <w:r>
              <w:t>$entity-&gt;getX()</w:t>
            </w:r>
          </w:p>
        </w:tc>
      </w:tr>
      <w:tr>
        <w:tc>
          <w:tcPr>
            <w:tcW w:type="dxa" w:w="2880"/>
          </w:tcPr>
          <w:p>
            <w:r>
              <w:t>bool</w:t>
            </w:r>
          </w:p>
        </w:tc>
        <w:tc>
          <w:tcPr>
            <w:tcW w:type="dxa" w:w="2880"/>
          </w:tcPr>
          <w:p>
            <w:r>
              <w:t>PDO::PARAM_BOOL</w:t>
            </w:r>
          </w:p>
        </w:tc>
        <w:tc>
          <w:tcPr>
            <w:tcW w:type="dxa" w:w="2880"/>
          </w:tcPr>
          <w:p>
            <w:r>
              <w:t>$entity-&gt;getX()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PDO::PARAM_STR</w:t>
            </w:r>
          </w:p>
        </w:tc>
        <w:tc>
          <w:tcPr>
            <w:tcW w:type="dxa" w:w="2880"/>
          </w:tcPr>
          <w:p>
            <w:r>
              <w:t>$entity-&gt;getX()</w:t>
            </w:r>
          </w:p>
        </w:tc>
      </w:tr>
      <w:tr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PDO::PARAM_STR</w:t>
            </w:r>
          </w:p>
        </w:tc>
        <w:tc>
          <w:tcPr>
            <w:tcW w:type="dxa" w:w="2880"/>
          </w:tcPr>
          <w:p>
            <w:r>
              <w:t>$entity-&gt;getX()</w:t>
            </w:r>
          </w:p>
        </w:tc>
      </w:tr>
      <w:tr>
        <w:tc>
          <w:tcPr>
            <w:tcW w:type="dxa" w:w="2880"/>
          </w:tcPr>
          <w:p>
            <w:r>
              <w:t>\DateTimeImmutable</w:t>
            </w:r>
          </w:p>
        </w:tc>
        <w:tc>
          <w:tcPr>
            <w:tcW w:type="dxa" w:w="2880"/>
          </w:tcPr>
          <w:p>
            <w:r>
              <w:t>PDO::PARAM_STR</w:t>
            </w:r>
          </w:p>
        </w:tc>
        <w:tc>
          <w:tcPr>
            <w:tcW w:type="dxa" w:w="2880"/>
          </w:tcPr>
          <w:p>
            <w:r>
              <w:t>$entity-&gt;getX()?-&gt;format('Y-m-d H:i:s')</w:t>
            </w:r>
          </w:p>
        </w:tc>
      </w:tr>
      <w:tr>
        <w:tc>
          <w:tcPr>
            <w:tcW w:type="dxa" w:w="2880"/>
          </w:tcPr>
          <w:p>
            <w:r>
              <w:t>Nullable (any)</w:t>
            </w:r>
          </w:p>
        </w:tc>
        <w:tc>
          <w:tcPr>
            <w:tcW w:type="dxa" w:w="2880"/>
          </w:tcPr>
          <w:p>
            <w:r>
              <w:t>Typed constant or PDO::PARAM_NULL</w:t>
            </w:r>
          </w:p>
        </w:tc>
        <w:tc>
          <w:tcPr>
            <w:tcW w:type="dxa" w:w="2880"/>
          </w:tcPr>
          <w:p>
            <w:r>
              <w:t>Local variable with ternary null check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