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Report ID:</w:t>
      </w:r>
      <w:r w:rsidDel="00000000" w:rsidR="00000000" w:rsidRPr="00000000">
        <w:rPr>
          <w:color w:val="1f1f1f"/>
          <w:rtl w:val="0"/>
        </w:rPr>
        <w:t xml:space="preserve"> RC-2026-042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 Period:</w:t>
      </w:r>
      <w:r w:rsidDel="00000000" w:rsidR="00000000" w:rsidRPr="00000000">
        <w:rPr>
          <w:color w:val="1f1f1f"/>
          <w:rtl w:val="0"/>
        </w:rPr>
        <w:t xml:space="preserve"> Q4 2025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Department:</w:t>
      </w:r>
      <w:r w:rsidDel="00000000" w:rsidR="00000000" w:rsidRPr="00000000">
        <w:rPr>
          <w:color w:val="1f1f1f"/>
          <w:rtl w:val="0"/>
        </w:rPr>
        <w:t xml:space="preserve"> Digital Asset Operations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Controller:</w:t>
      </w:r>
      <w:r w:rsidDel="00000000" w:rsidR="00000000" w:rsidRPr="00000000">
        <w:rPr>
          <w:color w:val="1f1f1f"/>
          <w:rtl w:val="0"/>
        </w:rPr>
        <w:t xml:space="preserve"> Alex Rivera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hote4tm63pw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review focused on the manual reconciliation processes within the high-value transaction wing. While core controls are in place, several "Need for Action" (NFA) items were identified regarding data integrity and audit trails.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eg2part2eax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Findings and Observations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following table outlines the specific issues identified during the review.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3765"/>
        <w:gridCol w:w="1485"/>
        <w:gridCol w:w="2760"/>
        <w:tblGridChange w:id="0">
          <w:tblGrid>
            <w:gridCol w:w="975"/>
            <w:gridCol w:w="3765"/>
            <w:gridCol w:w="1485"/>
            <w:gridCol w:w="27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Ref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Criticality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Business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The team is currently using an Excel sheet to track manual overrides. This sheet is stored on a shared drive without restricted access. There is no log of who changed what or when, which is bad for compliance. [Refined by AI]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Risk of unauthorized data alteration and failure to meet regulatory audit trail requirements.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We saw that some staff are sharing logins for the legacy database system because getting new licenses takes too long. This makes it hard to know who actually performed specific transactions. [Refined by AI]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risk of internal fraud and inability to attribute actions to specific individuals during an investigation.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The reconciliation report for the month of November was signed off three days late. The manager said they were on leave and no one else was authorized to sign it. [Refined by AI]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Delay in identifying potential financial discrepancies and breach of internal SLA.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NFA-04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>
            <w:r>
              <w:t>Backup tapes are being stored in the same room as the primary servers. If there is a fire or a leak, both the original data and the backup would be destroyed at the same time. [Refined by AI]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Potential for total data loss and extended business downtime in the event of a physical site disaster.</w:t>
            </w:r>
          </w:p>
        </w:tc>
      </w:tr>
    </w:tbl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37onxze6dc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Conclusion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Digital Asset Operations team must address the NFA-01 and NFA-02 issues with the highest priority to maintain the integrity of the risk control framework.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before="0" w:lineRule="auto"/>
      <w:rPr/>
    </w:pPr>
    <w:bookmarkStart w:colFirst="0" w:colLast="0" w:name="_k9zv93ju4t7g" w:id="3"/>
    <w:bookmarkEnd w:id="3"/>
    <w:r w:rsidDel="00000000" w:rsidR="00000000" w:rsidRPr="00000000">
      <w:rPr>
        <w:b w:val="1"/>
        <w:bCs w:val="1"/>
        <w:color w:val="1f1f1f"/>
        <w:sz w:val="46"/>
        <w:szCs w:val="46"/>
        <w:rtl w:val="0"/>
      </w:rPr>
      <w:t xml:space="preserve">Internal Risk Control &amp; Compliance Report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