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 ID:</w:t>
      </w:r>
      <w:r w:rsidDel="00000000" w:rsidR="00000000" w:rsidRPr="00000000">
        <w:rPr>
          <w:color w:val="1f1f1f"/>
          <w:rtl w:val="0"/>
        </w:rPr>
        <w:t xml:space="preserve"> RC-2026-042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Period:</w:t>
      </w:r>
      <w:r w:rsidDel="00000000" w:rsidR="00000000" w:rsidRPr="00000000">
        <w:rPr>
          <w:color w:val="1f1f1f"/>
          <w:rtl w:val="0"/>
        </w:rPr>
        <w:t xml:space="preserve"> Q4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Department:</w:t>
      </w:r>
      <w:r w:rsidDel="00000000" w:rsidR="00000000" w:rsidRPr="00000000">
        <w:rPr>
          <w:color w:val="1f1f1f"/>
          <w:rtl w:val="0"/>
        </w:rPr>
        <w:t xml:space="preserve"> Digital Asset Operations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Controller:</w:t>
      </w:r>
      <w:r w:rsidDel="00000000" w:rsidR="00000000" w:rsidRPr="00000000">
        <w:rPr>
          <w:color w:val="1f1f1f"/>
          <w:rtl w:val="0"/>
        </w:rPr>
        <w:t xml:space="preserve"> Alex Rivera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hote4tm63p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review focused on the manual reconciliation processes within the high-value transaction wing. While core controls are in place, several "Need for Action" (NFA) items were identified regarding data integrity and audit trails.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eg2part2ea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Findings and Observations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table outlines the specific issues identified during the review.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765"/>
        <w:gridCol w:w="1485"/>
        <w:gridCol w:w="2760"/>
        <w:tblGridChange w:id="0">
          <w:tblGrid>
            <w:gridCol w:w="975"/>
            <w:gridCol w:w="3765"/>
            <w:gridCol w:w="1485"/>
            <w:gridCol w:w="27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team is currently using an Excel sheet to track manual overrides. This sheet is stored on a shared drive without restricted access. There is no log of who changed what or when, which is bad for compliance.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Risk of unauthorized data alteration and failure to meet regulatory audit trail requirements.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 saw that some staff are sharing logins for the legacy database system because getting new licenses takes too long. This makes it hard to know who actually performed specific transactions.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risk of internal fraud and inability to attribute actions to specific individuals during an investigation.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reconciliation report for the month of November was signed off three days late. The manager said they were on leave and no one else was authorized to sign it.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Delay in identifying potential financial discrepancies and breach of internal SLA.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Backup tapes are being stored in the same room as the primary servers. If there is a fire or a leak, both the original data and the backup would be destroyed at the same time.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Potential for total data loss and extended business downtime in the event of a physical site disaster.</w:t>
            </w:r>
          </w:p>
        </w:tc>
      </w:tr>
    </w:tbl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37onxze6dc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Conclusion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Digital Asset Operations team must address the NFA-01 and NFA-02 issues with the highest priority to maintain the integrity of the risk control framework.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0" w:lineRule="auto"/>
      <w:rPr/>
    </w:pPr>
    <w:bookmarkStart w:colFirst="0" w:colLast="0" w:name="_k9zv93ju4t7g" w:id="3"/>
    <w:bookmarkEnd w:id="3"/>
    <w:r w:rsidDel="00000000" w:rsidR="00000000" w:rsidRPr="00000000">
      <w:rPr>
        <w:b w:val="1"/>
        <w:bCs w:val="1"/>
        <w:color w:val="1f1f1f"/>
        <w:sz w:val="46"/>
        <w:szCs w:val="46"/>
        <w:rtl w:val="0"/>
      </w:rPr>
      <w:t xml:space="preserve">Internal Risk Control &amp; Compliance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