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Report ID:</w:t>
      </w:r>
      <w:r w:rsidDel="00000000" w:rsidR="00000000" w:rsidRPr="00000000">
        <w:rPr>
          <w:color w:val="1f1f1f"/>
          <w:rtl w:val="0"/>
        </w:rPr>
        <w:t xml:space="preserve"> RC-2026-042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Audit Period:</w:t>
      </w:r>
      <w:r w:rsidDel="00000000" w:rsidR="00000000" w:rsidRPr="00000000">
        <w:rPr>
          <w:color w:val="1f1f1f"/>
          <w:rtl w:val="0"/>
        </w:rPr>
        <w:t xml:space="preserve"> Q4 2025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Department:</w:t>
      </w:r>
      <w:r w:rsidDel="00000000" w:rsidR="00000000" w:rsidRPr="00000000">
        <w:rPr>
          <w:color w:val="1f1f1f"/>
          <w:rtl w:val="0"/>
        </w:rPr>
        <w:t xml:space="preserve"> Digital Asset Operations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Controller:</w:t>
      </w:r>
      <w:r w:rsidDel="00000000" w:rsidR="00000000" w:rsidRPr="00000000">
        <w:rPr>
          <w:color w:val="1f1f1f"/>
          <w:rtl w:val="0"/>
        </w:rPr>
        <w:t xml:space="preserve"> Alex Rivera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hote4tm63pw" w:id="0"/>
      <w:bookmarkEnd w:id="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Executive Summary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This review focused on the manual reconciliation processes within the high-value transaction wing. While core controls are in place, several "Need for Action" (NFA) items were identified regarding data integrity and audit trails.</w:t>
      </w:r>
    </w:p>
    <w:p w:rsidR="00000000" w:rsidDel="00000000" w:rsidP="00000000" w:rsidRDefault="00000000" w:rsidRPr="00000000" w14:paraId="00000007">
      <w:pPr>
        <w:rPr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eg2part2eax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Findings and Observations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The following table outlines the specific issues identified during the review.</w:t>
      </w:r>
    </w:p>
    <w:tbl>
      <w:tblPr>
        <w:tblStyle w:val="Table1"/>
        <w:tblW w:w="8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75"/>
        <w:gridCol w:w="3765"/>
        <w:gridCol w:w="1485"/>
        <w:gridCol w:w="2760"/>
        <w:tblGridChange w:id="0">
          <w:tblGrid>
            <w:gridCol w:w="975"/>
            <w:gridCol w:w="3765"/>
            <w:gridCol w:w="1485"/>
            <w:gridCol w:w="276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Ref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Findings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Criticality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Business Impact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NFA-01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The team is currently using an Excel sheet to track manual overrides. This sheet is stored on a shared drive without restricted access. There is no log of who changed what or when, which is bad for compliance.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Risk of unauthorized data alteration and failure to meet regulatory audit trail requirements.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NFA-02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We saw that some staff are sharing logins for the legacy database system because getting new licenses takes too long. This makes it hard to know who actually performed specific transactions.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Very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High risk of internal fraud and inability to attribute actions to specific individuals during an investigation.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NFA-03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The reconciliation report for the month of November was signed off three days late. The manager said they were on leave and no one else was authorized to sign it.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Delay in identifying potential financial discrepancies and breach of internal SLA.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NFA-04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Backup tapes are being stored in the same room as the primary servers. If there is a fire or a leak, both the original data and the backup would be destroyed at the same time.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Potential for total data loss and extended business downtime in the event of a physical site disaster.</w:t>
            </w:r>
          </w:p>
        </w:tc>
      </w:tr>
    </w:tbl>
    <w:p w:rsidR="00000000" w:rsidDel="00000000" w:rsidP="00000000" w:rsidRDefault="00000000" w:rsidRPr="00000000" w14:paraId="0000001E">
      <w:pPr>
        <w:rPr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37onxze6dc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Conclusion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The Digital Asset Operations team must address the NFA-01 and NFA-02 issues with the highest priority to maintain the integrity of the risk control framework.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Style w:val="Heading1"/>
      <w:keepNext w:val="0"/>
      <w:keepLines w:val="0"/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pacing w:before="0" w:lineRule="auto"/>
      <w:rPr/>
    </w:pPr>
    <w:bookmarkStart w:colFirst="0" w:colLast="0" w:name="_k9zv93ju4t7g" w:id="3"/>
    <w:bookmarkEnd w:id="3"/>
    <w:r w:rsidDel="00000000" w:rsidR="00000000" w:rsidRPr="00000000">
      <w:rPr>
        <w:b w:val="1"/>
        <w:bCs w:val="1"/>
        <w:color w:val="1f1f1f"/>
        <w:sz w:val="46"/>
        <w:szCs w:val="46"/>
        <w:rtl w:val="0"/>
      </w:rPr>
      <w:t xml:space="preserve">Internal Risk Control &amp; Compliance Report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