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AC65AF6">
      <w:pPr>
        <w:pStyle w:val="style0"/>
        <w:rPr>
          <w:lang w:val="en-US"/>
        </w:rPr>
      </w:pPr>
      <w:bookmarkStart w:id="0" w:name="_GoBack"/>
      <w:bookmarkEnd w:id="0"/>
      <w:r>
        <w:rPr>
          <w:lang w:val="en-US"/>
        </w:rPr>
        <w:t xml:space="preserve">ADR case scenario </w:t>
      </w:r>
    </w:p>
    <w:p w14:paraId="4A69436D">
      <w:pPr>
        <w:pStyle w:val="style0"/>
        <w:rPr>
          <w:lang w:val="en-US"/>
        </w:rPr>
      </w:pPr>
      <w:r>
        <w:rPr>
          <w:lang w:val="en-US"/>
        </w:rPr>
        <w:t>A 59-year-old female patient weighing 47 kg, diagnosed with ovarian cancer with a history of diabetes mellitus and hypothyroidism, was admitted for chemotherapy. The patient had previously received chemotherapy on 27/05/2026 and had a documented history of carboplatin allergy during a previous chemotherapy cycle. On 10/06/2026, during administration of Symcarbo (carboplatin) 450 mg intravenously, the patient developed generalized itching over the body, suggestive of a hypersensitivity reaction to the suspected drug. The administration of carboplatin was immediately stopped, and Inj. Avil 2 mL was administered for management of the adverse drug reaction. Following treatment, the itching subsided and the patient recovered, while vital signs remained stable throughout the event. The reaction was considered non-serious, with no hospitalization prolongation, disability, life-threatening condition, or fatal outcome reported. Relevant investigations performed on 08/06/2026 showed hemoglobin of 9.2 g/dL, WBC count of 7.27 × 10³/µL, and serum creatinine of 0.92 mg/dL. The suspected medication was Symcarbo (carboplatin) 450 mg, manufactured by Symbiosis Life Sciences, administered intravenously once daily for chemotherapy. The drug was withdrawn following the reaction, and the patient recovered after symptomatic management. A similar reaction had reportedly occurred during a previous chemotherapy cycle with the same drug, further supporting a likely causal association between carboplatin administration and the hypersensitivity reaction.</w:t>
      </w:r>
    </w:p>
    <w:p w14:paraId="DDEECDC0">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211</Words>
  <Characters>1360</Characters>
  <Application>WPS Office</Application>
  <Paragraphs>3</Paragraphs>
  <CharactersWithSpaces>1570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2026-08-20T05:26:44Z</dcterms:created>
  <dc:creator>CPH2251</dc:creator>
  <lastModifiedBy>CPH2251</lastModifiedBy>
  <dcterms:modified xsi:type="dcterms:W3CDTF">2026-08-20T05:26:44Z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f86d54d5263947939dfc2b30b67c2989_21</vt:lpwstr>
  </property>
</Properties>
</file>