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64F9DF3">
      <w:pPr>
        <w:pStyle w:val="style0"/>
        <w:rPr/>
      </w:pPr>
      <w:bookmarkStart w:id="0" w:name="_GoBack"/>
      <w:bookmarkEnd w:id="0"/>
      <w:r>
        <w:t xml:space="preserve">CASE </w:t>
      </w:r>
      <w:r>
        <w:rPr>
          <w:lang w:val="en-US"/>
        </w:rPr>
        <w:t>1</w:t>
      </w:r>
      <w:r>
        <w:t xml:space="preserve"> – IBUPROFEN-ASSOCIATED GASTROINTESTINAL BLEEDING</w:t>
      </w:r>
    </w:p>
    <w:p w14:paraId="A6EAB5B3">
      <w:pPr>
        <w:pStyle w:val="style0"/>
        <w:rPr/>
      </w:pPr>
      <w:r>
        <w:t>Case Identification</w:t>
      </w:r>
    </w:p>
    <w:p w14:paraId="60EA8160">
      <w:pPr>
        <w:pStyle w:val="style0"/>
        <w:rPr/>
      </w:pPr>
      <w:r>
        <w:t>Drug: Ibuprofen</w:t>
      </w:r>
    </w:p>
    <w:p w14:paraId="95C3B272">
      <w:pPr>
        <w:pStyle w:val="style0"/>
        <w:rPr/>
      </w:pPr>
      <w:r>
        <w:t>Adverse reaction: Upper gastrointestinal bleeding</w:t>
      </w:r>
    </w:p>
    <w:p w14:paraId="168A42FB">
      <w:pPr>
        <w:pStyle w:val="style0"/>
        <w:rPr/>
      </w:pPr>
      <w:r>
        <w:t>Source: Published report describing gastrointestinal bleeding following recommended weight-related doses of ibuprofen.</w:t>
      </w:r>
    </w:p>
    <w:p w14:paraId="FDAC807A">
      <w:pPr>
        <w:pStyle w:val="style0"/>
        <w:rPr/>
      </w:pPr>
      <w:r>
        <w:t>Case Description</w:t>
      </w:r>
    </w:p>
    <w:p w14:paraId="5175F5AA">
      <w:pPr>
        <w:pStyle w:val="style0"/>
        <w:rPr/>
      </w:pPr>
      <w:r>
        <w:t>A published report described nine previously healthy patients who developed upper gastrointestinal bleeding after receiving weight-related doses of ibuprofen for fever. This demonstrates that clinically important gastrointestinal bleeding can occur even when ibuprofen is used at recommended doses.</w:t>
      </w:r>
    </w:p>
    <w:p w14:paraId="4E95F3A4">
      <w:pPr>
        <w:pStyle w:val="style0"/>
        <w:rPr/>
      </w:pPr>
      <w:r>
        <w:t>Another published case report described a 6-year-old boy admitted with hematemesis and abdominal pain after ibuprofen administration, with inappropriate dosing intervals contributing to the exposure.</w:t>
      </w:r>
    </w:p>
    <w:p w14:paraId="630A256F">
      <w:pPr>
        <w:pStyle w:val="style0"/>
        <w:rPr/>
      </w:pPr>
    </w:p>
    <w:p w14:paraId="6E2E2BFD">
      <w:pPr>
        <w:pStyle w:val="style0"/>
        <w:rPr/>
      </w:pPr>
      <w:r>
        <w:t>Reason for Seriousness Classification</w:t>
      </w:r>
    </w:p>
    <w:p w14:paraId="205FB035">
      <w:pPr>
        <w:pStyle w:val="style0"/>
        <w:rPr/>
      </w:pPr>
      <w:r>
        <w:t>Gastrointestinal bleeding requiring hospital treatment qualifies as a serious ADR because hospitalization is a seriousness criterion. ICH defines an SAE as an event resulting in death, being life-threatening, requiring inpatient hospitalization/prolongation of hospitalization, causing significant disability, congenital anomaly, or constituting another important medical event.</w:t>
      </w:r>
    </w:p>
    <w:p w14:paraId="185CDFF9">
      <w:pPr>
        <w:pStyle w:val="style0"/>
        <w:rPr/>
      </w:pPr>
      <w:r>
        <w:t>Reason for Expectedness Classification</w:t>
      </w:r>
    </w:p>
    <w:p w14:paraId="C1775A68">
      <w:pPr>
        <w:pStyle w:val="style0"/>
        <w:rPr/>
      </w:pPr>
      <w:r>
        <w:t>Gastrointestinal bleeding is a recognized adverse effect of NSAIDs including ibuprofen. Product information specifically warns that ibuprofen/NSAIDs can cause gastrointestinal bleeding, ulceration and perforation, which can occasionally be fatal.</w:t>
      </w:r>
    </w:p>
    <w:p w14:paraId="9DDA5B65">
      <w:pPr>
        <w:pStyle w:val="style0"/>
        <w:rPr/>
      </w:pPr>
      <w:r>
        <w:t>Therefore, this ADR is expected, even though the individual event can be severe.</w:t>
      </w:r>
    </w:p>
    <w:p w14:paraId="63D9C7EA">
      <w:pPr>
        <w:pStyle w:val="style0"/>
        <w:rPr/>
      </w:pPr>
      <w:r>
        <w:t>Clinical Impact</w:t>
      </w:r>
    </w:p>
    <w:p w14:paraId="E1AACE12">
      <w:pPr>
        <w:pStyle w:val="style0"/>
        <w:rPr/>
      </w:pPr>
      <w:r>
        <w:t>GI bleeding may result in:</w:t>
      </w:r>
    </w:p>
    <w:p w14:paraId="8EE77F87">
      <w:pPr>
        <w:pStyle w:val="style0"/>
        <w:rPr/>
      </w:pPr>
      <w:r>
        <w:t>Hematemesis or melena</w:t>
      </w:r>
    </w:p>
    <w:p w14:paraId="45D532B8">
      <w:pPr>
        <w:pStyle w:val="style0"/>
        <w:rPr/>
      </w:pPr>
      <w:r>
        <w:t>Anemia</w:t>
      </w:r>
    </w:p>
    <w:p w14:paraId="790BF0E9">
      <w:pPr>
        <w:pStyle w:val="style0"/>
        <w:rPr/>
      </w:pPr>
      <w:r>
        <w:t>Hemodynamic instability</w:t>
      </w:r>
    </w:p>
    <w:p w14:paraId="E021B13B">
      <w:pPr>
        <w:pStyle w:val="style0"/>
        <w:rPr/>
      </w:pPr>
      <w:r>
        <w:t>Need for blood transfusion</w:t>
      </w:r>
    </w:p>
    <w:p w14:paraId="64DA698E">
      <w:pPr>
        <w:pStyle w:val="style0"/>
        <w:rPr/>
      </w:pPr>
      <w:r>
        <w:t>Endoscopic intervention</w:t>
      </w:r>
    </w:p>
    <w:p w14:paraId="ED24D2CA">
      <w:pPr>
        <w:pStyle w:val="style0"/>
        <w:rPr/>
      </w:pPr>
      <w:r>
        <w:t>Hospitalization</w:t>
      </w:r>
    </w:p>
    <w:p w14:paraId="B99779BD">
      <w:pPr>
        <w:pStyle w:val="style0"/>
        <w:rPr/>
      </w:pPr>
      <w:r>
        <w:t>Potentially death in severe cases</w:t>
      </w:r>
    </w:p>
    <w:p w14:paraId="152E4FF5">
      <w:pPr>
        <w:pStyle w:val="style0"/>
        <w:rPr/>
      </w:pPr>
      <w:r>
        <w:t>The risk is higher in patients with previous peptic ulcer disease, previous GI bleeding, older age or concomitant use of anticoagulants, corticosteroids, aspirin or SSRIs.</w:t>
      </w:r>
    </w:p>
    <w:p w14:paraId="39FB7241">
      <w:pPr>
        <w:pStyle w:val="style0"/>
        <w:rPr/>
      </w:pPr>
      <w:r>
        <w:t>Pharmacovigilance Action</w:t>
      </w:r>
    </w:p>
    <w:p w14:paraId="58CEB303">
      <w:pPr>
        <w:pStyle w:val="style0"/>
        <w:rPr/>
      </w:pPr>
      <w:r>
        <w:t>Immediately assess severity and hemodynamic status.</w:t>
      </w:r>
    </w:p>
    <w:p w14:paraId="9E395B13">
      <w:pPr>
        <w:pStyle w:val="style0"/>
        <w:rPr/>
      </w:pPr>
      <w:r>
        <w:t>Stop ibuprofen when significant GI bleeding is suspected.</w:t>
      </w:r>
    </w:p>
    <w:p w14:paraId="E5883699">
      <w:pPr>
        <w:pStyle w:val="style0"/>
        <w:rPr/>
      </w:pPr>
      <w:r>
        <w:t>Evaluate for other contributing medicines and risk factors.</w:t>
      </w:r>
    </w:p>
    <w:p w14:paraId="D97F1503">
      <w:pPr>
        <w:pStyle w:val="style0"/>
        <w:rPr/>
      </w:pPr>
      <w:r>
        <w:t>Provide appropriate medical treatment.</w:t>
      </w:r>
    </w:p>
    <w:p w14:paraId="80828F03">
      <w:pPr>
        <w:pStyle w:val="style0"/>
        <w:rPr/>
      </w:pPr>
      <w:r>
        <w:t>Record the ADR prominently in the patient's medication history.</w:t>
      </w:r>
    </w:p>
    <w:p w14:paraId="0A51EFE8">
      <w:pPr>
        <w:pStyle w:val="style0"/>
        <w:rPr/>
      </w:pPr>
      <w:r>
        <w:t>Consider alternative analgesic therapy when appropriate.</w:t>
      </w:r>
    </w:p>
    <w:p w14:paraId="66ADF8DB">
      <w:pPr>
        <w:pStyle w:val="style0"/>
        <w:rPr/>
      </w:pPr>
      <w:r>
        <w:t>Report serious suspected ADRs through the appropriate pharmacovigilance system.</w:t>
      </w:r>
    </w:p>
    <w:p w14:paraId="2ED73191">
      <w:pPr>
        <w:pStyle w:val="style0"/>
        <w:rPr/>
      </w:pPr>
      <w:r>
        <w:t>Final classification: SERIOUS + SEVERE + EXPECTED ADR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296</Words>
  <Characters>2123</Characters>
  <Application>WPS Office</Application>
  <Paragraphs>33</Paragraphs>
  <CharactersWithSpaces>2387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2026-08-21T07:17:22Z</dcterms:created>
  <dc:creator>CPH2251</dc:creator>
  <lastModifiedBy>CPH2251</lastModifiedBy>
  <dcterms:modified xsi:type="dcterms:W3CDTF">2026-08-21T07:17:22Z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bc913d28ed9c45bfae4a4d729e0e4f03_21</vt:lpwstr>
  </property>
</Properties>
</file>