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049751B">
      <w:pPr>
        <w:pStyle w:val="style0"/>
        <w:rPr/>
      </w:pPr>
      <w:bookmarkStart w:id="0" w:name="_GoBack"/>
      <w:bookmarkEnd w:id="0"/>
      <w:r>
        <w:t>CAUSALITY ASSESSMENT OF AN ADVERSE DRUG REACTION</w:t>
      </w:r>
    </w:p>
    <w:p w14:paraId="E4E72BBA">
      <w:pPr>
        <w:pStyle w:val="style0"/>
        <w:rPr/>
      </w:pPr>
    </w:p>
    <w:p w14:paraId="01A09904">
      <w:pPr>
        <w:pStyle w:val="style0"/>
        <w:rPr/>
      </w:pPr>
      <w:r>
        <w:t>1. Case Study</w:t>
      </w:r>
    </w:p>
    <w:p w14:paraId="E1AE87B2">
      <w:pPr>
        <w:pStyle w:val="style0"/>
        <w:rPr/>
      </w:pPr>
    </w:p>
    <w:p w14:paraId="C8B302A0">
      <w:pPr>
        <w:pStyle w:val="style0"/>
        <w:rPr/>
      </w:pPr>
      <w:r>
        <w:t>Patient Information</w:t>
      </w:r>
    </w:p>
    <w:p w14:paraId="82253D7A">
      <w:pPr>
        <w:pStyle w:val="style0"/>
        <w:rPr/>
      </w:pPr>
    </w:p>
    <w:p w14:paraId="6A0556FD">
      <w:pPr>
        <w:pStyle w:val="style0"/>
        <w:rPr/>
      </w:pPr>
      <w:r>
        <w:t>- Patient: 34-year-old male</w:t>
      </w:r>
    </w:p>
    <w:p w14:paraId="B729508A">
      <w:pPr>
        <w:pStyle w:val="style0"/>
        <w:rPr/>
      </w:pPr>
      <w:r>
        <w:t>- Clinical condition: Upper respiratory tract infection</w:t>
      </w:r>
    </w:p>
    <w:p w14:paraId="2A3726F2">
      <w:pPr>
        <w:pStyle w:val="style0"/>
        <w:rPr/>
      </w:pPr>
      <w:r>
        <w:t>- Suspected drug: Amoxicillin–clavulanate</w:t>
      </w:r>
    </w:p>
    <w:p w14:paraId="7BE6C6EA">
      <w:pPr>
        <w:pStyle w:val="style0"/>
        <w:rPr/>
      </w:pPr>
      <w:r>
        <w:t>- Drug class: β-lactam antibacterial antibiotic</w:t>
      </w:r>
    </w:p>
    <w:p w14:paraId="645EA6AA">
      <w:pPr>
        <w:pStyle w:val="style0"/>
        <w:rPr/>
      </w:pPr>
      <w:r>
        <w:t>- Suspected adverse reaction: Drug-induced pityriasis rosea-like cutaneous eruption</w:t>
      </w:r>
    </w:p>
    <w:p w14:paraId="6E7A17BD">
      <w:pPr>
        <w:pStyle w:val="style0"/>
        <w:rPr/>
      </w:pPr>
      <w:r>
        <w:t>- Route: Oral</w:t>
      </w:r>
    </w:p>
    <w:p w14:paraId="BCD8C700">
      <w:pPr>
        <w:pStyle w:val="style0"/>
        <w:rPr/>
      </w:pPr>
      <w:r>
        <w:t>- Outcome: Complete clinical resolution after withdrawal of the suspected drug</w:t>
      </w:r>
    </w:p>
    <w:p w14:paraId="4C4F72AF">
      <w:pPr>
        <w:pStyle w:val="style0"/>
        <w:rPr/>
      </w:pPr>
    </w:p>
    <w:p w14:paraId="038B2186">
      <w:pPr>
        <w:pStyle w:val="style0"/>
        <w:rPr/>
      </w:pPr>
      <w:r>
        <w:t>Clinical History</w:t>
      </w:r>
    </w:p>
    <w:p w14:paraId="790B9936">
      <w:pPr>
        <w:pStyle w:val="style0"/>
        <w:rPr/>
      </w:pPr>
    </w:p>
    <w:p w14:paraId="053DEB00">
      <w:pPr>
        <w:pStyle w:val="style0"/>
        <w:rPr/>
      </w:pPr>
      <w:r>
        <w:t>A 34-year-old male was treated with amoxicillin–clavulanate for an upper respiratory tract infection. Following antibiotic therapy, the patient developed a progressive, pruritic and painful skin eruption, predominantly involving flexural areas. The eruption was initially considered to be an infectious dermatological condition, including varicella and scabies.</w:t>
      </w:r>
    </w:p>
    <w:p w14:paraId="8D2C64B0">
      <w:pPr>
        <w:pStyle w:val="style0"/>
        <w:rPr/>
      </w:pPr>
    </w:p>
    <w:p w14:paraId="0608B572">
      <w:pPr>
        <w:pStyle w:val="style0"/>
        <w:rPr/>
      </w:pPr>
      <w:r>
        <w:t>A detailed dermatological assessment subsequently suggested a drug-induced pityriasis rosea-like eruption. The suspected drug, amoxicillin–clavulanate, was discontinued. The patient was treated symptomatically with topical corticosteroids and oral antihistamines.</w:t>
      </w:r>
    </w:p>
    <w:p w14:paraId="D83778AD">
      <w:pPr>
        <w:pStyle w:val="style0"/>
        <w:rPr/>
      </w:pPr>
    </w:p>
    <w:p w14:paraId="5008FD62">
      <w:pPr>
        <w:pStyle w:val="style0"/>
        <w:rPr/>
      </w:pPr>
      <w:r>
        <w:t>Following withdrawal of the suspected drug, the patient's symptoms progressively improved. Marked improvement occurred over approximately 10–14 days, with eventual complete resolution of the skin lesions and associated symptoms. No recurrence or permanent complications were reported during follow-up.</w:t>
      </w:r>
    </w:p>
    <w:p w14:paraId="8E61A409">
      <w:pPr>
        <w:pStyle w:val="style0"/>
        <w:rPr/>
      </w:pPr>
    </w:p>
    <w:p w14:paraId="21760A30">
      <w:pPr>
        <w:pStyle w:val="style0"/>
        <w:rPr/>
      </w:pPr>
      <w:r>
        <w:t>---</w:t>
      </w:r>
    </w:p>
    <w:p w14:paraId="6E1A0518">
      <w:pPr>
        <w:pStyle w:val="style0"/>
        <w:rPr/>
      </w:pPr>
    </w:p>
    <w:p w14:paraId="CB0ECFD9">
      <w:pPr>
        <w:pStyle w:val="style0"/>
        <w:rPr/>
      </w:pPr>
      <w:r>
        <w:t>2. Suspected Drug and Adverse Reaction</w:t>
      </w:r>
    </w:p>
    <w:p w14:paraId="EEC2D496">
      <w:pPr>
        <w:pStyle w:val="style0"/>
        <w:rPr/>
      </w:pPr>
    </w:p>
    <w:p w14:paraId="BC8F3634">
      <w:pPr>
        <w:pStyle w:val="style0"/>
        <w:rPr/>
      </w:pPr>
      <w:r>
        <w:t>Parameter| Details</w:t>
      </w:r>
    </w:p>
    <w:p w14:paraId="EBC884FD">
      <w:pPr>
        <w:pStyle w:val="style0"/>
        <w:rPr/>
      </w:pPr>
      <w:r>
        <w:t>Suspected drug| Amoxicillin–clavulanate</w:t>
      </w:r>
    </w:p>
    <w:p w14:paraId="C5E3919E">
      <w:pPr>
        <w:pStyle w:val="style0"/>
        <w:rPr/>
      </w:pPr>
      <w:r>
        <w:t>Therapeutic class| Antibiotic</w:t>
      </w:r>
    </w:p>
    <w:p w14:paraId="F197A0BD">
      <w:pPr>
        <w:pStyle w:val="style0"/>
        <w:rPr/>
      </w:pPr>
      <w:r>
        <w:t>Drug class| β-lactam antibacterial</w:t>
      </w:r>
    </w:p>
    <w:p w14:paraId="88F7A2B0">
      <w:pPr>
        <w:pStyle w:val="style0"/>
        <w:rPr/>
      </w:pPr>
      <w:r>
        <w:t>Indication| Upper respiratory tract infection</w:t>
      </w:r>
    </w:p>
    <w:p w14:paraId="0D7B0D02">
      <w:pPr>
        <w:pStyle w:val="style0"/>
        <w:rPr/>
      </w:pPr>
      <w:r>
        <w:t>Adverse reaction| Pityriasis rosea-like drug eruption</w:t>
      </w:r>
    </w:p>
    <w:p w14:paraId="1C2E2914">
      <w:pPr>
        <w:pStyle w:val="style0"/>
        <w:rPr/>
      </w:pPr>
      <w:r>
        <w:t>Main symptoms| Pruritic and painful skin lesions</w:t>
      </w:r>
    </w:p>
    <w:p w14:paraId="F39AE02F">
      <w:pPr>
        <w:pStyle w:val="style0"/>
        <w:rPr/>
      </w:pPr>
      <w:r>
        <w:t>Onset| After initiation of antibiotic therapy</w:t>
      </w:r>
    </w:p>
    <w:p w14:paraId="12A2E5C2">
      <w:pPr>
        <w:pStyle w:val="style0"/>
        <w:rPr/>
      </w:pPr>
      <w:r>
        <w:t>Dechallenge| Positive – symptoms improved after withdrawal</w:t>
      </w:r>
    </w:p>
    <w:p w14:paraId="4200069C">
      <w:pPr>
        <w:pStyle w:val="style0"/>
        <w:rPr/>
      </w:pPr>
      <w:r>
        <w:t>Rechallenge| Not performed</w:t>
      </w:r>
    </w:p>
    <w:p w14:paraId="E02089D5">
      <w:pPr>
        <w:pStyle w:val="style0"/>
        <w:rPr/>
      </w:pPr>
      <w:r>
        <w:t>Outcome| Complete recovery</w:t>
      </w:r>
    </w:p>
    <w:p w14:paraId="CD2E0311">
      <w:pPr>
        <w:pStyle w:val="style0"/>
        <w:rPr/>
      </w:pPr>
      <w:r>
        <w:t>Seriousness| Non-fatal, moderate cutaneous ADR</w:t>
      </w:r>
    </w:p>
    <w:p w14:paraId="EF840A24">
      <w:pPr>
        <w:pStyle w:val="style0"/>
        <w:rPr/>
      </w:pPr>
    </w:p>
    <w:p w14:paraId="0981062C">
      <w:pPr>
        <w:pStyle w:val="style0"/>
        <w:rPr/>
      </w:pPr>
      <w:r>
        <w:t>The published case specifically reported a probable association between amoxicillin–clavulanate and the cutaneous reaction using the Naranjo Adverse Drug Reaction Probability Scale.</w:t>
      </w:r>
    </w:p>
    <w:p w14:paraId="8BEE480B">
      <w:pPr>
        <w:pStyle w:val="style0"/>
        <w:rPr/>
      </w:pPr>
    </w:p>
    <w:p w14:paraId="5186FE1B">
      <w:pPr>
        <w:pStyle w:val="style0"/>
        <w:rPr/>
      </w:pPr>
      <w:r>
        <w:t>---</w:t>
      </w:r>
    </w:p>
    <w:p w14:paraId="A79E330C">
      <w:pPr>
        <w:pStyle w:val="style0"/>
        <w:rPr/>
      </w:pPr>
    </w:p>
    <w:p w14:paraId="33ABBB8E">
      <w:pPr>
        <w:pStyle w:val="style0"/>
        <w:rPr/>
      </w:pPr>
      <w:r>
        <w:t>3. Temporal Relationship</w:t>
      </w:r>
    </w:p>
    <w:p w14:paraId="2E2AACF6">
      <w:pPr>
        <w:pStyle w:val="style0"/>
        <w:rPr/>
      </w:pPr>
    </w:p>
    <w:p w14:paraId="BACADE8D">
      <w:pPr>
        <w:pStyle w:val="style0"/>
        <w:rPr/>
      </w:pPr>
      <w:r>
        <w:t>A temporal relationship existed between exposure to amoxicillin–clavulanate and development of the skin eruption.</w:t>
      </w:r>
    </w:p>
    <w:p w14:paraId="A0B92724">
      <w:pPr>
        <w:pStyle w:val="style0"/>
        <w:rPr/>
      </w:pPr>
    </w:p>
    <w:p w14:paraId="A3AFE1D7">
      <w:pPr>
        <w:pStyle w:val="style0"/>
        <w:rPr/>
      </w:pPr>
      <w:r>
        <w:t>The reaction developed following administration of the suspected medication, making the timing biologically compatible with a drug-induced cutaneous reaction.</w:t>
      </w:r>
    </w:p>
    <w:p w14:paraId="4808CFFB">
      <w:pPr>
        <w:pStyle w:val="style0"/>
        <w:rPr/>
      </w:pPr>
    </w:p>
    <w:p w14:paraId="41835969">
      <w:pPr>
        <w:pStyle w:val="style0"/>
        <w:rPr/>
      </w:pPr>
      <w:r>
        <w:t>Assessment:</w:t>
      </w:r>
    </w:p>
    <w:p w14:paraId="3778227D">
      <w:pPr>
        <w:pStyle w:val="style0"/>
        <w:rPr/>
      </w:pPr>
    </w:p>
    <w:p w14:paraId="18EF4B2C">
      <w:pPr>
        <w:pStyle w:val="style0"/>
        <w:rPr/>
      </w:pPr>
      <w:r>
        <w:t>Positive</w:t>
      </w:r>
    </w:p>
    <w:p w14:paraId="760D1CF2">
      <w:pPr>
        <w:pStyle w:val="style0"/>
        <w:rPr/>
      </w:pPr>
    </w:p>
    <w:p w14:paraId="43DBF300">
      <w:pPr>
        <w:pStyle w:val="style0"/>
        <w:rPr/>
      </w:pPr>
      <w:r>
        <w:t>Reason: The adverse event occurred after exposure to the suspected drug.</w:t>
      </w:r>
    </w:p>
    <w:p w14:paraId="78F8FC24">
      <w:pPr>
        <w:pStyle w:val="style0"/>
        <w:rPr/>
      </w:pPr>
    </w:p>
    <w:p w14:paraId="B39B48B4">
      <w:pPr>
        <w:pStyle w:val="style0"/>
        <w:rPr/>
      </w:pPr>
      <w:r>
        <w:t>---</w:t>
      </w:r>
    </w:p>
    <w:p w14:paraId="BB801555">
      <w:pPr>
        <w:pStyle w:val="style0"/>
        <w:rPr/>
      </w:pPr>
    </w:p>
    <w:p w14:paraId="AF375A3C">
      <w:pPr>
        <w:pStyle w:val="style0"/>
        <w:rPr/>
      </w:pPr>
      <w:r>
        <w:t>4. Dechallenge Assessment</w:t>
      </w:r>
    </w:p>
    <w:p w14:paraId="6957AD0A">
      <w:pPr>
        <w:pStyle w:val="style0"/>
        <w:rPr/>
      </w:pPr>
    </w:p>
    <w:p w14:paraId="66F74B82">
      <w:pPr>
        <w:pStyle w:val="style0"/>
        <w:rPr/>
      </w:pPr>
      <w:r>
        <w:t>The suspected drug was discontinued after recognition of the adverse skin reaction.</w:t>
      </w:r>
    </w:p>
    <w:p w14:paraId="B9B988F7">
      <w:pPr>
        <w:pStyle w:val="style0"/>
        <w:rPr/>
      </w:pPr>
    </w:p>
    <w:p w14:paraId="8572E186">
      <w:pPr>
        <w:pStyle w:val="style0"/>
        <w:rPr/>
      </w:pPr>
      <w:r>
        <w:t>Following withdrawal, the patient's skin lesions and symptoms gradually improved. Marked improvement was observed over approximately 10–14 days, ultimately resulting in complete clinical resolution.</w:t>
      </w:r>
    </w:p>
    <w:p w14:paraId="0B0D2BED">
      <w:pPr>
        <w:pStyle w:val="style0"/>
        <w:rPr/>
      </w:pPr>
    </w:p>
    <w:p w14:paraId="64354B1A">
      <w:pPr>
        <w:pStyle w:val="style0"/>
        <w:rPr/>
      </w:pPr>
      <w:r>
        <w:t>Assessment:</w:t>
      </w:r>
    </w:p>
    <w:p w14:paraId="ACB71300">
      <w:pPr>
        <w:pStyle w:val="style0"/>
        <w:rPr/>
      </w:pPr>
    </w:p>
    <w:p w14:paraId="4E6A828C">
      <w:pPr>
        <w:pStyle w:val="style0"/>
        <w:rPr/>
      </w:pPr>
      <w:r>
        <w:t>Positive</w:t>
      </w:r>
    </w:p>
    <w:p w14:paraId="2B4903D8">
      <w:pPr>
        <w:pStyle w:val="style0"/>
        <w:rPr/>
      </w:pPr>
    </w:p>
    <w:p w14:paraId="2849255C">
      <w:pPr>
        <w:pStyle w:val="style0"/>
        <w:rPr/>
      </w:pPr>
      <w:r>
        <w:t>Reason: Improvement following withdrawal of the suspected drug supports a causal relationship.</w:t>
      </w:r>
    </w:p>
    <w:p w14:paraId="B69724A3">
      <w:pPr>
        <w:pStyle w:val="style0"/>
        <w:rPr/>
      </w:pPr>
    </w:p>
    <w:p w14:paraId="5A10CFAA">
      <w:pPr>
        <w:pStyle w:val="style0"/>
        <w:rPr/>
      </w:pPr>
      <w:r>
        <w:t>---</w:t>
      </w:r>
    </w:p>
    <w:p w14:paraId="C219E8CA">
      <w:pPr>
        <w:pStyle w:val="style0"/>
        <w:rPr/>
      </w:pPr>
    </w:p>
    <w:p w14:paraId="2FDC7DDF">
      <w:pPr>
        <w:pStyle w:val="style0"/>
        <w:rPr/>
      </w:pPr>
      <w:r>
        <w:t>5. Rechallenge Assessment</w:t>
      </w:r>
    </w:p>
    <w:p w14:paraId="5397928B">
      <w:pPr>
        <w:pStyle w:val="style0"/>
        <w:rPr/>
      </w:pPr>
    </w:p>
    <w:p w14:paraId="9EA123F6">
      <w:pPr>
        <w:pStyle w:val="style0"/>
        <w:rPr/>
      </w:pPr>
      <w:r>
        <w:t>The patient was not rechallenged with amoxicillin–clavulanate because deliberate re-exposure to a suspected drug causing an adverse cutaneous reaction is generally unnecessary and may expose the patient to avoidable risk.</w:t>
      </w:r>
    </w:p>
    <w:p w14:paraId="B9CE5947">
      <w:pPr>
        <w:pStyle w:val="style0"/>
        <w:rPr/>
      </w:pPr>
    </w:p>
    <w:p w14:paraId="36A78AAB">
      <w:pPr>
        <w:pStyle w:val="style0"/>
        <w:rPr/>
      </w:pPr>
      <w:r>
        <w:t>Assessment:</w:t>
      </w:r>
    </w:p>
    <w:p w14:paraId="2DB44FF2">
      <w:pPr>
        <w:pStyle w:val="style0"/>
        <w:rPr/>
      </w:pPr>
    </w:p>
    <w:p w14:paraId="E1A2BBC4">
      <w:pPr>
        <w:pStyle w:val="style0"/>
        <w:rPr/>
      </w:pPr>
      <w:r>
        <w:t>Unknown / Not performed</w:t>
      </w:r>
    </w:p>
    <w:p w14:paraId="B63C2114">
      <w:pPr>
        <w:pStyle w:val="style0"/>
        <w:rPr/>
      </w:pPr>
    </w:p>
    <w:p w14:paraId="4CBC0509">
      <w:pPr>
        <w:pStyle w:val="style0"/>
        <w:rPr/>
      </w:pPr>
      <w:r>
        <w:t>---</w:t>
      </w:r>
    </w:p>
    <w:p w14:paraId="2B7608B9">
      <w:pPr>
        <w:pStyle w:val="style0"/>
        <w:rPr/>
      </w:pPr>
    </w:p>
    <w:p w14:paraId="850BC0DF">
      <w:pPr>
        <w:pStyle w:val="style0"/>
        <w:rPr/>
      </w:pPr>
      <w:r>
        <w:t>6. Alternative Causes</w:t>
      </w:r>
    </w:p>
    <w:p w14:paraId="27E84D02">
      <w:pPr>
        <w:pStyle w:val="style0"/>
        <w:rPr/>
      </w:pPr>
    </w:p>
    <w:p w14:paraId="6FD767FD">
      <w:pPr>
        <w:pStyle w:val="style0"/>
        <w:rPr/>
      </w:pPr>
      <w:r>
        <w:t>Other possible causes of the skin eruption were considered during the clinical evaluation. The patient was initially suspected of having conditions such as varicella or scabies, but dermatological assessment established a drug-induced pityriasis rosea-like reaction.</w:t>
      </w:r>
    </w:p>
    <w:p w14:paraId="49942EC6">
      <w:pPr>
        <w:pStyle w:val="style0"/>
        <w:rPr/>
      </w:pPr>
    </w:p>
    <w:p w14:paraId="EA26C083">
      <w:pPr>
        <w:pStyle w:val="style0"/>
        <w:rPr/>
      </w:pPr>
      <w:r>
        <w:t>The absence of a more convincing alternative cause, together with the temporal association and improvement after drug withdrawal, strengthened the suspected drug relationship.</w:t>
      </w:r>
    </w:p>
    <w:p w14:paraId="A637F2A5">
      <w:pPr>
        <w:pStyle w:val="style0"/>
        <w:rPr/>
      </w:pPr>
    </w:p>
    <w:p w14:paraId="12953BE9">
      <w:pPr>
        <w:pStyle w:val="style0"/>
        <w:rPr/>
      </w:pPr>
    </w:p>
    <w:p w14:paraId="1F4FFAE3">
      <w:pPr>
        <w:pStyle w:val="style0"/>
        <w:rPr/>
      </w:pPr>
    </w:p>
    <w:p w14:paraId="2372E81A">
      <w:pPr>
        <w:pStyle w:val="style0"/>
        <w:rPr/>
      </w:pPr>
      <w:r>
        <w:t>---</w:t>
      </w:r>
    </w:p>
    <w:p w14:paraId="627C150C">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458</Words>
  <Characters>3211</Characters>
  <Application>WPS Office</Application>
  <Paragraphs>91</Paragraphs>
  <CharactersWithSpaces>3616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2026-08-20T09:33:53Z</dcterms:created>
  <dc:creator>CPH2251</dc:creator>
  <lastModifiedBy>CPH2251</lastModifiedBy>
  <dcterms:modified xsi:type="dcterms:W3CDTF">2026-08-20T09:33:53Z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751672292b12480b8a6795e46f28d091_21</vt:lpwstr>
  </property>
</Properties>
</file>