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38" w:rsidRPr="002B5BBF" w:rsidRDefault="00FC3B38" w:rsidP="00767717">
      <w:pPr>
        <w:shd w:val="clear" w:color="auto" w:fill="FFFFFF"/>
        <w:spacing w:before="360" w:after="48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val="en-US"/>
        </w:rPr>
      </w:pPr>
      <w:r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:lang w:val="en-US"/>
        </w:rPr>
        <w:t>Visualisation</w:t>
      </w:r>
    </w:p>
    <w:p w:rsidR="00116A61" w:rsidRPr="002B5BBF" w:rsidRDefault="00116A61" w:rsidP="00767717">
      <w:pPr>
        <w:shd w:val="clear" w:color="auto" w:fill="FFFFFF"/>
        <w:spacing w:before="360" w:after="48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val="en-US"/>
        </w:rPr>
      </w:pPr>
      <w:r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val="en-US"/>
        </w:rPr>
        <w:t>FSA Successful Prosecutions</w:t>
      </w:r>
    </w:p>
    <w:p w:rsidR="00FE51A6" w:rsidRPr="002B5BBF" w:rsidRDefault="00FE51A6" w:rsidP="00767717">
      <w:pPr>
        <w:shd w:val="clear" w:color="auto" w:fill="FFFFFF"/>
        <w:spacing w:before="360" w:after="48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</w:p>
    <w:p w:rsidR="00F74326" w:rsidRPr="002B5BBF" w:rsidRDefault="00F74326" w:rsidP="00767717">
      <w:pPr>
        <w:shd w:val="clear" w:color="auto" w:fill="FFFFFF"/>
        <w:spacing w:before="360" w:after="48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t>FSA – Food Standards Agency</w:t>
      </w:r>
    </w:p>
    <w:p w:rsidR="00201758" w:rsidRPr="002B5BBF" w:rsidRDefault="00201758" w:rsidP="00201758">
      <w:pPr>
        <w:shd w:val="clear" w:color="auto" w:fill="FFFFFF"/>
        <w:spacing w:before="360" w:after="48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The topic is based on the specifics of food hygiene/safety and animal welfare cases that have been registered and successfully initiated, as well as the fine amounts awarded and total cost.</w:t>
      </w:r>
    </w:p>
    <w:p w:rsidR="00116A61" w:rsidRPr="002B5BBF" w:rsidRDefault="00FE51A6" w:rsidP="00201758">
      <w:pPr>
        <w:pStyle w:val="ListParagraph"/>
        <w:numPr>
          <w:ilvl w:val="0"/>
          <w:numId w:val="2"/>
        </w:numPr>
        <w:shd w:val="clear" w:color="auto" w:fill="FFFFFF"/>
        <w:spacing w:before="360" w:after="48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t>Line Plot</w:t>
      </w:r>
    </w:p>
    <w:p w:rsidR="00FE51A6" w:rsidRPr="002B5BBF" w:rsidRDefault="00FE51A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FE51A6" w:rsidRPr="002B5BBF" w:rsidRDefault="00F7432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Arial" w:eastAsia="Times New Roman" w:hAnsi="Arial" w:cs="Arial"/>
          <w:b/>
          <w:bCs/>
          <w:noProof/>
          <w:color w:val="000000"/>
          <w:kern w:val="36"/>
          <w:sz w:val="24"/>
          <w:szCs w:val="24"/>
          <w:lang w:val="en-US"/>
        </w:rPr>
        <w:drawing>
          <wp:inline distT="0" distB="0" distL="0" distR="0">
            <wp:extent cx="3718560" cy="2689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26" w:rsidRPr="002B5BBF" w:rsidRDefault="00F7432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en-US"/>
        </w:rPr>
      </w:pPr>
    </w:p>
    <w:p w:rsidR="00264264" w:rsidRPr="002B5BBF" w:rsidRDefault="00264264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The above line plot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depicts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 graph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,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with </w:t>
      </w:r>
      <w:r w:rsidR="00C17D66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the 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x-axis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representing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 year in which a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specific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case related to food safety and animal welfare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was registered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and</w:t>
      </w:r>
      <w:r w:rsidR="00C17D66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y-axis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representing 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total expenditure for each case.</w:t>
      </w:r>
    </w:p>
    <w:p w:rsidR="00264264" w:rsidRPr="002B5BBF" w:rsidRDefault="00264264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The blue plot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depicts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 expenditure</w:t>
      </w:r>
      <w:r w:rsidR="00C17D66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data for food safety/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hygiene cases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while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 orange plot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depicts expenditure data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for animal welfare. </w:t>
      </w:r>
    </w:p>
    <w:p w:rsidR="00571235" w:rsidRPr="002B5BBF" w:rsidRDefault="00C17D6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The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highest</w:t>
      </w:r>
      <w:r w:rsidR="00AC270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cost for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a</w:t>
      </w:r>
      <w:r w:rsidR="00AC270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food hygiene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case</w:t>
      </w:r>
      <w:r w:rsidR="00AC270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occurred in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2012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while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 </w:t>
      </w:r>
      <w:r w:rsidR="00201758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lowest occurred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in 2001.</w:t>
      </w:r>
    </w:p>
    <w:p w:rsidR="000D341B" w:rsidRPr="002B5BBF" w:rsidRDefault="00C17D6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The 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highest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cost for animal welfare case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has occurred in 2008 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with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lowest cost occurring</w:t>
      </w:r>
      <w:r w:rsidR="00571235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in 2001, 2002, 2014, </w:t>
      </w:r>
      <w:r w:rsidR="000D341B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and 2016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,</w:t>
      </w:r>
      <w:r w:rsidR="00190163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indicating </w:t>
      </w:r>
      <w:r w:rsidR="00190163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that</w:t>
      </w:r>
      <w:r w:rsidR="001F2BDE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the</w:t>
      </w:r>
      <w:r w:rsidR="00190163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number o</w:t>
      </w:r>
      <w:r w:rsidR="00311C20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f animal welfare cases is low</w:t>
      </w:r>
      <w:r w:rsidR="00190163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 every year compared to food hygiene.</w:t>
      </w:r>
    </w:p>
    <w:p w:rsidR="00767717" w:rsidRPr="002B5BBF" w:rsidRDefault="000D341B" w:rsidP="002B5BBF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</w:pP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Both cases </w:t>
      </w:r>
      <w:r w:rsidR="00884BFF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were at an all-time high in </w:t>
      </w:r>
      <w:r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 xml:space="preserve">2008 and then </w:t>
      </w:r>
      <w:r w:rsidR="00884BFF" w:rsidRPr="002B5B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en-US"/>
        </w:rPr>
        <w:t>dropped precipitously the following year.</w:t>
      </w:r>
    </w:p>
    <w:p w:rsidR="007C6BC0" w:rsidRPr="002B5BBF" w:rsidRDefault="00201758" w:rsidP="00201758">
      <w:pPr>
        <w:pStyle w:val="ListParagraph"/>
        <w:numPr>
          <w:ilvl w:val="0"/>
          <w:numId w:val="2"/>
        </w:numPr>
        <w:shd w:val="clear" w:color="auto" w:fill="FFFFFF"/>
        <w:spacing w:before="360" w:after="480" w:line="27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lastRenderedPageBreak/>
        <w:t xml:space="preserve"> </w:t>
      </w:r>
      <w:r w:rsidR="007C6BC0" w:rsidRPr="002B5BB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  <w:t>Bar Plot</w:t>
      </w:r>
    </w:p>
    <w:p w:rsidR="007C6BC0" w:rsidRPr="002B5BBF" w:rsidRDefault="007C6BC0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/>
        </w:rPr>
      </w:pPr>
    </w:p>
    <w:p w:rsidR="007C6BC0" w:rsidRPr="002B5BBF" w:rsidRDefault="00F65B9E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926220" cy="3996267"/>
            <wp:effectExtent l="19050" t="0" r="77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38" cy="399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BC0" w:rsidRPr="002B5BBF" w:rsidRDefault="007C6BC0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3555D" w:rsidRPr="002B5BBF" w:rsidRDefault="0083555D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C2827" w:rsidRPr="002B5BBF" w:rsidRDefault="00FC282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 xml:space="preserve">The above bar </w:t>
      </w:r>
      <w:r w:rsidR="00884BFF" w:rsidRPr="002B5BBF">
        <w:rPr>
          <w:rFonts w:ascii="Times New Roman" w:hAnsi="Times New Roman" w:cs="Times New Roman"/>
          <w:sz w:val="24"/>
          <w:szCs w:val="24"/>
        </w:rPr>
        <w:t>graph</w:t>
      </w:r>
      <w:r w:rsidRPr="002B5BBF">
        <w:rPr>
          <w:rFonts w:ascii="Times New Roman" w:hAnsi="Times New Roman" w:cs="Times New Roman"/>
          <w:sz w:val="24"/>
          <w:szCs w:val="24"/>
        </w:rPr>
        <w:t xml:space="preserve"> </w:t>
      </w:r>
      <w:r w:rsidR="00884BFF" w:rsidRPr="002B5BBF">
        <w:rPr>
          <w:rFonts w:ascii="Times New Roman" w:hAnsi="Times New Roman" w:cs="Times New Roman"/>
          <w:sz w:val="24"/>
          <w:szCs w:val="24"/>
        </w:rPr>
        <w:t>shows</w:t>
      </w:r>
      <w:r w:rsidRPr="002B5BBF">
        <w:rPr>
          <w:rFonts w:ascii="Times New Roman" w:hAnsi="Times New Roman" w:cs="Times New Roman"/>
          <w:sz w:val="24"/>
          <w:szCs w:val="24"/>
        </w:rPr>
        <w:t xml:space="preserve"> the number of cases commenced and</w:t>
      </w:r>
      <w:r w:rsidR="00311C20" w:rsidRPr="002B5BBF">
        <w:rPr>
          <w:rFonts w:ascii="Times New Roman" w:hAnsi="Times New Roman" w:cs="Times New Roman"/>
          <w:sz w:val="24"/>
          <w:szCs w:val="24"/>
        </w:rPr>
        <w:t xml:space="preserve"> the</w:t>
      </w:r>
      <w:r w:rsidRPr="002B5BBF">
        <w:rPr>
          <w:rFonts w:ascii="Times New Roman" w:hAnsi="Times New Roman" w:cs="Times New Roman"/>
          <w:sz w:val="24"/>
          <w:szCs w:val="24"/>
        </w:rPr>
        <w:t xml:space="preserve"> number of successful cases commenced </w:t>
      </w:r>
      <w:r w:rsidR="00884BFF" w:rsidRPr="002B5BBF">
        <w:rPr>
          <w:rFonts w:ascii="Times New Roman" w:hAnsi="Times New Roman" w:cs="Times New Roman"/>
          <w:sz w:val="24"/>
          <w:szCs w:val="24"/>
        </w:rPr>
        <w:t>throughout the course of the</w:t>
      </w:r>
      <w:r w:rsidRPr="002B5BBF">
        <w:rPr>
          <w:rFonts w:ascii="Times New Roman" w:hAnsi="Times New Roman" w:cs="Times New Roman"/>
          <w:sz w:val="24"/>
          <w:szCs w:val="24"/>
        </w:rPr>
        <w:t xml:space="preserve"> year.</w:t>
      </w:r>
    </w:p>
    <w:p w:rsidR="00FC2827" w:rsidRPr="002B5BBF" w:rsidRDefault="00FC282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 xml:space="preserve">It can be seen that in the year </w:t>
      </w:r>
      <w:r w:rsidR="00311C20" w:rsidRPr="002B5BBF">
        <w:rPr>
          <w:rFonts w:ascii="Times New Roman" w:hAnsi="Times New Roman" w:cs="Times New Roman"/>
          <w:sz w:val="24"/>
          <w:szCs w:val="24"/>
        </w:rPr>
        <w:t>2001 all the cases commenced have</w:t>
      </w:r>
      <w:r w:rsidRPr="002B5BBF">
        <w:rPr>
          <w:rFonts w:ascii="Times New Roman" w:hAnsi="Times New Roman" w:cs="Times New Roman"/>
          <w:sz w:val="24"/>
          <w:szCs w:val="24"/>
        </w:rPr>
        <w:t xml:space="preserve"> been successfully done.</w:t>
      </w:r>
    </w:p>
    <w:p w:rsidR="00044C47" w:rsidRPr="002B5BBF" w:rsidRDefault="00044C4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In 2005, extremely few successful cases were started compared to the overall number of cases.</w:t>
      </w:r>
    </w:p>
    <w:p w:rsidR="006A691B" w:rsidRPr="002B5BBF" w:rsidRDefault="006A691B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The number of food hygiene cases is lowest in 2001 that is 4 and the highest in 2004 that is 29</w:t>
      </w:r>
      <w:r w:rsidR="00C17D66" w:rsidRPr="002B5BBF">
        <w:rPr>
          <w:rFonts w:ascii="Times New Roman" w:hAnsi="Times New Roman" w:cs="Times New Roman"/>
          <w:sz w:val="24"/>
          <w:szCs w:val="24"/>
        </w:rPr>
        <w:t>, which</w:t>
      </w:r>
      <w:r w:rsidRPr="002B5BBF">
        <w:rPr>
          <w:rFonts w:ascii="Times New Roman" w:hAnsi="Times New Roman" w:cs="Times New Roman"/>
          <w:sz w:val="24"/>
          <w:szCs w:val="24"/>
        </w:rPr>
        <w:t xml:space="preserve"> is a drastic </w:t>
      </w:r>
      <w:r w:rsidR="00311C20" w:rsidRPr="002B5BBF">
        <w:rPr>
          <w:rFonts w:ascii="Times New Roman" w:hAnsi="Times New Roman" w:cs="Times New Roman"/>
          <w:sz w:val="24"/>
          <w:szCs w:val="24"/>
        </w:rPr>
        <w:t>rise</w:t>
      </w:r>
      <w:r w:rsidR="00C17D66" w:rsidRPr="002B5BBF">
        <w:rPr>
          <w:rFonts w:ascii="Times New Roman" w:hAnsi="Times New Roman" w:cs="Times New Roman"/>
          <w:sz w:val="24"/>
          <w:szCs w:val="24"/>
        </w:rPr>
        <w:t xml:space="preserve"> when compared with respect to other years. From the year 2003 to 2004 there has been a rapid rise in the cases.</w:t>
      </w:r>
    </w:p>
    <w:p w:rsidR="00807633" w:rsidRPr="002B5BBF" w:rsidRDefault="00044C4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There was a gradual decrease in the number of instances of both food hygiene and animal welfare from 2005 to 2009.</w:t>
      </w:r>
    </w:p>
    <w:p w:rsidR="00FC3B38" w:rsidRDefault="00044C47" w:rsidP="00FC3B38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It is simpler to compare and display the data of the number of cases and the number of successful instances during each year using side-by-side bar graphs because the data is classified according to two criteria.</w:t>
      </w:r>
    </w:p>
    <w:p w:rsidR="002B5BBF" w:rsidRDefault="002B5BBF" w:rsidP="00FC3B38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B5BBF" w:rsidRDefault="002B5BBF" w:rsidP="00FC3B38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B5BBF" w:rsidRDefault="002B5BBF" w:rsidP="00FC3B38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2B5BBF" w:rsidRPr="00F65B9E" w:rsidRDefault="002B5BBF" w:rsidP="00F65B9E">
      <w:pPr>
        <w:shd w:val="clear" w:color="auto" w:fill="FFFFFF"/>
        <w:spacing w:before="360" w:after="480"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767717" w:rsidRPr="002B5BBF" w:rsidRDefault="00767717" w:rsidP="00201758">
      <w:pPr>
        <w:pStyle w:val="ListParagraph"/>
        <w:numPr>
          <w:ilvl w:val="0"/>
          <w:numId w:val="2"/>
        </w:numPr>
        <w:shd w:val="clear" w:color="auto" w:fill="FFFFFF"/>
        <w:spacing w:before="360" w:after="480" w:line="27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B5BBF">
        <w:rPr>
          <w:rFonts w:ascii="Times New Roman" w:hAnsi="Times New Roman" w:cs="Times New Roman"/>
          <w:b/>
          <w:sz w:val="24"/>
          <w:szCs w:val="24"/>
        </w:rPr>
        <w:lastRenderedPageBreak/>
        <w:t>Pie Chart</w:t>
      </w:r>
    </w:p>
    <w:p w:rsidR="00767717" w:rsidRPr="002B5BBF" w:rsidRDefault="0076771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67717" w:rsidRPr="002B5BBF" w:rsidRDefault="0076771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B5BB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662985" cy="3124200"/>
            <wp:effectExtent l="19050" t="0" r="42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57" cy="313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66" w:rsidRPr="002B5BBF" w:rsidRDefault="00C17D66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6A691B" w:rsidRPr="002B5BBF" w:rsidRDefault="0083555D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The above pie chart shows the total fines imposed for food hygiene/safety cases from the year 2011-2017.</w:t>
      </w:r>
    </w:p>
    <w:p w:rsidR="00807633" w:rsidRPr="002B5BBF" w:rsidRDefault="00044C4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The maximum fine issued is in the year 2011, and the minimum fine is split between two years, namely 2013 and 2014.</w:t>
      </w:r>
    </w:p>
    <w:p w:rsidR="00192F27" w:rsidRPr="002B5BBF" w:rsidRDefault="00192F27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When compared to any previous year, the amount of fines levied from 2012 to 2013 fell dramatically, indicating that the number of instances must have decreased.</w:t>
      </w:r>
    </w:p>
    <w:p w:rsidR="0083555D" w:rsidRPr="002B5BBF" w:rsidRDefault="00807633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From the year 2011 to 2014 the fine imposed is significantly decreasing but from 2015 onwards it rises gradually but still there is no significant increase when compared to 2011.</w:t>
      </w:r>
    </w:p>
    <w:p w:rsidR="00FC3B38" w:rsidRPr="002B5BBF" w:rsidRDefault="00FC3B38" w:rsidP="00767717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D1CE2" w:rsidRPr="002B5BBF" w:rsidRDefault="00FC3B38" w:rsidP="002B5BBF">
      <w:pPr>
        <w:pStyle w:val="ListParagraph"/>
        <w:shd w:val="clear" w:color="auto" w:fill="FFFFFF"/>
        <w:spacing w:before="360" w:after="480" w:line="276" w:lineRule="auto"/>
        <w:ind w:left="128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B5BBF">
        <w:rPr>
          <w:rFonts w:ascii="Times New Roman" w:hAnsi="Times New Roman" w:cs="Times New Roman"/>
          <w:sz w:val="24"/>
          <w:szCs w:val="24"/>
        </w:rPr>
        <w:t>I chose pie chart as one of the plot</w:t>
      </w:r>
      <w:r w:rsidR="00311C20" w:rsidRPr="002B5BBF">
        <w:rPr>
          <w:rFonts w:ascii="Times New Roman" w:hAnsi="Times New Roman" w:cs="Times New Roman"/>
          <w:sz w:val="24"/>
          <w:szCs w:val="24"/>
        </w:rPr>
        <w:t>s</w:t>
      </w:r>
      <w:r w:rsidRPr="002B5BBF">
        <w:rPr>
          <w:rFonts w:ascii="Times New Roman" w:hAnsi="Times New Roman" w:cs="Times New Roman"/>
          <w:sz w:val="24"/>
          <w:szCs w:val="24"/>
        </w:rPr>
        <w:t xml:space="preserve"> </w:t>
      </w:r>
      <w:r w:rsidR="00AD1CE2" w:rsidRPr="002B5BBF">
        <w:rPr>
          <w:rFonts w:ascii="Times New Roman" w:hAnsi="Times New Roman" w:cs="Times New Roman"/>
          <w:sz w:val="24"/>
          <w:szCs w:val="24"/>
        </w:rPr>
        <w:t>since it’s visually simple to understand the data than any other plot and also it accurately divides the data into correct proportion</w:t>
      </w:r>
      <w:r w:rsidR="00311C20" w:rsidRPr="002B5BBF">
        <w:rPr>
          <w:rFonts w:ascii="Times New Roman" w:hAnsi="Times New Roman" w:cs="Times New Roman"/>
          <w:sz w:val="24"/>
          <w:szCs w:val="24"/>
        </w:rPr>
        <w:t>s</w:t>
      </w:r>
      <w:r w:rsidR="00AD1CE2" w:rsidRPr="002B5BBF">
        <w:rPr>
          <w:rFonts w:ascii="Times New Roman" w:hAnsi="Times New Roman" w:cs="Times New Roman"/>
          <w:sz w:val="24"/>
          <w:szCs w:val="24"/>
        </w:rPr>
        <w:t>.</w:t>
      </w:r>
    </w:p>
    <w:p w:rsidR="00FC3B38" w:rsidRPr="002B5BBF" w:rsidRDefault="00AD1CE2" w:rsidP="002B5BBF">
      <w:pPr>
        <w:shd w:val="clear" w:color="auto" w:fill="FFFFFF"/>
        <w:spacing w:before="360" w:after="48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5BBF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Link: </w:t>
      </w:r>
    </w:p>
    <w:p w:rsidR="00AD1CE2" w:rsidRPr="002B5BBF" w:rsidRDefault="00AD1CE2" w:rsidP="002B5BBF">
      <w:pPr>
        <w:shd w:val="clear" w:color="auto" w:fill="FFFFFF"/>
        <w:spacing w:before="360" w:after="48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2B5BBF">
          <w:rPr>
            <w:rStyle w:val="Hyperlink"/>
            <w:rFonts w:ascii="Times New Roman" w:hAnsi="Times New Roman" w:cs="Times New Roman"/>
            <w:sz w:val="24"/>
            <w:szCs w:val="24"/>
          </w:rPr>
          <w:t>https://www.data.gov.uk/dataset/17206153-70bf-4205-803e-93d30c0d2fc6/fsa-successful-prosecutions</w:t>
        </w:r>
      </w:hyperlink>
    </w:p>
    <w:p w:rsidR="002B5BBF" w:rsidRDefault="00AD1CE2" w:rsidP="002B5BBF">
      <w:pPr>
        <w:shd w:val="clear" w:color="auto" w:fill="FFFFFF"/>
        <w:spacing w:before="360" w:after="48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B5BBF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2B5BB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Repository:</w:t>
      </w:r>
    </w:p>
    <w:p w:rsidR="002B5BBF" w:rsidRPr="00A23DA0" w:rsidRDefault="00A23DA0" w:rsidP="00190163">
      <w:pPr>
        <w:shd w:val="clear" w:color="auto" w:fill="FFFFFF"/>
        <w:spacing w:before="360" w:after="480" w:line="276" w:lineRule="auto"/>
        <w:jc w:val="both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hyperlink r:id="rId9" w:history="1">
        <w:r w:rsidRPr="00A23D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https://github.com/krishnajakk/visualisation-assignment</w:t>
        </w:r>
      </w:hyperlink>
    </w:p>
    <w:sectPr w:rsidR="002B5BBF" w:rsidRPr="00A23DA0" w:rsidSect="00CA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336F"/>
    <w:multiLevelType w:val="hybridMultilevel"/>
    <w:tmpl w:val="34F06A5A"/>
    <w:lvl w:ilvl="0" w:tplc="8B78E5BC">
      <w:start w:val="1"/>
      <w:numFmt w:val="decimal"/>
      <w:lvlText w:val="%1.)"/>
      <w:lvlJc w:val="left"/>
      <w:pPr>
        <w:ind w:left="1287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4C759CF"/>
    <w:multiLevelType w:val="hybridMultilevel"/>
    <w:tmpl w:val="17F0980C"/>
    <w:lvl w:ilvl="0" w:tplc="332C9ED6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1402"/>
    <w:rsid w:val="00044C47"/>
    <w:rsid w:val="000D341B"/>
    <w:rsid w:val="00116A61"/>
    <w:rsid w:val="00181402"/>
    <w:rsid w:val="00190163"/>
    <w:rsid w:val="00192F27"/>
    <w:rsid w:val="001F2BDE"/>
    <w:rsid w:val="00201758"/>
    <w:rsid w:val="00264264"/>
    <w:rsid w:val="002B5BBF"/>
    <w:rsid w:val="00311C20"/>
    <w:rsid w:val="00571235"/>
    <w:rsid w:val="005D44B7"/>
    <w:rsid w:val="006A691B"/>
    <w:rsid w:val="00767717"/>
    <w:rsid w:val="007C6BC0"/>
    <w:rsid w:val="00807633"/>
    <w:rsid w:val="0083555D"/>
    <w:rsid w:val="00884BFF"/>
    <w:rsid w:val="00980851"/>
    <w:rsid w:val="00A23DA0"/>
    <w:rsid w:val="00AC2705"/>
    <w:rsid w:val="00AD1CE2"/>
    <w:rsid w:val="00C17D66"/>
    <w:rsid w:val="00CA3ABC"/>
    <w:rsid w:val="00CC418F"/>
    <w:rsid w:val="00DB2F16"/>
    <w:rsid w:val="00DF116F"/>
    <w:rsid w:val="00F65B9E"/>
    <w:rsid w:val="00F74326"/>
    <w:rsid w:val="00FC2827"/>
    <w:rsid w:val="00FC3B38"/>
    <w:rsid w:val="00FE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BC"/>
  </w:style>
  <w:style w:type="paragraph" w:styleId="Heading1">
    <w:name w:val="heading 1"/>
    <w:basedOn w:val="Normal"/>
    <w:link w:val="Heading1Char"/>
    <w:uiPriority w:val="9"/>
    <w:qFormat/>
    <w:rsid w:val="00116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6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FE5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C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.uk/dataset/17206153-70bf-4205-803e-93d30c0d2fc6/fsa-successful-prosecu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ajakk/visualisation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11</cp:revision>
  <dcterms:created xsi:type="dcterms:W3CDTF">2022-11-10T13:28:00Z</dcterms:created>
  <dcterms:modified xsi:type="dcterms:W3CDTF">2022-11-11T17:25:00Z</dcterms:modified>
</cp:coreProperties>
</file>