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F172A"/>
          <w:sz w:val="36"/>
        </w:rPr>
        <w:t>SUPPLIER CREDIT &amp; STRATEGIC SUPPLY AGREEMENT</w:t>
      </w:r>
    </w:p>
    <w:p>
      <w:pPr>
        <w:jc w:val="center"/>
      </w:pPr>
      <w:r>
        <w:rPr>
          <w:rFonts w:ascii="Calibri" w:hAnsi="Calibri"/>
          <w:i/>
          <w:color w:val="64748B"/>
          <w:sz w:val="22"/>
        </w:rPr>
        <w:t>Bipartite Procurement &amp; Working Capital Risk Covenant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Vendor Name:</w:t>
            </w:r>
          </w:p>
        </w:tc>
        <w:tc>
          <w:tcPr>
            <w:tcW w:type="dxa" w:w="4680"/>
          </w:tcPr>
          <w:p>
            <w:r>
              <w:rPr>
                <w:b/>
                <w:color w:val="B91C1C"/>
              </w:rPr>
              <w:t>SteelWorks India (Critical Supplier)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Effective Date:</w:t>
            </w:r>
          </w:p>
        </w:tc>
        <w:tc>
          <w:tcPr>
            <w:tcW w:type="dxa" w:w="4680"/>
          </w:tcPr>
          <w:p>
            <w:r>
              <w:t>15 June 2026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Target Business:</w:t>
            </w:r>
          </w:p>
        </w:tc>
        <w:tc>
          <w:tcPr>
            <w:tcW w:type="dxa" w:w="4680"/>
          </w:tcPr>
          <w:p>
            <w:r>
              <w:t>ABC Precision Components</w:t>
            </w:r>
          </w:p>
        </w:tc>
      </w:tr>
    </w:tbl>
    <w:p/>
    <w:p>
      <w:r>
        <w:rPr>
          <w:rFonts w:ascii="Calibri" w:hAnsi="Calibri"/>
          <w:b/>
          <w:color w:val="1E293B"/>
          <w:sz w:val="26"/>
        </w:rPr>
        <w:t>TERMS &amp; CONDITIONS:</w:t>
      </w:r>
    </w:p>
    <w:p>
      <w:r>
        <w:rPr>
          <w:rFonts w:ascii="Calibri" w:hAnsi="Calibri"/>
          <w:b/>
          <w:sz w:val="22"/>
        </w:rPr>
        <w:t xml:space="preserve">1. Credit Facility: </w:t>
      </w:r>
      <w:r>
        <w:rPr>
          <w:rFonts w:ascii="Calibri" w:hAnsi="Calibri"/>
          <w:sz w:val="22"/>
        </w:rPr>
        <w:t>The vendor extends an unsecured credit line up to ₹5,00,000 for raw material procurement.</w:t>
      </w:r>
    </w:p>
    <w:p>
      <w:r>
        <w:rPr>
          <w:rFonts w:ascii="Calibri" w:hAnsi="Calibri"/>
          <w:b/>
          <w:sz w:val="22"/>
        </w:rPr>
        <w:t xml:space="preserve">2. Standard Payment Window: </w:t>
      </w:r>
      <w:r>
        <w:rPr>
          <w:rFonts w:ascii="Calibri" w:hAnsi="Calibri"/>
          <w:sz w:val="22"/>
        </w:rPr>
        <w:t>Net 30 days from the invoice issuance date.</w:t>
      </w:r>
    </w:p>
    <w:p>
      <w:r>
        <w:rPr>
          <w:rFonts w:ascii="Calibri" w:hAnsi="Calibri"/>
          <w:b/>
          <w:sz w:val="22"/>
        </w:rPr>
        <w:t xml:space="preserve">3. Penalty Clauses: </w:t>
      </w:r>
      <w:r>
        <w:rPr>
          <w:rFonts w:ascii="Calibri" w:hAnsi="Calibri"/>
          <w:sz w:val="22"/>
        </w:rPr>
        <w:t>A 2% monthly interest penalty applies automatically to overdue balances exceeding 30 days.</w:t>
      </w:r>
    </w:p>
    <w:p>
      <w:r>
        <w:rPr>
          <w:rFonts w:ascii="Calibri" w:hAnsi="Calibri"/>
          <w:b/>
          <w:sz w:val="22"/>
        </w:rPr>
        <w:t xml:space="preserve">4. Single-Source Dependency: </w:t>
      </w:r>
      <w:r>
        <w:rPr>
          <w:rFonts w:ascii="Calibri" w:hAnsi="Calibri"/>
          <w:color w:val="B45309"/>
          <w:sz w:val="22"/>
        </w:rPr>
        <w:t>This supplier is classified as a single-source provider for Alloy Steel Forged Billets (Grade EN24). Any supply chain disruption directly impacts factory production continuity.</w:t>
      </w:r>
    </w:p>
    <w:p/>
    <w:p>
      <w:r>
        <w:rPr>
          <w:rFonts w:ascii="Calibri" w:hAnsi="Calibri"/>
          <w:i/>
          <w:color w:val="475569"/>
          <w:sz w:val="20"/>
        </w:rPr>
        <w:t>FINANCIAL RISK AUDIT SUMMARY (FOR FINSHIELD ENGINE):</w:t>
        <w:br/>
        <w:t>• Total Contractual Credit Limit: ₹5,00,000</w:t>
        <w:br/>
        <w:t>• Current Outstanding Exposure: ₹4,10,000 (Payment Due: 2026-10-02)</w:t>
        <w:br/>
        <w:t>• Criticality Rating: CRITICAL (Sole-source risk multiplier: 1.85x)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