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Vyapar — Final Research, Gaps and Product Decisions</w:t>
      </w:r>
    </w:p>
    <w:p/>
    <w:p>
      <w:r>
        <w:t>Purpose: consolidate the research, identify unresolved gaps, challenge earlier assumptions, and establish the final product direction before implementation.</w:t>
      </w:r>
    </w:p>
    <w:p>
      <w:pPr>
        <w:pStyle w:val="Heading1"/>
      </w:pPr>
      <w:r>
        <w:t>1. Executive conclusion</w:t>
      </w:r>
    </w:p>
    <w:p>
      <w:r>
        <w:t>Vyapar should be built as a community opportunity network, not as a job board. The root object is Opportunity; employment is only one subtype. The product's differentiator is not simply better matching. It is reducing opportunity invisibility by combining structured understanding of people, structured opportunity information, active discovery, proactive distribution, adjacent discovery, community contribution, trust, and controlled learning from user behaviour.</w:t>
      </w:r>
    </w:p>
    <w:p>
      <w:r>
        <w:t>The most important architectural decision is to separate the Person Model from the Opportunity Model and connect them through an explainable Opportunity Engine. The profile is therefore not a resume form. It is a living model of capability, intent, openness, constraints, availability, privacy and trust.</w:t>
      </w:r>
    </w:p>
    <w:p>
      <w:pPr>
        <w:pStyle w:val="Heading1"/>
      </w:pPr>
      <w:r>
        <w:t>2. Intent recovered from the product direction</w:t>
      </w:r>
    </w:p>
    <w:p>
      <w:pPr>
        <w:pStyle w:val="ListBullet"/>
      </w:pPr>
      <w:r>
        <w:t>Every relevant opportunity should have a path to the people who could benefit from it.</w:t>
      </w:r>
    </w:p>
    <w:p>
      <w:pPr>
        <w:pStyle w:val="ListBullet"/>
      </w:pPr>
      <w:r>
        <w:t>Community-generated opportunities are the heart of Vyapar; public/government information is a valuable secondary source.</w:t>
      </w:r>
    </w:p>
    <w:p>
      <w:pPr>
        <w:pStyle w:val="ListBullet"/>
      </w:pPr>
      <w:r>
        <w:t>Users must be able to discover opportunities even when they do not know the correct category or search vocabulary.</w:t>
      </w:r>
    </w:p>
    <w:p>
      <w:pPr>
        <w:pStyle w:val="ListBullet"/>
      </w:pPr>
      <w:r>
        <w:t>The same person may seek, offer, create, refer, learn, collaborate and provide opportunities at the same time.</w:t>
      </w:r>
    </w:p>
    <w:p>
      <w:pPr>
        <w:pStyle w:val="ListBullet"/>
      </w:pPr>
      <w:r>
        <w:t>The first product should be useful without requiring a long resume/profile-completion process.</w:t>
      </w:r>
    </w:p>
    <w:p>
      <w:pPr>
        <w:pStyle w:val="ListBullet"/>
      </w:pPr>
      <w:r>
        <w:t>The engine should start deterministic and explainable; AI should help where it reduces data-structuring effort, not become an expensive hot-path dependency.</w:t>
      </w:r>
    </w:p>
    <w:p>
      <w:pPr>
        <w:pStyle w:val="ListBullet"/>
      </w:pPr>
      <w:r>
        <w:t>Trust, privacy and provenance are product infrastructure, especially in a close-knit community.</w:t>
      </w:r>
    </w:p>
    <w:p>
      <w:pPr>
        <w:pStyle w:val="Heading1"/>
      </w:pPr>
      <w:r>
        <w:t>3. Gaps found in the earlier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DEDED"/>
            <w:vAlign w:val="center"/>
          </w:tcPr>
          <w:p>
            <w:r>
              <w:rPr>
                <w:b/>
              </w:rPr>
              <w:t>Gap</w:t>
            </w:r>
          </w:p>
        </w:tc>
        <w:tc>
          <w:tcPr>
            <w:tcW w:type="dxa" w:w="3408"/>
            <w:shd w:fill="EDEDED"/>
            <w:vAlign w:val="center"/>
          </w:tcPr>
          <w:p>
            <w:r>
              <w:rPr>
                <w:b/>
              </w:rPr>
              <w:t>Why it matters</w:t>
            </w:r>
          </w:p>
        </w:tc>
        <w:tc>
          <w:tcPr>
            <w:tcW w:type="dxa" w:w="3408"/>
            <w:shd w:fill="EDEDED"/>
            <w:vAlign w:val="center"/>
          </w:tcPr>
          <w:p>
            <w:r>
              <w:rPr>
                <w:b/>
              </w:rPr>
              <w:t>Final correction</w:t>
            </w:r>
          </w:p>
        </w:tc>
      </w:tr>
      <w:tr>
        <w:tc>
          <w:tcPr>
            <w:tcW w:type="dxa" w:w="3408"/>
            <w:vAlign w:val="top"/>
          </w:tcPr>
          <w:p>
            <w:r>
              <w:t>Job-centric vocabulary</w:t>
            </w:r>
          </w:p>
        </w:tc>
        <w:tc>
          <w:tcPr>
            <w:tcW w:type="dxa" w:w="3408"/>
            <w:vAlign w:val="top"/>
          </w:tcPr>
          <w:p>
            <w:r>
              <w:t>It narrows the product and creates the wrong data model.</w:t>
            </w:r>
          </w:p>
        </w:tc>
        <w:tc>
          <w:tcPr>
            <w:tcW w:type="dxa" w:w="3408"/>
            <w:vAlign w:val="top"/>
          </w:tcPr>
          <w:p>
            <w:r>
              <w:t>Opportunity is the root entity; job is a subtype.</w:t>
            </w:r>
          </w:p>
        </w:tc>
      </w:tr>
      <w:tr>
        <w:tc>
          <w:tcPr>
            <w:tcW w:type="dxa" w:w="3408"/>
            <w:vAlign w:val="top"/>
          </w:tcPr>
          <w:p>
            <w:r>
              <w:t>Profile treated as a form</w:t>
            </w:r>
          </w:p>
        </w:tc>
        <w:tc>
          <w:tcPr>
            <w:tcW w:type="dxa" w:w="3408"/>
            <w:vAlign w:val="top"/>
          </w:tcPr>
          <w:p>
            <w:r>
              <w:t>Long onboarding delays value and creates stale data.</w:t>
            </w:r>
          </w:p>
        </w:tc>
        <w:tc>
          <w:tcPr>
            <w:tcW w:type="dxa" w:w="3408"/>
            <w:vAlign w:val="top"/>
          </w:tcPr>
          <w:p>
            <w:r>
              <w:t>Use progressive, information-gain-driven profile enrichment.</w:t>
            </w:r>
          </w:p>
        </w:tc>
      </w:tr>
      <w:tr>
        <w:tc>
          <w:tcPr>
            <w:tcW w:type="dxa" w:w="3408"/>
            <w:vAlign w:val="top"/>
          </w:tcPr>
          <w:p>
            <w:r>
              <w:t>Matching treated as the whole product</w:t>
            </w:r>
          </w:p>
        </w:tc>
        <w:tc>
          <w:tcPr>
            <w:tcW w:type="dxa" w:w="3408"/>
            <w:vAlign w:val="top"/>
          </w:tcPr>
          <w:p>
            <w:r>
              <w:t>A good score does not solve discovery, trust or distribution.</w:t>
            </w:r>
          </w:p>
        </w:tc>
        <w:tc>
          <w:tcPr>
            <w:tcW w:type="dxa" w:w="3408"/>
            <w:vAlign w:val="top"/>
          </w:tcPr>
          <w:p>
            <w:r>
              <w:t>Build Discovery + Engine + Distribution + Trust as one loop.</w:t>
            </w:r>
          </w:p>
        </w:tc>
      </w:tr>
      <w:tr>
        <w:tc>
          <w:tcPr>
            <w:tcW w:type="dxa" w:w="3408"/>
            <w:vAlign w:val="top"/>
          </w:tcPr>
          <w:p>
            <w:r>
              <w:t>No explicit 'maybe/open to' state</w:t>
            </w:r>
          </w:p>
        </w:tc>
        <w:tc>
          <w:tcPr>
            <w:tcW w:type="dxa" w:w="3408"/>
            <w:vAlign w:val="top"/>
          </w:tcPr>
          <w:p>
            <w:r>
              <w:t>Users have interests that are neither active needs nor exclusions.</w:t>
            </w:r>
          </w:p>
        </w:tc>
        <w:tc>
          <w:tcPr>
            <w:tcW w:type="dxa" w:w="3408"/>
            <w:vAlign w:val="top"/>
          </w:tcPr>
          <w:p>
            <w:r>
              <w:t>Model Looking for / Open to / Curious / Not interested.</w:t>
            </w:r>
          </w:p>
        </w:tc>
      </w:tr>
      <w:tr>
        <w:tc>
          <w:tcPr>
            <w:tcW w:type="dxa" w:w="3408"/>
            <w:vAlign w:val="top"/>
          </w:tcPr>
          <w:p>
            <w:r>
              <w:t>Insufficient support for unknown intent</w:t>
            </w:r>
          </w:p>
        </w:tc>
        <w:tc>
          <w:tcPr>
            <w:tcW w:type="dxa" w:w="3408"/>
            <w:vAlign w:val="top"/>
          </w:tcPr>
          <w:p>
            <w:r>
              <w:t>Many users cannot name the opportunity they need.</w:t>
            </w:r>
          </w:p>
        </w:tc>
        <w:tc>
          <w:tcPr>
            <w:tcW w:type="dxa" w:w="3408"/>
            <w:vAlign w:val="top"/>
          </w:tcPr>
          <w:p>
            <w:r>
              <w:t>Use capability-first discovery and adjacent opportunity suggestions.</w:t>
            </w:r>
          </w:p>
        </w:tc>
      </w:tr>
      <w:tr>
        <w:tc>
          <w:tcPr>
            <w:tcW w:type="dxa" w:w="3408"/>
            <w:vAlign w:val="top"/>
          </w:tcPr>
          <w:p>
            <w:r>
              <w:t>Silent behavioural inference</w:t>
            </w:r>
          </w:p>
        </w:tc>
        <w:tc>
          <w:tcPr>
            <w:tcW w:type="dxa" w:w="3408"/>
            <w:vAlign w:val="top"/>
          </w:tcPr>
          <w:p>
            <w:r>
              <w:t>Can feel creepy or wrong.</w:t>
            </w:r>
          </w:p>
        </w:tc>
        <w:tc>
          <w:tcPr>
            <w:tcW w:type="dxa" w:w="3408"/>
            <w:vAlign w:val="top"/>
          </w:tcPr>
          <w:p>
            <w:r>
              <w:t>Use explainable preference learning with user confirmation.</w:t>
            </w:r>
          </w:p>
        </w:tc>
      </w:tr>
      <w:tr>
        <w:tc>
          <w:tcPr>
            <w:tcW w:type="dxa" w:w="3408"/>
            <w:vAlign w:val="top"/>
          </w:tcPr>
          <w:p>
            <w:r>
              <w:t>No explicit opportunity adjacency</w:t>
            </w:r>
          </w:p>
        </w:tc>
        <w:tc>
          <w:tcPr>
            <w:tcW w:type="dxa" w:w="3408"/>
            <w:vAlign w:val="top"/>
          </w:tcPr>
          <w:p>
            <w:r>
              <w:t>Exact matching produces narrow recommendations.</w:t>
            </w:r>
          </w:p>
        </w:tc>
        <w:tc>
          <w:tcPr>
            <w:tcW w:type="dxa" w:w="3408"/>
            <w:vAlign w:val="top"/>
          </w:tcPr>
          <w:p>
            <w:r>
              <w:t>Create Opportunity Neighborhood relationships.</w:t>
            </w:r>
          </w:p>
        </w:tc>
      </w:tr>
      <w:tr>
        <w:tc>
          <w:tcPr>
            <w:tcW w:type="dxa" w:w="3408"/>
            <w:vAlign w:val="top"/>
          </w:tcPr>
          <w:p>
            <w:r>
              <w:t>Generic posting form</w:t>
            </w:r>
          </w:p>
        </w:tc>
        <w:tc>
          <w:tcPr>
            <w:tcW w:type="dxa" w:w="3408"/>
            <w:vAlign w:val="top"/>
          </w:tcPr>
          <w:p>
            <w:r>
              <w:t>Community opportunities often arrive as messy messages/screenshots.</w:t>
            </w:r>
          </w:p>
        </w:tc>
        <w:tc>
          <w:tcPr>
            <w:tcW w:type="dxa" w:w="3408"/>
            <w:vAlign w:val="top"/>
          </w:tcPr>
          <w:p>
            <w:r>
              <w:t>Use a universal Opportunity Composer with confirmation.</w:t>
            </w:r>
          </w:p>
        </w:tc>
      </w:tr>
      <w:tr>
        <w:tc>
          <w:tcPr>
            <w:tcW w:type="dxa" w:w="3408"/>
            <w:vAlign w:val="top"/>
          </w:tcPr>
          <w:p>
            <w:r>
              <w:t>Weak provenance model</w:t>
            </w:r>
          </w:p>
        </w:tc>
        <w:tc>
          <w:tcPr>
            <w:tcW w:type="dxa" w:w="3408"/>
            <w:vAlign w:val="top"/>
          </w:tcPr>
          <w:p>
            <w:r>
              <w:t>External and government information needs freshness and authority cues.</w:t>
            </w:r>
          </w:p>
        </w:tc>
        <w:tc>
          <w:tcPr>
            <w:tcW w:type="dxa" w:w="3408"/>
            <w:vAlign w:val="top"/>
          </w:tcPr>
          <w:p>
            <w:r>
              <w:t>Retain source, timestamps, canonical URL and verification state.</w:t>
            </w:r>
          </w:p>
        </w:tc>
      </w:tr>
      <w:tr>
        <w:tc>
          <w:tcPr>
            <w:tcW w:type="dxa" w:w="3408"/>
            <w:vAlign w:val="top"/>
          </w:tcPr>
          <w:p>
            <w:r>
              <w:t>Premature ML</w:t>
            </w:r>
          </w:p>
        </w:tc>
        <w:tc>
          <w:tcPr>
            <w:tcW w:type="dxa" w:w="3408"/>
            <w:vAlign w:val="top"/>
          </w:tcPr>
          <w:p>
            <w:r>
              <w:t>Sparse early data and high complexity make it poor V1 economics.</w:t>
            </w:r>
          </w:p>
        </w:tc>
        <w:tc>
          <w:tcPr>
            <w:tcW w:type="dxa" w:w="3408"/>
            <w:vAlign w:val="top"/>
          </w:tcPr>
          <w:p>
            <w:r>
              <w:t>Start retrieval + hard constraints + deterministic scoring + diversification.</w:t>
            </w:r>
          </w:p>
        </w:tc>
      </w:tr>
      <w:tr>
        <w:tc>
          <w:tcPr>
            <w:tcW w:type="dxa" w:w="3408"/>
            <w:vAlign w:val="top"/>
          </w:tcPr>
          <w:p>
            <w:r>
              <w:t>Profile-completion KPI</w:t>
            </w:r>
          </w:p>
        </w:tc>
        <w:tc>
          <w:tcPr>
            <w:tcW w:type="dxa" w:w="3408"/>
            <w:vAlign w:val="top"/>
          </w:tcPr>
          <w:p>
            <w:r>
              <w:t>Optimizes database completeness, not user value.</w:t>
            </w:r>
          </w:p>
        </w:tc>
        <w:tc>
          <w:tcPr>
            <w:tcW w:type="dxa" w:w="3408"/>
            <w:vAlign w:val="top"/>
          </w:tcPr>
          <w:p>
            <w:r>
              <w:t>Measure opportunity coverage and time-to-first-relevant-opportunity.</w:t>
            </w:r>
          </w:p>
        </w:tc>
      </w:tr>
    </w:tbl>
    <w:p>
      <w:pPr>
        <w:pStyle w:val="Heading1"/>
      </w:pPr>
      <w:r>
        <w:t>4. Evidence-backed design implications</w:t>
      </w:r>
    </w:p>
    <w:p>
      <w:pPr>
        <w:pStyle w:val="ListBullet"/>
      </w:pPr>
      <w:r>
        <w:t>ESCO demonstrates the value of a structured skill/occupation vocabulary and relationships for matching, search and suggestions, but Vyapar must extend beyond occupational taxonomy because its opportunity universe is broader than employment. [1][2]</w:t>
      </w:r>
    </w:p>
    <w:p>
      <w:pPr>
        <w:pStyle w:val="ListBullet"/>
      </w:pPr>
      <w:r>
        <w:t>O*NET provides transferable-skills and occupation relationships that can inform capability adjacency, but it is a reference layer rather than Vyapar's master ontology. [3]</w:t>
      </w:r>
    </w:p>
    <w:p>
      <w:pPr>
        <w:pStyle w:val="ListBullet"/>
      </w:pPr>
      <w:r>
        <w:t>Modern search systems commonly use multi-stage retrieval: retrieve a broad candidate set cheaply, then spend more computation on ranking. This supports a PostgreSQL-first V1 and later search-engine migration if needed. [4]</w:t>
      </w:r>
    </w:p>
    <w:p>
      <w:pPr>
        <w:pStyle w:val="ListBullet"/>
      </w:pPr>
      <w:r>
        <w:t>PostGIS supports indexed geographic queries, making location/radius matching practical without a separate geo platform. [5]</w:t>
      </w:r>
    </w:p>
    <w:p>
      <w:pPr>
        <w:pStyle w:val="ListBullet"/>
      </w:pPr>
      <w:r>
        <w:t>Research on transparent user models supports exposing understandable preference models and allowing users to adjust them. [6]</w:t>
      </w:r>
    </w:p>
    <w:p>
      <w:pPr>
        <w:pStyle w:val="ListBullet"/>
      </w:pPr>
      <w:r>
        <w:t>Preference elicitation research shows that collecting only the most obvious preferences can reinforce popularity bias; diversity in what is elicited and recommended matters. [7]</w:t>
      </w:r>
    </w:p>
    <w:p>
      <w:pPr>
        <w:pStyle w:val="ListBullet"/>
      </w:pPr>
      <w:r>
        <w:t>Android's current navigation guidance supports predictable top-level navigation and adaptive patterns across form factors. [8][9]</w:t>
      </w:r>
    </w:p>
    <w:p>
      <w:pPr>
        <w:pStyle w:val="ListBullet"/>
      </w:pPr>
      <w:r>
        <w:t>India's digital context requires serious consideration of Indic-language use and mobile-first interaction. IAMAI/Kantar reports substantial Indic-language internet usage and strong urban preference for Indic-language content. [10]</w:t>
      </w:r>
    </w:p>
    <w:p>
      <w:pPr>
        <w:pStyle w:val="ListBullet"/>
      </w:pPr>
      <w:r>
        <w:t>India's Open Government Data platform provides machine-readable datasets and APIs, making public/government data a realistic low-cost source category. [11]</w:t>
      </w:r>
    </w:p>
    <w:p>
      <w:pPr>
        <w:pStyle w:val="Heading1"/>
      </w:pPr>
      <w:r>
        <w:t>5. Final product thesis</w:t>
      </w:r>
    </w:p>
    <w:p>
      <w:r>
        <w:t>Vyapar should optimize for opportunity coverage, relevance, trust and successful connection—not for the number of profiles completed or opportunities listed.</w:t>
      </w:r>
    </w:p>
    <w:p>
      <w:r>
        <w:t>The north-star idea is: Don't let a good opportunity remain invisible to the person who could benefit from it.</w:t>
      </w:r>
    </w:p>
    <w:p>
      <w:pPr>
        <w:pStyle w:val="Heading1"/>
      </w:pPr>
      <w:r>
        <w:t>6. Recommended product framework</w:t>
      </w:r>
    </w:p>
    <w:p>
      <w:pPr>
        <w:pStyle w:val="ListBullet"/>
      </w:pPr>
      <w:r>
        <w:t>Jobs-to-be-Done: understand the user's desired progress, not merely their demographic profile.</w:t>
      </w:r>
    </w:p>
    <w:p>
      <w:pPr>
        <w:pStyle w:val="ListBullet"/>
      </w:pPr>
      <w:r>
        <w:t>Opportunity Solution Tree: continuously connect user problems to product opportunities and experiments.</w:t>
      </w:r>
    </w:p>
    <w:p>
      <w:pPr>
        <w:pStyle w:val="ListBullet"/>
      </w:pPr>
      <w:r>
        <w:t>Service blueprint: map the user journey together with ingestion, moderation, matching and distribution operations.</w:t>
      </w:r>
    </w:p>
    <w:p>
      <w:pPr>
        <w:pStyle w:val="ListBullet"/>
      </w:pPr>
      <w:r>
        <w:t>North-star metric: Relevant Opportunity Connections, supported by opportunity coverage and successful outcomes.</w:t>
      </w:r>
    </w:p>
    <w:p>
      <w:pPr>
        <w:pStyle w:val="ListBullet"/>
      </w:pPr>
      <w:r>
        <w:t>Recommender metrics: relevance, diversity, freshness, action rate, false-positive rate and user corrections.</w:t>
      </w:r>
    </w:p>
    <w:p>
      <w:pPr>
        <w:pStyle w:val="ListBullet"/>
      </w:pPr>
      <w:r>
        <w:t>Marketplace/liquidity metrics: active opportunities, active participants, response rate, time-to-first-response, successful connections and repeat participation.</w:t>
      </w:r>
    </w:p>
    <w:p>
      <w:pPr>
        <w:pStyle w:val="ListBullet"/>
      </w:pPr>
      <w:r>
        <w:t>Trust/safety metrics: reports per 1,000 interactions, resolution time, repeat offenders, verified interactions and user-reported safety.</w:t>
      </w:r>
    </w:p>
    <w:p>
      <w:pPr>
        <w:pStyle w:val="Heading1"/>
      </w:pPr>
      <w:r>
        <w:t>7. Final strategic decisions</w:t>
      </w:r>
    </w:p>
    <w:p>
      <w:pPr>
        <w:pStyle w:val="ListNumber"/>
      </w:pPr>
      <w:r>
        <w:t>Use Opportunity as the canonical root object.</w:t>
      </w:r>
    </w:p>
    <w:p>
      <w:pPr>
        <w:pStyle w:val="ListNumber"/>
      </w:pPr>
      <w:r>
        <w:t>Represent the person as a capability + intent + constraint + availability + trust + privacy model.</w:t>
      </w:r>
    </w:p>
    <w:p>
      <w:pPr>
        <w:pStyle w:val="ListNumber"/>
      </w:pPr>
      <w:r>
        <w:t>Do not require a complete resume before discovery.</w:t>
      </w:r>
    </w:p>
    <w:p>
      <w:pPr>
        <w:pStyle w:val="ListNumber"/>
      </w:pPr>
      <w:r>
        <w:t>Use Discover as the main home; do not create a permanent Matches tab in V1.</w:t>
      </w:r>
    </w:p>
    <w:p>
      <w:pPr>
        <w:pStyle w:val="ListNumber"/>
      </w:pPr>
      <w:r>
        <w:t>Use a four-destination mobile structure: Discover, Activity, Post, Profile.</w:t>
      </w:r>
    </w:p>
    <w:p>
      <w:pPr>
        <w:pStyle w:val="ListNumber"/>
      </w:pPr>
      <w:r>
        <w:t>Keep search inside Discover; do not make search the entire product.</w:t>
      </w:r>
    </w:p>
    <w:p>
      <w:pPr>
        <w:pStyle w:val="ListNumber"/>
      </w:pPr>
      <w:r>
        <w:t>Build a universal Opportunity Detail with type-specific sections.</w:t>
      </w:r>
    </w:p>
    <w:p>
      <w:pPr>
        <w:pStyle w:val="ListNumber"/>
      </w:pPr>
      <w:r>
        <w:t>Build a universal Opportunity Composer for create/share/upload inputs.</w:t>
      </w:r>
    </w:p>
    <w:p>
      <w:pPr>
        <w:pStyle w:val="ListNumber"/>
      </w:pPr>
      <w:r>
        <w:t>Use deterministic matching in V1 with hard constraints, structured retrieval, weighted scoring and diversity.</w:t>
      </w:r>
    </w:p>
    <w:p>
      <w:pPr>
        <w:pStyle w:val="ListNumber"/>
      </w:pPr>
      <w:r>
        <w:t>Use PostgreSQL/PostGIS first; introduce OpenSearch/Elasticsearch only when measurements justify it.</w:t>
      </w:r>
    </w:p>
    <w:p>
      <w:pPr>
        <w:pStyle w:val="ListNumber"/>
      </w:pPr>
      <w:r>
        <w:t>Treat behavioural signals as preference evidence, not hidden truth.</w:t>
      </w:r>
    </w:p>
    <w:p>
      <w:pPr>
        <w:pStyle w:val="ListNumber"/>
      </w:pPr>
      <w:r>
        <w:t>Make every recommendation explainable.</w:t>
      </w:r>
    </w:p>
    <w:p>
      <w:pPr>
        <w:pStyle w:val="ListNumber"/>
      </w:pPr>
      <w:r>
        <w:t>Treat source provenance, freshness and reporting as first-class opportunity attributes.</w:t>
      </w:r>
    </w:p>
    <w:p>
      <w:pPr>
        <w:pStyle w:val="ListNumber"/>
      </w:pPr>
      <w:r>
        <w:t>Design for multilingual/Indic and low-friction mobile use from the beginning.</w:t>
      </w:r>
    </w:p>
    <w:p>
      <w:pPr>
        <w:pStyle w:val="Heading1"/>
      </w:pPr>
      <w:r>
        <w:t>Sources</w:t>
      </w:r>
    </w:p>
    <w:p>
      <w:r>
        <w:rPr>
          <w:b/>
        </w:rPr>
        <w:t xml:space="preserve">[1] European Commission — ESCO. </w:t>
      </w:r>
      <w:r>
        <w:t xml:space="preserve">ESCO provides a structured vocabulary of occupations, skills and relationships and is used in matching, search and career/learning systems. </w:t>
      </w:r>
      <w:r>
        <w:t>https://esco.ec.europa.eu/en/about-esco/what-esco</w:t>
      </w:r>
    </w:p>
    <w:p>
      <w:r>
        <w:rPr>
          <w:b/>
        </w:rPr>
        <w:t xml:space="preserve">[2] European Commission — ESCO API/Downloads. </w:t>
      </w:r>
      <w:r>
        <w:t xml:space="preserve">ESCO provides web and local APIs; the classification is reusable as a reference layer. </w:t>
      </w:r>
      <w:r>
        <w:t>https://esco.ec.europa.eu/en/use-esco/use-esco-services-api</w:t>
      </w:r>
    </w:p>
    <w:p>
      <w:r>
        <w:rPr>
          <w:b/>
        </w:rPr>
        <w:t xml:space="preserve">[3] O*NET Resource Center. </w:t>
      </w:r>
      <w:r>
        <w:t xml:space="preserve">O*NET provides occupation, skills, tasks and transferable-skills data in machine-readable formats. </w:t>
      </w:r>
      <w:r>
        <w:t>https://www.onetcenter.org/database.html</w:t>
      </w:r>
    </w:p>
    <w:p>
      <w:r>
        <w:rPr>
          <w:b/>
        </w:rPr>
        <w:t xml:space="preserve">[4] Elastic — Ranking and reranking. </w:t>
      </w:r>
      <w:r>
        <w:t xml:space="preserve">Modern search systems commonly use multi-stage retrieval: inexpensive retrieval followed by ranking/reranking. </w:t>
      </w:r>
      <w:r>
        <w:t>https://www.elastic.co/docs/solutions/search/ranking</w:t>
      </w:r>
    </w:p>
    <w:p>
      <w:r>
        <w:rPr>
          <w:b/>
        </w:rPr>
        <w:t xml:space="preserve">[5] PostGIS — Spatial indexes. </w:t>
      </w:r>
      <w:r>
        <w:t xml:space="preserve">PostGIS supports indexed geographic filtering using GiST and spatially-aware predicates. </w:t>
      </w:r>
      <w:r>
        <w:t>https://postgis.net/documentation/faq/spatial-indexes/</w:t>
      </w:r>
    </w:p>
    <w:p>
      <w:r>
        <w:rPr>
          <w:b/>
        </w:rPr>
        <w:t xml:space="preserve">[6] Google Research — Transparent user models. </w:t>
      </w:r>
      <w:r>
        <w:t xml:space="preserve">Research supports user-understandable preference models that users can inspect and adjust. </w:t>
      </w:r>
      <w:r>
        <w:t>https://research.google/pubs/transparent-scrutable-and-explainable-user-models-for-personalized-recommendation/</w:t>
      </w:r>
    </w:p>
    <w:p>
      <w:r>
        <w:rPr>
          <w:b/>
        </w:rPr>
        <w:t xml:space="preserve">[7] Google Research — Diverse preference elicitation. </w:t>
      </w:r>
      <w:r>
        <w:t xml:space="preserve">Research shows preference elicitation should consider diversity and avoid popularity-biased preference collection. </w:t>
      </w:r>
      <w:r>
        <w:t>https://research.google/pubs/diverse-user-preference-elicitation-with-multi-armed-bandits/</w:t>
      </w:r>
    </w:p>
    <w:p>
      <w:r>
        <w:rPr>
          <w:b/>
        </w:rPr>
        <w:t xml:space="preserve">[8] Android Developers — Navigation. </w:t>
      </w:r>
      <w:r>
        <w:t xml:space="preserve">Android provides established principles for predictable navigation. </w:t>
      </w:r>
      <w:r>
        <w:t>https://developer.android.com/guide/navigation</w:t>
      </w:r>
    </w:p>
    <w:p>
      <w:r>
        <w:rPr>
          <w:b/>
        </w:rPr>
        <w:t xml:space="preserve">[9] Android Developers — Responsive navigation. </w:t>
      </w:r>
      <w:r>
        <w:t xml:space="preserve">Android recommends adaptive navigation patterns based on display size. </w:t>
      </w:r>
      <w:r>
        <w:t>https://developer.android.com/develop/ui/views/layout/build-responsive-navigation</w:t>
      </w:r>
    </w:p>
    <w:p>
      <w:r>
        <w:rPr>
          <w:b/>
        </w:rPr>
        <w:t xml:space="preserve">[10] IAMAI/Kantar — ICUBE 2024. </w:t>
      </w:r>
      <w:r>
        <w:t xml:space="preserve">The report highlights substantial Indic-language internet use in India and strong urban preference for Indic-language content. </w:t>
      </w:r>
      <w:r>
        <w:t>https://www.iamai.in/sites/default/files/research/Kantar_%20IAMAI_report_2024_.pdf</w:t>
      </w:r>
    </w:p>
    <w:p>
      <w:r>
        <w:rPr>
          <w:b/>
        </w:rPr>
        <w:t xml:space="preserve">[11] Open Government Data Platform India. </w:t>
      </w:r>
      <w:r>
        <w:t xml:space="preserve">India's OGD platform provides machine-readable public datasets and APIs, including labour/employment and other categories. </w:t>
      </w:r>
      <w:r>
        <w:t>https://data.gov.in/</w:t>
      </w:r>
    </w:p>
    <w:p>
      <w:r>
        <w:rPr>
          <w:b/>
        </w:rPr>
        <w:t xml:space="preserve">[12] TRAI — Telecom Subscription Reports. </w:t>
      </w:r>
      <w:r>
        <w:t xml:space="preserve">Current telecom reports provide ongoing evidence for India's mobile/digital connectivity context. </w:t>
      </w:r>
      <w:r>
        <w:t>https://www.trai.gov.in/release-publication/reports/telecom-subscriptions-reports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