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Vyapar — Profile, Opportunity Engine and Implementation Plan</w:t>
      </w:r>
    </w:p>
    <w:p/>
    <w:p>
      <w:r>
        <w:t>Purpose: turn the research into a buildable architecture for a solo lead engineer, while preserving a migration path to more advanced recommendation systems.</w:t>
      </w:r>
    </w:p>
    <w:p>
      <w:pPr>
        <w:pStyle w:val="Heading1"/>
      </w:pPr>
      <w:r>
        <w:t>1. Canonical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DEDED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  <w:shd w:fill="EDEDED"/>
            <w:vAlign w:val="center"/>
          </w:tcPr>
          <w:p>
            <w:r>
              <w:rPr>
                <w:b/>
              </w:rPr>
              <w:t>Core responsibility</w:t>
            </w:r>
          </w:p>
        </w:tc>
        <w:tc>
          <w:tcPr>
            <w:tcW w:type="dxa" w:w="3408"/>
            <w:shd w:fill="EDEDED"/>
            <w:vAlign w:val="center"/>
          </w:tcPr>
          <w:p>
            <w:r>
              <w:rPr>
                <w:b/>
              </w:rPr>
              <w:t>Important attributes</w:t>
            </w:r>
          </w:p>
        </w:tc>
      </w:tr>
      <w:tr>
        <w:tc>
          <w:tcPr>
            <w:tcW w:type="dxa" w:w="3408"/>
            <w:vAlign w:val="top"/>
          </w:tcPr>
          <w:p>
            <w:r>
              <w:t>Person</w:t>
            </w:r>
          </w:p>
        </w:tc>
        <w:tc>
          <w:tcPr>
            <w:tcW w:type="dxa" w:w="3408"/>
            <w:vAlign w:val="top"/>
          </w:tcPr>
          <w:p>
            <w:r>
              <w:t>Identity and user-level controls</w:t>
            </w:r>
          </w:p>
        </w:tc>
        <w:tc>
          <w:tcPr>
            <w:tcW w:type="dxa" w:w="3408"/>
            <w:vAlign w:val="top"/>
          </w:tcPr>
          <w:p>
            <w:r>
              <w:t>id, locality, privacy, verification, account state</w:t>
            </w:r>
          </w:p>
        </w:tc>
      </w:tr>
      <w:tr>
        <w:tc>
          <w:tcPr>
            <w:tcW w:type="dxa" w:w="3408"/>
            <w:vAlign w:val="top"/>
          </w:tcPr>
          <w:p>
            <w:r>
              <w:t>Capability</w:t>
            </w:r>
          </w:p>
        </w:tc>
        <w:tc>
          <w:tcPr>
            <w:tcW w:type="dxa" w:w="3408"/>
            <w:vAlign w:val="top"/>
          </w:tcPr>
          <w:p>
            <w:r>
              <w:t>What the person can do/offer</w:t>
            </w:r>
          </w:p>
        </w:tc>
        <w:tc>
          <w:tcPr>
            <w:tcW w:type="dxa" w:w="3408"/>
            <w:vAlign w:val="top"/>
          </w:tcPr>
          <w:p>
            <w:r>
              <w:t>taxonomy concept, proficiency, evidence, freshness</w:t>
            </w:r>
          </w:p>
        </w:tc>
      </w:tr>
      <w:tr>
        <w:tc>
          <w:tcPr>
            <w:tcW w:type="dxa" w:w="3408"/>
            <w:vAlign w:val="top"/>
          </w:tcPr>
          <w:p>
            <w:r>
              <w:t>Intent</w:t>
            </w:r>
          </w:p>
        </w:tc>
        <w:tc>
          <w:tcPr>
            <w:tcW w:type="dxa" w:w="3408"/>
            <w:vAlign w:val="top"/>
          </w:tcPr>
          <w:p>
            <w:r>
              <w:t>What the person wants</w:t>
            </w:r>
          </w:p>
        </w:tc>
        <w:tc>
          <w:tcPr>
            <w:tcW w:type="dxa" w:w="3408"/>
            <w:vAlign w:val="top"/>
          </w:tcPr>
          <w:p>
            <w:r>
              <w:t>type, strength, state, freshness</w:t>
            </w:r>
          </w:p>
        </w:tc>
      </w:tr>
      <w:tr>
        <w:tc>
          <w:tcPr>
            <w:tcW w:type="dxa" w:w="3408"/>
            <w:vAlign w:val="top"/>
          </w:tcPr>
          <w:p>
            <w:r>
              <w:t>Preference</w:t>
            </w:r>
          </w:p>
        </w:tc>
        <w:tc>
          <w:tcPr>
            <w:tcW w:type="dxa" w:w="3408"/>
            <w:vAlign w:val="top"/>
          </w:tcPr>
          <w:p>
            <w:r>
              <w:t>What the person prefers</w:t>
            </w:r>
          </w:p>
        </w:tc>
        <w:tc>
          <w:tcPr>
            <w:tcW w:type="dxa" w:w="3408"/>
            <w:vAlign w:val="top"/>
          </w:tcPr>
          <w:p>
            <w:r>
              <w:t>positive/negative, source, confidence, user-confirmed</w:t>
            </w:r>
          </w:p>
        </w:tc>
      </w:tr>
      <w:tr>
        <w:tc>
          <w:tcPr>
            <w:tcW w:type="dxa" w:w="3408"/>
            <w:vAlign w:val="top"/>
          </w:tcPr>
          <w:p>
            <w:r>
              <w:t>Constraint</w:t>
            </w:r>
          </w:p>
        </w:tc>
        <w:tc>
          <w:tcPr>
            <w:tcW w:type="dxa" w:w="3408"/>
            <w:vAlign w:val="top"/>
          </w:tcPr>
          <w:p>
            <w:r>
              <w:t>Hard practical boundary</w:t>
            </w:r>
          </w:p>
        </w:tc>
        <w:tc>
          <w:tcPr>
            <w:tcW w:type="dxa" w:w="3408"/>
            <w:vAlign w:val="top"/>
          </w:tcPr>
          <w:p>
            <w:r>
              <w:t>location, mode, time, eligibility, compensation</w:t>
            </w:r>
          </w:p>
        </w:tc>
      </w:tr>
      <w:tr>
        <w:tc>
          <w:tcPr>
            <w:tcW w:type="dxa" w:w="3408"/>
            <w:vAlign w:val="top"/>
          </w:tcPr>
          <w:p>
            <w:r>
              <w:t>Opportunity</w:t>
            </w:r>
          </w:p>
        </w:tc>
        <w:tc>
          <w:tcPr>
            <w:tcW w:type="dxa" w:w="3408"/>
            <w:vAlign w:val="top"/>
          </w:tcPr>
          <w:p>
            <w:r>
              <w:t>Canonical opportunity object</w:t>
            </w:r>
          </w:p>
        </w:tc>
        <w:tc>
          <w:tcPr>
            <w:tcW w:type="dxa" w:w="3408"/>
            <w:vAlign w:val="top"/>
          </w:tcPr>
          <w:p>
            <w:r>
              <w:t>type, description, requirements, value, 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Opportunity Source</w:t>
            </w:r>
          </w:p>
        </w:tc>
        <w:tc>
          <w:tcPr>
            <w:tcW w:type="dxa" w:w="3408"/>
            <w:vAlign w:val="top"/>
          </w:tcPr>
          <w:p>
            <w:r>
              <w:t>Provenance</w:t>
            </w:r>
          </w:p>
        </w:tc>
        <w:tc>
          <w:tcPr>
            <w:tcW w:type="dxa" w:w="3408"/>
            <w:vAlign w:val="top"/>
          </w:tcPr>
          <w:p>
            <w:r>
              <w:t>source, URL, source id, license, refresh policy</w:t>
            </w:r>
          </w:p>
        </w:tc>
      </w:tr>
      <w:tr>
        <w:tc>
          <w:tcPr>
            <w:tcW w:type="dxa" w:w="3408"/>
            <w:vAlign w:val="top"/>
          </w:tcPr>
          <w:p>
            <w:r>
              <w:t>Opportunity Relation</w:t>
            </w:r>
          </w:p>
        </w:tc>
        <w:tc>
          <w:tcPr>
            <w:tcW w:type="dxa" w:w="3408"/>
            <w:vAlign w:val="top"/>
          </w:tcPr>
          <w:p>
            <w:r>
              <w:t>Semantic relationships</w:t>
            </w:r>
          </w:p>
        </w:tc>
        <w:tc>
          <w:tcPr>
            <w:tcW w:type="dxa" w:w="3408"/>
            <w:vAlign w:val="top"/>
          </w:tcPr>
          <w:p>
            <w:r>
              <w:t>exact, alias, related, adjacent, transferable</w:t>
            </w:r>
          </w:p>
        </w:tc>
      </w:tr>
      <w:tr>
        <w:tc>
          <w:tcPr>
            <w:tcW w:type="dxa" w:w="3408"/>
            <w:vAlign w:val="top"/>
          </w:tcPr>
          <w:p>
            <w:r>
              <w:t>Interaction</w:t>
            </w:r>
          </w:p>
        </w:tc>
        <w:tc>
          <w:tcPr>
            <w:tcW w:type="dxa" w:w="3408"/>
            <w:vAlign w:val="top"/>
          </w:tcPr>
          <w:p>
            <w:r>
              <w:t>Behavioral signal</w:t>
            </w:r>
          </w:p>
        </w:tc>
        <w:tc>
          <w:tcPr>
            <w:tcW w:type="dxa" w:w="3408"/>
            <w:vAlign w:val="top"/>
          </w:tcPr>
          <w:p>
            <w:r>
              <w:t>view, save, hide, share, respond, report, feedback</w:t>
            </w:r>
          </w:p>
        </w:tc>
      </w:tr>
      <w:tr>
        <w:tc>
          <w:tcPr>
            <w:tcW w:type="dxa" w:w="3408"/>
            <w:vAlign w:val="top"/>
          </w:tcPr>
          <w:p>
            <w:r>
              <w:t>Outcome</w:t>
            </w:r>
          </w:p>
        </w:tc>
        <w:tc>
          <w:tcPr>
            <w:tcW w:type="dxa" w:w="3408"/>
            <w:vAlign w:val="top"/>
          </w:tcPr>
          <w:p>
            <w:r>
              <w:t>Real-world result</w:t>
            </w:r>
          </w:p>
        </w:tc>
        <w:tc>
          <w:tcPr>
            <w:tcW w:type="dxa" w:w="3408"/>
            <w:vAlign w:val="top"/>
          </w:tcPr>
          <w:p>
            <w:r>
              <w:t>connected, accepted, completed, cancelled</w:t>
            </w:r>
          </w:p>
        </w:tc>
      </w:tr>
      <w:tr>
        <w:tc>
          <w:tcPr>
            <w:tcW w:type="dxa" w:w="3408"/>
            <w:vAlign w:val="top"/>
          </w:tcPr>
          <w:p>
            <w:r>
              <w:t>Trust Event</w:t>
            </w:r>
          </w:p>
        </w:tc>
        <w:tc>
          <w:tcPr>
            <w:tcW w:type="dxa" w:w="3408"/>
            <w:vAlign w:val="top"/>
          </w:tcPr>
          <w:p>
            <w:r>
              <w:t>Trust/safety evidence</w:t>
            </w:r>
          </w:p>
        </w:tc>
        <w:tc>
          <w:tcPr>
            <w:tcW w:type="dxa" w:w="3408"/>
            <w:vAlign w:val="top"/>
          </w:tcPr>
          <w:p>
            <w:r>
              <w:t>verification, report, feedback, dispute</w:t>
            </w:r>
          </w:p>
        </w:tc>
      </w:tr>
    </w:tbl>
    <w:p>
      <w:pPr>
        <w:pStyle w:val="Heading1"/>
      </w:pPr>
      <w:r>
        <w:t>2. Person model</w:t>
      </w:r>
    </w:p>
    <w:p>
      <w:r>
        <w:t>Represent the user as a structured opportunity model rather than a resume. Separate explicit facts from inferred signals. Every inferred preference should carry a source and confidence; important preference changes should be user-confirmable.</w:t>
      </w:r>
    </w:p>
    <w:p>
      <w:pPr>
        <w:pStyle w:val="Heading1"/>
      </w:pPr>
      <w:r>
        <w:t>3. Opportunity model</w:t>
      </w:r>
    </w:p>
    <w:p>
      <w:pPr>
        <w:pStyle w:val="ListBullet"/>
      </w:pPr>
      <w:r>
        <w:t>Use a type-independent core schema with extensible type-specific attributes.</w:t>
      </w:r>
    </w:p>
    <w:p>
      <w:pPr>
        <w:pStyle w:val="ListBullet"/>
      </w:pPr>
      <w:r>
        <w:t>Maintain canonical source/provenance fields for every imported opportunity.</w:t>
      </w:r>
    </w:p>
    <w:p>
      <w:pPr>
        <w:pStyle w:val="ListBullet"/>
      </w:pPr>
      <w:r>
        <w:t>Maintain freshness and lifecycle fields.</w:t>
      </w:r>
    </w:p>
    <w:p>
      <w:pPr>
        <w:pStyle w:val="ListBullet"/>
      </w:pPr>
      <w:r>
        <w:t>Represent uncertain extracted fields explicitly instead of inventing values.</w:t>
      </w:r>
    </w:p>
    <w:p>
      <w:pPr>
        <w:pStyle w:val="ListBullet"/>
      </w:pPr>
      <w:r>
        <w:t>Maintain taxonomy references separately from display labels so terminology can evolve.</w:t>
      </w:r>
    </w:p>
    <w:p>
      <w:pPr>
        <w:pStyle w:val="Heading1"/>
      </w:pPr>
      <w:r>
        <w:t>4. Taxonomy strategy</w:t>
      </w:r>
    </w:p>
    <w:p>
      <w:r>
        <w:t>Use ESCO and O*NET as reference datasets, not as the Vyapar master taxonomy. ESCO is strong for occupations, skills, alternative labels and relationships; O*NET is strong for occupational and transferable-skill relationships. Vyapar must add community, service, business, learning, government and other opportunity concepts that are outside a pure labour-market ontology. [1][3]</w:t>
      </w:r>
    </w:p>
    <w:p>
      <w:pPr>
        <w:pStyle w:val="Heading1"/>
      </w:pPr>
      <w:r>
        <w:t>5. Matching architecture</w:t>
      </w:r>
    </w:p>
    <w:p>
      <w:pPr>
        <w:pStyle w:val="ListNumber"/>
      </w:pPr>
      <w:r>
        <w:t>Normalize user capabilities, intents and constraints.</w:t>
      </w:r>
    </w:p>
    <w:p>
      <w:pPr>
        <w:pStyle w:val="ListNumber"/>
      </w:pPr>
      <w:r>
        <w:t>Normalize opportunities into structured concepts and fields.</w:t>
      </w:r>
    </w:p>
    <w:p>
      <w:pPr>
        <w:pStyle w:val="ListNumber"/>
      </w:pPr>
      <w:r>
        <w:t>Retrieve candidates using indexed text, taxonomy and location.</w:t>
      </w:r>
    </w:p>
    <w:p>
      <w:pPr>
        <w:pStyle w:val="ListNumber"/>
      </w:pPr>
      <w:r>
        <w:t>Apply hard eligibility constraints.</w:t>
      </w:r>
    </w:p>
    <w:p>
      <w:pPr>
        <w:pStyle w:val="ListNumber"/>
      </w:pPr>
      <w:r>
        <w:t>Score remaining candidates using deterministic weighted signals.</w:t>
      </w:r>
    </w:p>
    <w:p>
      <w:pPr>
        <w:pStyle w:val="ListNumber"/>
      </w:pPr>
      <w:r>
        <w:t>Diversify results to avoid repetitive recommendations.</w:t>
      </w:r>
    </w:p>
    <w:p>
      <w:pPr>
        <w:pStyle w:val="ListNumber"/>
      </w:pPr>
      <w:r>
        <w:t>Apply freshness/trust/distribution rules.</w:t>
      </w:r>
    </w:p>
    <w:p>
      <w:pPr>
        <w:pStyle w:val="ListNumber"/>
      </w:pPr>
      <w:r>
        <w:t>Generate human-readable match reasons from the same scoring inputs.</w:t>
      </w:r>
    </w:p>
    <w:p>
      <w:pPr>
        <w:pStyle w:val="Heading1"/>
      </w:pPr>
      <w:r>
        <w:t>6. V1 scoring model</w:t>
      </w:r>
    </w:p>
    <w:p>
      <w:r>
        <w:t>A practical initial score can be represented as a weighted sum of capability fit, intent fit, location fit, availability fit, value/compensation fit, experience/eligibility fit, freshness and trust. Hard constraints must not be treated as soft score penalties. Weights should be configuration data so they can be tuned without rewriting matching code.</w:t>
      </w:r>
    </w:p>
    <w:p>
      <w:pPr>
        <w:pStyle w:val="Heading1"/>
      </w:pPr>
      <w:r>
        <w:t>7. Retrieval and scale</w:t>
      </w:r>
    </w:p>
    <w:p>
      <w:r>
        <w:t>Start with PostgreSQL and PostGIS. Use ordinary indexes for structured fields, full-text retrieval for textual opportunity search, and GiST spatial indexes for radius queries. Multi-stage retrieval is a sound migration path: cheap retrieval first, more expensive ranking later. [4][5]</w:t>
      </w:r>
    </w:p>
    <w:p>
      <w:r>
        <w:t>Introduce OpenSearch/Elasticsearch only when measurements show PostgreSQL is becoming the bottleneck because of query complexity, scale, relevance tuning, faceting or operational latency. Do not introduce it because it is fashionable.</w:t>
      </w:r>
    </w:p>
    <w:p>
      <w:pPr>
        <w:pStyle w:val="Heading1"/>
      </w:pPr>
      <w:r>
        <w:t>8. Behavioural preference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DEDED"/>
            <w:vAlign w:val="center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3408"/>
            <w:shd w:fill="EDEDED"/>
            <w:vAlign w:val="center"/>
          </w:tcPr>
          <w:p>
            <w:r>
              <w:rPr>
                <w:b/>
              </w:rPr>
              <w:t>Initial treatment</w:t>
            </w:r>
          </w:p>
        </w:tc>
        <w:tc>
          <w:tcPr>
            <w:tcW w:type="dxa" w:w="3408"/>
            <w:shd w:fill="EDEDED"/>
            <w:vAlign w:val="center"/>
          </w:tcPr>
          <w:p>
            <w:r>
              <w:rPr>
                <w:b/>
              </w:rPr>
              <w:t>User-facing implication</w:t>
            </w:r>
          </w:p>
        </w:tc>
      </w:tr>
      <w:tr>
        <w:tc>
          <w:tcPr>
            <w:tcW w:type="dxa" w:w="3408"/>
            <w:vAlign w:val="top"/>
          </w:tcPr>
          <w:p>
            <w:r>
              <w:t>View</w:t>
            </w:r>
          </w:p>
        </w:tc>
        <w:tc>
          <w:tcPr>
            <w:tcW w:type="dxa" w:w="3408"/>
            <w:vAlign w:val="top"/>
          </w:tcPr>
          <w:p>
            <w:r>
              <w:t>Weak positive evidence</w:t>
            </w:r>
          </w:p>
        </w:tc>
        <w:tc>
          <w:tcPr>
            <w:tcW w:type="dxa" w:w="3408"/>
            <w:vAlign w:val="top"/>
          </w:tcPr>
          <w:p>
            <w:r>
              <w:t>No automatic preference change.</w:t>
            </w:r>
          </w:p>
        </w:tc>
      </w:tr>
      <w:tr>
        <w:tc>
          <w:tcPr>
            <w:tcW w:type="dxa" w:w="3408"/>
            <w:vAlign w:val="top"/>
          </w:tcPr>
          <w:p>
            <w:r>
              <w:t>Save</w:t>
            </w:r>
          </w:p>
        </w:tc>
        <w:tc>
          <w:tcPr>
            <w:tcW w:type="dxa" w:w="3408"/>
            <w:vAlign w:val="top"/>
          </w:tcPr>
          <w:p>
            <w:r>
              <w:t>Strong positive evidence</w:t>
            </w:r>
          </w:p>
        </w:tc>
        <w:tc>
          <w:tcPr>
            <w:tcW w:type="dxa" w:w="3408"/>
            <w:vAlign w:val="top"/>
          </w:tcPr>
          <w:p>
            <w:r>
              <w:t>May strengthen ranking.</w:t>
            </w:r>
          </w:p>
        </w:tc>
      </w:tr>
      <w:tr>
        <w:tc>
          <w:tcPr>
            <w:tcW w:type="dxa" w:w="3408"/>
            <w:vAlign w:val="top"/>
          </w:tcPr>
          <w:p>
            <w:r>
              <w:t>Hide</w:t>
            </w:r>
          </w:p>
        </w:tc>
        <w:tc>
          <w:tcPr>
            <w:tcW w:type="dxa" w:w="3408"/>
            <w:vAlign w:val="top"/>
          </w:tcPr>
          <w:p>
            <w:r>
              <w:t>Strong negative evidence</w:t>
            </w:r>
          </w:p>
        </w:tc>
        <w:tc>
          <w:tcPr>
            <w:tcW w:type="dxa" w:w="3408"/>
            <w:vAlign w:val="top"/>
          </w:tcPr>
          <w:p>
            <w:r>
              <w:t>Reduce similar results.</w:t>
            </w:r>
          </w:p>
        </w:tc>
      </w:tr>
      <w:tr>
        <w:tc>
          <w:tcPr>
            <w:tcW w:type="dxa" w:w="3408"/>
            <w:vAlign w:val="top"/>
          </w:tcPr>
          <w:p>
            <w:r>
              <w:t>Not interested reason</w:t>
            </w:r>
          </w:p>
        </w:tc>
        <w:tc>
          <w:tcPr>
            <w:tcW w:type="dxa" w:w="3408"/>
            <w:vAlign w:val="top"/>
          </w:tcPr>
          <w:p>
            <w:r>
              <w:t>Structured negative signal</w:t>
            </w:r>
          </w:p>
        </w:tc>
        <w:tc>
          <w:tcPr>
            <w:tcW w:type="dxa" w:w="3408"/>
            <w:vAlign w:val="top"/>
          </w:tcPr>
          <w:p>
            <w:r>
              <w:t>Use to adjust future retrieval/ranking.</w:t>
            </w:r>
          </w:p>
        </w:tc>
      </w:tr>
      <w:tr>
        <w:tc>
          <w:tcPr>
            <w:tcW w:type="dxa" w:w="3408"/>
            <w:vAlign w:val="top"/>
          </w:tcPr>
          <w:p>
            <w:r>
              <w:t>Search</w:t>
            </w:r>
          </w:p>
        </w:tc>
        <w:tc>
          <w:tcPr>
            <w:tcW w:type="dxa" w:w="3408"/>
            <w:vAlign w:val="top"/>
          </w:tcPr>
          <w:p>
            <w:r>
              <w:t>Intent signal</w:t>
            </w:r>
          </w:p>
        </w:tc>
        <w:tc>
          <w:tcPr>
            <w:tcW w:type="dxa" w:w="3408"/>
            <w:vAlign w:val="top"/>
          </w:tcPr>
          <w:p>
            <w:r>
              <w:t>Short-lived unless repeated.</w:t>
            </w:r>
          </w:p>
        </w:tc>
      </w:tr>
      <w:tr>
        <w:tc>
          <w:tcPr>
            <w:tcW w:type="dxa" w:w="3408"/>
            <w:vAlign w:val="top"/>
          </w:tcPr>
          <w:p>
            <w:r>
              <w:t>Respond</w:t>
            </w:r>
          </w:p>
        </w:tc>
        <w:tc>
          <w:tcPr>
            <w:tcW w:type="dxa" w:w="3408"/>
            <w:vAlign w:val="top"/>
          </w:tcPr>
          <w:p>
            <w:r>
              <w:t>Strong positive evidence</w:t>
            </w:r>
          </w:p>
        </w:tc>
        <w:tc>
          <w:tcPr>
            <w:tcW w:type="dxa" w:w="3408"/>
            <w:vAlign w:val="top"/>
          </w:tcPr>
          <w:p>
            <w:r>
              <w:t>Increase similar opportunity relevance.</w:t>
            </w:r>
          </w:p>
        </w:tc>
      </w:tr>
      <w:tr>
        <w:tc>
          <w:tcPr>
            <w:tcW w:type="dxa" w:w="3408"/>
            <w:vAlign w:val="top"/>
          </w:tcPr>
          <w:p>
            <w:r>
              <w:t>Share</w:t>
            </w:r>
          </w:p>
        </w:tc>
        <w:tc>
          <w:tcPr>
            <w:tcW w:type="dxa" w:w="3408"/>
            <w:vAlign w:val="top"/>
          </w:tcPr>
          <w:p>
            <w:r>
              <w:t>Positive relevance signal</w:t>
            </w:r>
          </w:p>
        </w:tc>
        <w:tc>
          <w:tcPr>
            <w:tcW w:type="dxa" w:w="3408"/>
            <w:vAlign w:val="top"/>
          </w:tcPr>
          <w:p>
            <w:r>
              <w:t>Useful for community distribution analysis.</w:t>
            </w:r>
          </w:p>
        </w:tc>
      </w:tr>
      <w:tr>
        <w:tc>
          <w:tcPr>
            <w:tcW w:type="dxa" w:w="3408"/>
            <w:vAlign w:val="top"/>
          </w:tcPr>
          <w:p>
            <w:r>
              <w:t>Report</w:t>
            </w:r>
          </w:p>
        </w:tc>
        <w:tc>
          <w:tcPr>
            <w:tcW w:type="dxa" w:w="3408"/>
            <w:vAlign w:val="top"/>
          </w:tcPr>
          <w:p>
            <w:r>
              <w:t>Safety signal</w:t>
            </w:r>
          </w:p>
        </w:tc>
        <w:tc>
          <w:tcPr>
            <w:tcW w:type="dxa" w:w="3408"/>
            <w:vAlign w:val="top"/>
          </w:tcPr>
          <w:p>
            <w:r>
              <w:t>Remove/review; never use as a preference.</w:t>
            </w:r>
          </w:p>
        </w:tc>
      </w:tr>
      <w:tr>
        <w:tc>
          <w:tcPr>
            <w:tcW w:type="dxa" w:w="3408"/>
            <w:vAlign w:val="top"/>
          </w:tcPr>
          <w:p>
            <w:r>
              <w:t>Completed</w:t>
            </w:r>
          </w:p>
        </w:tc>
        <w:tc>
          <w:tcPr>
            <w:tcW w:type="dxa" w:w="3408"/>
            <w:vAlign w:val="top"/>
          </w:tcPr>
          <w:p>
            <w:r>
              <w:t>Strong outcome signal</w:t>
            </w:r>
          </w:p>
        </w:tc>
        <w:tc>
          <w:tcPr>
            <w:tcW w:type="dxa" w:w="3408"/>
            <w:vAlign w:val="top"/>
          </w:tcPr>
          <w:p>
            <w:r>
              <w:t>Useful for future relevance and trust.</w:t>
            </w:r>
          </w:p>
        </w:tc>
      </w:tr>
    </w:tbl>
    <w:p>
      <w:pPr>
        <w:pStyle w:val="Heading1"/>
      </w:pPr>
      <w:r>
        <w:t>9. Innovation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DEDED"/>
            <w:vAlign w:val="center"/>
          </w:tcPr>
          <w:p>
            <w:r>
              <w:rPr>
                <w:b/>
              </w:rPr>
              <w:t>Innovation</w:t>
            </w:r>
          </w:p>
        </w:tc>
        <w:tc>
          <w:tcPr>
            <w:tcW w:type="dxa" w:w="2556"/>
            <w:shd w:fill="EDEDED"/>
            <w:vAlign w:val="cente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556"/>
            <w:shd w:fill="EDEDED"/>
            <w:vAlign w:val="center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2556"/>
            <w:shd w:fill="EDEDED"/>
            <w:vAlign w:val="center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556"/>
            <w:vAlign w:val="top"/>
          </w:tcPr>
          <w:p>
            <w:r>
              <w:t>Opportunity Neighborhood</w:t>
            </w:r>
          </w:p>
        </w:tc>
        <w:tc>
          <w:tcPr>
            <w:tcW w:type="dxa" w:w="2556"/>
            <w:vAlign w:val="top"/>
          </w:tcPr>
          <w:p>
            <w:r>
              <w:t>Very high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  <w:tc>
          <w:tcPr>
            <w:tcW w:type="dxa" w:w="2556"/>
            <w:vAlign w:val="top"/>
          </w:tcPr>
          <w:p>
            <w:r>
              <w:t>Design foundation in V1; expose selectively in V1.5.</w:t>
            </w:r>
          </w:p>
        </w:tc>
      </w:tr>
      <w:tr>
        <w:tc>
          <w:tcPr>
            <w:tcW w:type="dxa" w:w="2556"/>
            <w:vAlign w:val="top"/>
          </w:tcPr>
          <w:p>
            <w:r>
              <w:t>Living Opportunity Profile</w:t>
            </w:r>
          </w:p>
        </w:tc>
        <w:tc>
          <w:tcPr>
            <w:tcW w:type="dxa" w:w="2556"/>
            <w:vAlign w:val="top"/>
          </w:tcPr>
          <w:p>
            <w:r>
              <w:t>Very high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  <w:tc>
          <w:tcPr>
            <w:tcW w:type="dxa" w:w="2556"/>
            <w:vAlign w:val="top"/>
          </w:tcPr>
          <w:p>
            <w:r>
              <w:t>Build progressively from V1 signals.</w:t>
            </w:r>
          </w:p>
        </w:tc>
      </w:tr>
      <w:tr>
        <w:tc>
          <w:tcPr>
            <w:tcW w:type="dxa" w:w="2556"/>
            <w:vAlign w:val="top"/>
          </w:tcPr>
          <w:p>
            <w:r>
              <w:t>Opportunity Readiness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Low</w:t>
            </w:r>
          </w:p>
        </w:tc>
        <w:tc>
          <w:tcPr>
            <w:tcW w:type="dxa" w:w="2556"/>
            <w:vAlign w:val="top"/>
          </w:tcPr>
          <w:p>
            <w:r>
              <w:t>V1.</w:t>
            </w:r>
          </w:p>
        </w:tc>
      </w:tr>
      <w:tr>
        <w:tc>
          <w:tcPr>
            <w:tcW w:type="dxa" w:w="2556"/>
            <w:vAlign w:val="top"/>
          </w:tcPr>
          <w:p>
            <w:r>
              <w:t>Explainable matching</w:t>
            </w:r>
          </w:p>
        </w:tc>
        <w:tc>
          <w:tcPr>
            <w:tcW w:type="dxa" w:w="2556"/>
            <w:vAlign w:val="top"/>
          </w:tcPr>
          <w:p>
            <w:r>
              <w:t>Very high</w:t>
            </w:r>
          </w:p>
        </w:tc>
        <w:tc>
          <w:tcPr>
            <w:tcW w:type="dxa" w:w="2556"/>
            <w:vAlign w:val="top"/>
          </w:tcPr>
          <w:p>
            <w:r>
              <w:t>Low/Medium</w:t>
            </w:r>
          </w:p>
        </w:tc>
        <w:tc>
          <w:tcPr>
            <w:tcW w:type="dxa" w:w="2556"/>
            <w:vAlign w:val="top"/>
          </w:tcPr>
          <w:p>
            <w:r>
              <w:t>V1.</w:t>
            </w:r>
          </w:p>
        </w:tc>
      </w:tr>
      <w:tr>
        <w:tc>
          <w:tcPr>
            <w:tcW w:type="dxa" w:w="2556"/>
            <w:vAlign w:val="top"/>
          </w:tcPr>
          <w:p>
            <w:r>
              <w:t>Opportunity Composer</w:t>
            </w:r>
          </w:p>
        </w:tc>
        <w:tc>
          <w:tcPr>
            <w:tcW w:type="dxa" w:w="2556"/>
            <w:vAlign w:val="top"/>
          </w:tcPr>
          <w:p>
            <w:r>
              <w:t>Very high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  <w:tc>
          <w:tcPr>
            <w:tcW w:type="dxa" w:w="2556"/>
            <w:vAlign w:val="top"/>
          </w:tcPr>
          <w:p>
            <w:r>
              <w:t>V1/V1.5 depending on ingestion scope.</w:t>
            </w:r>
          </w:p>
        </w:tc>
      </w:tr>
      <w:tr>
        <w:tc>
          <w:tcPr>
            <w:tcW w:type="dxa" w:w="2556"/>
            <w:vAlign w:val="top"/>
          </w:tcPr>
          <w:p>
            <w:r>
              <w:t>Reverse discovery</w:t>
            </w:r>
          </w:p>
        </w:tc>
        <w:tc>
          <w:tcPr>
            <w:tcW w:type="dxa" w:w="2556"/>
            <w:vAlign w:val="top"/>
          </w:tcPr>
          <w:p>
            <w:r>
              <w:t>Very high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V2.</w:t>
            </w:r>
          </w:p>
        </w:tc>
      </w:tr>
      <w:tr>
        <w:tc>
          <w:tcPr>
            <w:tcW w:type="dxa" w:w="2556"/>
            <w:vAlign w:val="top"/>
          </w:tcPr>
          <w:p>
            <w:r>
              <w:t>Capability graph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Medium/High</w:t>
            </w:r>
          </w:p>
        </w:tc>
        <w:tc>
          <w:tcPr>
            <w:tcW w:type="dxa" w:w="2556"/>
            <w:vAlign w:val="top"/>
          </w:tcPr>
          <w:p>
            <w:r>
              <w:t>V1 taxonomy foundation; richer graph V2.</w:t>
            </w:r>
          </w:p>
        </w:tc>
      </w:tr>
      <w:tr>
        <w:tc>
          <w:tcPr>
            <w:tcW w:type="dxa" w:w="2556"/>
            <w:vAlign w:val="top"/>
          </w:tcPr>
          <w:p>
            <w:r>
              <w:t>Semantic embeddings</w:t>
            </w:r>
          </w:p>
        </w:tc>
        <w:tc>
          <w:tcPr>
            <w:tcW w:type="dxa" w:w="2556"/>
            <w:vAlign w:val="top"/>
          </w:tcPr>
          <w:p>
            <w:r>
              <w:t>Medium/High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  <w:tc>
          <w:tcPr>
            <w:tcW w:type="dxa" w:w="2556"/>
            <w:vAlign w:val="top"/>
          </w:tcPr>
          <w:p>
            <w:r>
              <w:t>V2 after deterministic baseline is measured.</w:t>
            </w:r>
          </w:p>
        </w:tc>
      </w:tr>
      <w:tr>
        <w:tc>
          <w:tcPr>
            <w:tcW w:type="dxa" w:w="2556"/>
            <w:vAlign w:val="top"/>
          </w:tcPr>
          <w:p>
            <w:r>
              <w:t>Learning-to-rank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V3 after enough outcome data.</w:t>
            </w:r>
          </w:p>
        </w:tc>
      </w:tr>
      <w:tr>
        <w:tc>
          <w:tcPr>
            <w:tcW w:type="dxa" w:w="2556"/>
            <w:vAlign w:val="top"/>
          </w:tcPr>
          <w:p>
            <w:r>
              <w:t>Bandit exploration</w:t>
            </w:r>
          </w:p>
        </w:tc>
        <w:tc>
          <w:tcPr>
            <w:tcW w:type="dxa" w:w="2556"/>
            <w:vAlign w:val="top"/>
          </w:tcPr>
          <w:p>
            <w:r>
              <w:t>Medium/High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  <w:tc>
          <w:tcPr>
            <w:tcW w:type="dxa" w:w="2556"/>
            <w:vAlign w:val="top"/>
          </w:tcPr>
          <w:p>
            <w:r>
              <w:t>Later; not necessary for launch.</w:t>
            </w:r>
          </w:p>
        </w:tc>
      </w:tr>
    </w:tbl>
    <w:p>
      <w:pPr>
        <w:pStyle w:val="Heading1"/>
      </w:pPr>
      <w:r>
        <w:t>10. Implementation roadmap</w:t>
      </w:r>
    </w:p>
    <w:p>
      <w:pPr>
        <w:pStyle w:val="Heading2"/>
      </w:pPr>
      <w:r>
        <w:t>V1 — Foundation</w:t>
      </w:r>
    </w:p>
    <w:p>
      <w:pPr>
        <w:pStyle w:val="ListBullet"/>
      </w:pPr>
      <w:r>
        <w:t>Person/capability/intent/preference/constraint model.</w:t>
      </w:r>
    </w:p>
    <w:p>
      <w:pPr>
        <w:pStyle w:val="ListBullet"/>
      </w:pPr>
      <w:r>
        <w:t>Opportunity core model and lifecycle.</w:t>
      </w:r>
    </w:p>
    <w:p>
      <w:pPr>
        <w:pStyle w:val="ListBullet"/>
      </w:pPr>
      <w:r>
        <w:t>Community opportunity creation.</w:t>
      </w:r>
    </w:p>
    <w:p>
      <w:pPr>
        <w:pStyle w:val="ListBullet"/>
      </w:pPr>
      <w:r>
        <w:t>Basic external/public source ingestion.</w:t>
      </w:r>
    </w:p>
    <w:p>
      <w:pPr>
        <w:pStyle w:val="ListBullet"/>
      </w:pPr>
      <w:r>
        <w:t>Taxonomy reference layer.</w:t>
      </w:r>
    </w:p>
    <w:p>
      <w:pPr>
        <w:pStyle w:val="ListBullet"/>
      </w:pPr>
      <w:r>
        <w:t>PostgreSQL/PostGIS retrieval.</w:t>
      </w:r>
    </w:p>
    <w:p>
      <w:pPr>
        <w:pStyle w:val="ListBullet"/>
      </w:pPr>
      <w:r>
        <w:t>Deterministic matching and ranking.</w:t>
      </w:r>
    </w:p>
    <w:p>
      <w:pPr>
        <w:pStyle w:val="ListBullet"/>
      </w:pPr>
      <w:r>
        <w:t>Discover/Search/Detail/Activity/Profile/Post.</w:t>
      </w:r>
    </w:p>
    <w:p>
      <w:pPr>
        <w:pStyle w:val="ListBullet"/>
      </w:pPr>
      <w:r>
        <w:t>Explainability and feedback.</w:t>
      </w:r>
    </w:p>
    <w:p>
      <w:pPr>
        <w:pStyle w:val="ListBullet"/>
      </w:pPr>
      <w:r>
        <w:t>Basic trust/reporting/admin operations.</w:t>
      </w:r>
    </w:p>
    <w:p>
      <w:pPr>
        <w:pStyle w:val="Heading2"/>
      </w:pPr>
      <w:r>
        <w:t>V1.5 — Learning and distribution</w:t>
      </w:r>
    </w:p>
    <w:p>
      <w:pPr>
        <w:pStyle w:val="ListBullet"/>
      </w:pPr>
      <w:r>
        <w:t>Screenshot/URL/text opportunity ingestion.</w:t>
      </w:r>
    </w:p>
    <w:p>
      <w:pPr>
        <w:pStyle w:val="ListBullet"/>
      </w:pPr>
      <w:r>
        <w:t>Opportunity Neighborhood.</w:t>
      </w:r>
    </w:p>
    <w:p>
      <w:pPr>
        <w:pStyle w:val="ListBullet"/>
      </w:pPr>
      <w:r>
        <w:t>Controlled behavioural preference learning.</w:t>
      </w:r>
    </w:p>
    <w:p>
      <w:pPr>
        <w:pStyle w:val="ListBullet"/>
      </w:pPr>
      <w:r>
        <w:t>Daily opportunity digest.</w:t>
      </w:r>
    </w:p>
    <w:p>
      <w:pPr>
        <w:pStyle w:val="ListBullet"/>
      </w:pPr>
      <w:r>
        <w:t>Richer source verification and freshness.</w:t>
      </w:r>
    </w:p>
    <w:p>
      <w:pPr>
        <w:pStyle w:val="ListBullet"/>
      </w:pPr>
      <w:r>
        <w:t>Outcome and bilateral feedback.</w:t>
      </w:r>
    </w:p>
    <w:p>
      <w:pPr>
        <w:pStyle w:val="Heading2"/>
      </w:pPr>
      <w:r>
        <w:t>V2 — Network intelligence</w:t>
      </w:r>
    </w:p>
    <w:p>
      <w:pPr>
        <w:pStyle w:val="ListBullet"/>
      </w:pPr>
      <w:r>
        <w:t>Reverse discovery.</w:t>
      </w:r>
    </w:p>
    <w:p>
      <w:pPr>
        <w:pStyle w:val="ListBullet"/>
      </w:pPr>
      <w:r>
        <w:t>Capability graph.</w:t>
      </w:r>
    </w:p>
    <w:p>
      <w:pPr>
        <w:pStyle w:val="ListBullet"/>
      </w:pPr>
      <w:r>
        <w:t>Semantic retrieval where useful.</w:t>
      </w:r>
    </w:p>
    <w:p>
      <w:pPr>
        <w:pStyle w:val="ListBullet"/>
      </w:pPr>
      <w:r>
        <w:t>Community referral signals.</w:t>
      </w:r>
    </w:p>
    <w:p>
      <w:pPr>
        <w:pStyle w:val="ListBullet"/>
      </w:pPr>
      <w:r>
        <w:t>Richer trust model.</w:t>
      </w:r>
    </w:p>
    <w:p>
      <w:pPr>
        <w:pStyle w:val="ListBullet"/>
      </w:pPr>
      <w:r>
        <w:t>Better diversification and exploration.</w:t>
      </w:r>
    </w:p>
    <w:p>
      <w:pPr>
        <w:pStyle w:val="Heading2"/>
      </w:pPr>
      <w:r>
        <w:t>V3 — Data-driven ranking</w:t>
      </w:r>
    </w:p>
    <w:p>
      <w:pPr>
        <w:pStyle w:val="ListBullet"/>
      </w:pPr>
      <w:r>
        <w:t>Learning-to-rank.</w:t>
      </w:r>
    </w:p>
    <w:p>
      <w:pPr>
        <w:pStyle w:val="ListBullet"/>
      </w:pPr>
      <w:r>
        <w:t>Embedding/hybrid retrieval.</w:t>
      </w:r>
    </w:p>
    <w:p>
      <w:pPr>
        <w:pStyle w:val="ListBullet"/>
      </w:pPr>
      <w:r>
        <w:t>Bandit-style exploration where justified.</w:t>
      </w:r>
    </w:p>
    <w:p>
      <w:pPr>
        <w:pStyle w:val="ListBullet"/>
      </w:pPr>
      <w:r>
        <w:t>Advanced opportunity prediction.</w:t>
      </w:r>
    </w:p>
    <w:p>
      <w:pPr>
        <w:pStyle w:val="Heading1"/>
      </w:pPr>
      <w:r>
        <w:t>11. Operational screens required for the founder</w:t>
      </w:r>
    </w:p>
    <w:p>
      <w:pPr>
        <w:pStyle w:val="ListBullet"/>
      </w:pPr>
      <w:r>
        <w:t>Opportunity ingestion queue.</w:t>
      </w:r>
    </w:p>
    <w:p>
      <w:pPr>
        <w:pStyle w:val="ListBullet"/>
      </w:pPr>
      <w:r>
        <w:t>Normalization/uncertainty review.</w:t>
      </w:r>
    </w:p>
    <w:p>
      <w:pPr>
        <w:pStyle w:val="ListBullet"/>
      </w:pPr>
      <w:r>
        <w:t>Source registry.</w:t>
      </w:r>
    </w:p>
    <w:p>
      <w:pPr>
        <w:pStyle w:val="ListBullet"/>
      </w:pPr>
      <w:r>
        <w:t>Stale/expired opportunity queue.</w:t>
      </w:r>
    </w:p>
    <w:p>
      <w:pPr>
        <w:pStyle w:val="ListBullet"/>
      </w:pPr>
      <w:r>
        <w:t>Reports/moderation.</w:t>
      </w:r>
    </w:p>
    <w:p>
      <w:pPr>
        <w:pStyle w:val="ListBullet"/>
      </w:pPr>
      <w:r>
        <w:t>Taxonomy management.</w:t>
      </w:r>
    </w:p>
    <w:p>
      <w:pPr>
        <w:pStyle w:val="ListBullet"/>
      </w:pPr>
      <w:r>
        <w:t>Matching diagnostics.</w:t>
      </w:r>
    </w:p>
    <w:p>
      <w:pPr>
        <w:pStyle w:val="ListBullet"/>
      </w:pPr>
      <w:r>
        <w:t>Distribution diagnostics.</w:t>
      </w:r>
    </w:p>
    <w:p>
      <w:pPr>
        <w:pStyle w:val="ListBullet"/>
      </w:pPr>
      <w:r>
        <w:t>Core product analytics.</w:t>
      </w:r>
    </w:p>
    <w:p>
      <w:pPr>
        <w:pStyle w:val="Heading1"/>
      </w:pPr>
      <w:r>
        <w:t>12. North-star measurement</w:t>
      </w:r>
    </w:p>
    <w:p>
      <w:r>
        <w:t>The strongest north-star candidate is Relevant Opportunity Connections: meaningful interactions between a person and an opportunity that pass a relevance threshold and eventually produce a real response or useful outcome. Supporting metrics should include Opportunity Coverage, Relevant Discovery Rate, Opportunity Action Rate, Successful Connection Rate, Freshness, trust incidents and notification fatigue.</w:t>
      </w:r>
    </w:p>
    <w:p>
      <w:pPr>
        <w:pStyle w:val="Heading1"/>
      </w:pPr>
      <w:r>
        <w:t>13. Solo-founder engineering principle</w:t>
      </w:r>
    </w:p>
    <w:p>
      <w:r>
        <w:t>Prefer one coherent system with strong boundaries over many services. Keep the domain model modular, but deploy as a small number of components until scale requires separation. Use configuration for taxonomy mappings, scoring weights, source rules and distribution policies. This lets the product evolve without rebuilding the architecture.</w:t>
      </w:r>
    </w:p>
    <w:p>
      <w:pPr>
        <w:pStyle w:val="Heading1"/>
      </w:pPr>
      <w:r>
        <w:t>14. Final architecture</w:t>
      </w:r>
    </w:p>
    <w:p>
      <w:r>
        <w:t>Person/Capability/Intent</w:t>
        <w:br/>
        <w:t xml:space="preserve">        ↓</w:t>
        <w:br/>
        <w:t>User Opportunity Model</w:t>
        <w:br/>
        <w:t xml:space="preserve">        ↓</w:t>
        <w:br/>
        <w:t>Retrieval ← Opportunity Index ← Opportunity Ingestion</w:t>
        <w:br/>
        <w:t xml:space="preserve">        ↓</w:t>
        <w:br/>
        <w:t>Eligibility</w:t>
        <w:br/>
        <w:t xml:space="preserve">        ↓</w:t>
        <w:br/>
        <w:t>Deterministic Scoring</w:t>
        <w:br/>
        <w:t xml:space="preserve">        ↓</w:t>
        <w:br/>
        <w:t>Diversification</w:t>
        <w:br/>
        <w:t xml:space="preserve">        ↓</w:t>
        <w:br/>
        <w:t>Distribution</w:t>
        <w:br/>
        <w:t xml:space="preserve">        ↓</w:t>
        <w:br/>
        <w:t>Discovery / Notification / Search</w:t>
        <w:br/>
        <w:t xml:space="preserve">        ↓</w:t>
        <w:br/>
        <w:t>Action</w:t>
        <w:br/>
        <w:t xml:space="preserve">        ↓</w:t>
        <w:br/>
        <w:t>Feedback / Outcome / Trust</w:t>
        <w:br/>
        <w:t xml:space="preserve">        ↓</w:t>
        <w:br/>
        <w:t>Controlled User Model Update</w:t>
      </w:r>
    </w:p>
    <w:p>
      <w:pPr>
        <w:pStyle w:val="Heading1"/>
      </w:pPr>
      <w:r>
        <w:t>Sources</w:t>
      </w:r>
    </w:p>
    <w:p>
      <w:r>
        <w:rPr>
          <w:b/>
        </w:rPr>
        <w:t xml:space="preserve">[1] European Commission — ESCO. </w:t>
      </w:r>
      <w:r>
        <w:t xml:space="preserve">ESCO provides a structured vocabulary of occupations, skills and relationships and is used in matching, search and career/learning systems. </w:t>
      </w:r>
      <w:r>
        <w:t>https://esco.ec.europa.eu/en/about-esco/what-esco</w:t>
      </w:r>
    </w:p>
    <w:p>
      <w:r>
        <w:rPr>
          <w:b/>
        </w:rPr>
        <w:t xml:space="preserve">[2] European Commission — ESCO API/Downloads. </w:t>
      </w:r>
      <w:r>
        <w:t xml:space="preserve">ESCO provides web and local APIs; the classification is reusable as a reference layer. </w:t>
      </w:r>
      <w:r>
        <w:t>https://esco.ec.europa.eu/en/use-esco/use-esco-services-api</w:t>
      </w:r>
    </w:p>
    <w:p>
      <w:r>
        <w:rPr>
          <w:b/>
        </w:rPr>
        <w:t xml:space="preserve">[3] O*NET Resource Center. </w:t>
      </w:r>
      <w:r>
        <w:t xml:space="preserve">O*NET provides occupation, skills, tasks and transferable-skills data in machine-readable formats. </w:t>
      </w:r>
      <w:r>
        <w:t>https://www.onetcenter.org/database.html</w:t>
      </w:r>
    </w:p>
    <w:p>
      <w:r>
        <w:rPr>
          <w:b/>
        </w:rPr>
        <w:t xml:space="preserve">[4] Elastic — Ranking and reranking. </w:t>
      </w:r>
      <w:r>
        <w:t xml:space="preserve">Modern search systems commonly use multi-stage retrieval: inexpensive retrieval followed by ranking/reranking. </w:t>
      </w:r>
      <w:r>
        <w:t>https://www.elastic.co/docs/solutions/search/ranking</w:t>
      </w:r>
    </w:p>
    <w:p>
      <w:r>
        <w:rPr>
          <w:b/>
        </w:rPr>
        <w:t xml:space="preserve">[5] PostGIS — Spatial indexes. </w:t>
      </w:r>
      <w:r>
        <w:t xml:space="preserve">PostGIS supports indexed geographic filtering using GiST and spatially-aware predicates. </w:t>
      </w:r>
      <w:r>
        <w:t>https://postgis.net/documentation/faq/spatial-indexes/</w:t>
      </w:r>
    </w:p>
    <w:p>
      <w:r>
        <w:rPr>
          <w:b/>
        </w:rPr>
        <w:t xml:space="preserve">[6] Google Research — Transparent user models. </w:t>
      </w:r>
      <w:r>
        <w:t xml:space="preserve">Research supports user-understandable preference models that users can inspect and adjust. </w:t>
      </w:r>
      <w:r>
        <w:t>https://research.google/pubs/transparent-scrutable-and-explainable-user-models-for-personalized-recommendation/</w:t>
      </w:r>
    </w:p>
    <w:p>
      <w:r>
        <w:rPr>
          <w:b/>
        </w:rPr>
        <w:t xml:space="preserve">[7] Google Research — Diverse preference elicitation. </w:t>
      </w:r>
      <w:r>
        <w:t xml:space="preserve">Research shows preference elicitation should consider diversity and avoid popularity-biased preference collection. </w:t>
      </w:r>
      <w:r>
        <w:t>https://research.google/pubs/diverse-user-preference-elicitation-with-multi-armed-bandits/</w:t>
      </w:r>
    </w:p>
    <w:p>
      <w:r>
        <w:rPr>
          <w:b/>
        </w:rPr>
        <w:t xml:space="preserve">[8] Android Developers — Navigation. </w:t>
      </w:r>
      <w:r>
        <w:t xml:space="preserve">Android provides established principles for predictable navigation. </w:t>
      </w:r>
      <w:r>
        <w:t>https://developer.android.com/guide/navigation</w:t>
      </w:r>
    </w:p>
    <w:p>
      <w:r>
        <w:rPr>
          <w:b/>
        </w:rPr>
        <w:t xml:space="preserve">[9] Android Developers — Responsive navigation. </w:t>
      </w:r>
      <w:r>
        <w:t xml:space="preserve">Android recommends adaptive navigation patterns based on display size. </w:t>
      </w:r>
      <w:r>
        <w:t>https://developer.android.com/develop/ui/views/layout/build-responsive-navigation</w:t>
      </w:r>
    </w:p>
    <w:p>
      <w:r>
        <w:rPr>
          <w:b/>
        </w:rPr>
        <w:t xml:space="preserve">[10] IAMAI/Kantar — ICUBE 2024. </w:t>
      </w:r>
      <w:r>
        <w:t xml:space="preserve">The report highlights substantial Indic-language internet use in India and strong urban preference for Indic-language content. </w:t>
      </w:r>
      <w:r>
        <w:t>https://www.iamai.in/sites/default/files/research/Kantar_%20IAMAI_report_2024_.pdf</w:t>
      </w:r>
    </w:p>
    <w:p>
      <w:r>
        <w:rPr>
          <w:b/>
        </w:rPr>
        <w:t xml:space="preserve">[11] Open Government Data Platform India. </w:t>
      </w:r>
      <w:r>
        <w:t xml:space="preserve">India's OGD platform provides machine-readable public datasets and APIs, including labour/employment and other categories. </w:t>
      </w:r>
      <w:r>
        <w:t>https://data.gov.in/</w:t>
      </w:r>
    </w:p>
    <w:p>
      <w:r>
        <w:rPr>
          <w:b/>
        </w:rPr>
        <w:t xml:space="preserve">[12] TRAI — Telecom Subscription Reports. </w:t>
      </w:r>
      <w:r>
        <w:t xml:space="preserve">Current telecom reports provide ongoing evidence for India's mobile/digital connectivity context. </w:t>
      </w:r>
      <w:r>
        <w:t>https://www.trai.gov.in/release-publication/reports/telecom-subscriptions-reports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