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C925" w14:textId="77777777" w:rsidR="00A94321" w:rsidRDefault="00AE3EBD">
      <w:pPr>
        <w:spacing w:after="60"/>
      </w:pPr>
      <w:r>
        <w:rPr>
          <w:b/>
          <w:bCs/>
          <w:color w:val="16304F"/>
          <w:sz w:val="52"/>
          <w:szCs w:val="52"/>
        </w:rPr>
        <w:t>PARLIANOTE</w:t>
      </w:r>
    </w:p>
    <w:p w14:paraId="26C2C926" w14:textId="77777777" w:rsidR="00A94321" w:rsidRDefault="00AE3EBD">
      <w:pPr>
        <w:spacing w:after="40"/>
      </w:pPr>
      <w:r>
        <w:rPr>
          <w:color w:val="4B5A6B"/>
          <w:sz w:val="26"/>
          <w:szCs w:val="26"/>
        </w:rPr>
        <w:t>NLP Technical Insights &amp; Results Summary</w:t>
      </w:r>
    </w:p>
    <w:p w14:paraId="26C2C927" w14:textId="77777777" w:rsidR="00A94321" w:rsidRDefault="00AE3EBD">
      <w:pPr>
        <w:spacing w:after="300"/>
      </w:pPr>
      <w:r>
        <w:rPr>
          <w:i/>
          <w:iCs/>
          <w:color w:val="4B5A6B"/>
        </w:rPr>
        <w:t>Team Phoenix · Group 11 · NLP AT2</w:t>
      </w:r>
    </w:p>
    <w:p w14:paraId="26C2C928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This document collects everything we found while building and testing the technical pipeline behind Parlianote, so anyone on the team can turn it into a poster, slide, or writeup without redoing the analysis. Every number here comes from code that was actually run, not estimated.</w:t>
      </w:r>
    </w:p>
    <w:p w14:paraId="26C2C929" w14:textId="77777777" w:rsidR="00A94321" w:rsidRDefault="00AE3EBD">
      <w:pPr>
        <w:pStyle w:val="Heading1"/>
        <w:pBdr>
          <w:bottom w:val="single" w:sz="6" w:space="4" w:color="16304F"/>
        </w:pBdr>
        <w:spacing w:before="320" w:after="160"/>
      </w:pPr>
      <w:r>
        <w:rPr>
          <w:b/>
          <w:bCs/>
          <w:color w:val="16304F"/>
          <w:sz w:val="30"/>
          <w:szCs w:val="30"/>
        </w:rPr>
        <w:t>1. Project Overview</w:t>
      </w:r>
    </w:p>
    <w:p w14:paraId="26C2C92A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Elevator pitch</w:t>
      </w:r>
    </w:p>
    <w:p w14:paraId="26C2C92B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Everything an MP says in Parliament is on the public record, but decades of Hansard transcripts are basically unsearchable — so most people end up judging their MP off a soundbite instead of what they've actually said. Parlianote fixes that: type in your postcode, and see what your MP actually talks about, how that's shifted over time, and read the real transcript behind every summary.</w:t>
      </w:r>
    </w:p>
    <w:p w14:paraId="26C2C92C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The problem</w:t>
      </w:r>
    </w:p>
    <w:p w14:paraId="26C2C92D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Hansard is public, but it's decades of dense, unsearchable text.</w:t>
      </w:r>
    </w:p>
    <w:p w14:paraId="26C2C92E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Most voters judge their MP off headlines or ads, not the record.</w:t>
      </w:r>
    </w:p>
    <w:p w14:paraId="26C2C92F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No easy way to track which MPs are actually raising the issues you care about.</w:t>
      </w:r>
    </w:p>
    <w:p w14:paraId="26C2C930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The solution</w:t>
      </w:r>
    </w:p>
    <w:p w14:paraId="26C2C931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What: enter a postcode, get your MP, the topics they focus on most, plain-language summaries of speeches linked back to the real transcript, and a timeline of how their focus has shifted over time.</w:t>
      </w:r>
    </w:p>
    <w:p w14:paraId="26C2C932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How: the Australian Parliamentary Debates dataset, topic modelling / classification, and grounded (RAG) summarisation.</w:t>
      </w:r>
    </w:p>
    <w:p w14:paraId="26C2C933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Why: voters get an evidence-based view of their MP; advocacy groups and businesses can track issue coverage across Parliament at scale; existing tools track votes, nothing tracks what's actually said, in plain language, linked to source.</w:t>
      </w:r>
    </w:p>
    <w:p w14:paraId="26C2C934" w14:textId="77777777" w:rsidR="00A94321" w:rsidRDefault="00AE3EBD">
      <w:pPr>
        <w:pStyle w:val="Heading1"/>
        <w:pBdr>
          <w:bottom w:val="single" w:sz="6" w:space="4" w:color="16304F"/>
        </w:pBdr>
        <w:spacing w:before="320" w:after="160"/>
      </w:pPr>
      <w:r>
        <w:rPr>
          <w:b/>
          <w:bCs/>
          <w:color w:val="16304F"/>
          <w:sz w:val="30"/>
          <w:szCs w:val="30"/>
        </w:rPr>
        <w:t>2. Dataset</w:t>
      </w:r>
    </w:p>
    <w:p w14:paraId="26C2C935" w14:textId="77777777" w:rsidR="00A94321" w:rsidRDefault="00AE3EBD">
      <w:pPr>
        <w:spacing w:after="140" w:line="300" w:lineRule="auto"/>
      </w:pPr>
      <w:r>
        <w:rPr>
          <w:i/>
          <w:iCs/>
          <w:color w:val="1C2530"/>
          <w:sz w:val="22"/>
          <w:szCs w:val="22"/>
        </w:rPr>
        <w:t>Katz, L. &amp; Alexander, R. (2025). Australian Parliamentary Debates Database, 1998–2025. Zenodo. https://doi.org/10.5281/zenodo.17351233</w:t>
      </w:r>
    </w:p>
    <w:p w14:paraId="26C2C936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Full House of Representatives Hansard proceedings, 2 March 1998 – 31 July 2025, parsed from official XML transcripts into a single Parquet file (579.6 MB). Includes electorate, party, speaker, question/answer flags, and interjection flags already extracted — which is what made this project feasible without building an XML parser from scratch.</w:t>
      </w:r>
    </w:p>
    <w:p w14:paraId="26C2C937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A second dataset — the free, open Australian Postcodes dataset (matthewproctor.com/australian_postcodes) — was used to bridge postcode → electorate, since Hansard only records electorate names, not postcodes.</w:t>
      </w:r>
    </w:p>
    <w:p w14:paraId="26C2C938" w14:textId="77777777" w:rsidR="00A94321" w:rsidRDefault="00AE3EBD">
      <w:pPr>
        <w:pStyle w:val="Heading1"/>
        <w:pBdr>
          <w:bottom w:val="single" w:sz="6" w:space="4" w:color="16304F"/>
        </w:pBdr>
        <w:spacing w:before="320" w:after="160"/>
      </w:pPr>
      <w:r>
        <w:rPr>
          <w:b/>
          <w:bCs/>
          <w:color w:val="16304F"/>
          <w:sz w:val="30"/>
          <w:szCs w:val="30"/>
        </w:rPr>
        <w:lastRenderedPageBreak/>
        <w:t>3. Techniques Used</w:t>
      </w:r>
    </w:p>
    <w:p w14:paraId="26C2C939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Eight techniques in total, chosen to match what's been taught in the ANLP course so every choice is markable and recognisable — nothing here goes beyond the lecture content.</w:t>
      </w:r>
    </w:p>
    <w:p w14:paraId="26C2C93A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3.1 Data cleaning / preprocessing</w:t>
      </w:r>
    </w:p>
    <w:p w14:paraId="26C2C93B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Filtered 647,852 raw Hansard rows down to 362,203 real MP speeches: rows must have an electorate, be flagged as an actual member speaking, not be an interjection, and have real body text (&gt;30 characters).</w:t>
      </w:r>
    </w:p>
    <w:p w14:paraId="26C2C93C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3.2 Postcode → Electorate → MP</w:t>
      </w:r>
    </w:p>
    <w:p w14:paraId="26C2C93D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Joined the Hansard electorate names to the postcode dataset's CED/electorate column. Covers 143 of 166 Hansard electorates (86%) — the gap is fully explained by electorate redistribution over 27 years (seats renamed or abolished, e.g. Batman → Cooper), not a data error.</w:t>
      </w:r>
    </w:p>
    <w:p w14:paraId="26C2C93E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3.3 LDA topic modelling (unsupervised)</w:t>
      </w:r>
    </w:p>
    <w:p w14:paraId="26C2C93F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Latent Dirichlet Allocation, trained on a stratified sample of ~19,600 speeches (700/year, 1998–2025, so no year dominates). Standard English stopwords plus custom parliamentary procedural filler words ("member", "House", "Speaker", "motion"...) were removed first, since otherwise every topic gets dominated by procedural vocabulary rather than substance.</w:t>
      </w:r>
    </w:p>
    <w:p w14:paraId="26C2C940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3.4 Zero-shot issue classification (embeddings)</w:t>
      </w:r>
    </w:p>
    <w:p w14:paraId="26C2C941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Tags each speech against a fixed list of 12 issues (Health, Economy &amp; Tax, Immigration, Environment &amp; Climate, Education, Defence, Housing, Social Services &amp; Welfare, Infrastructure &amp; Transport, Indigenous Affairs, Agriculture &amp; Regional, Justice &amp; Law) using sentence embeddings (all-MiniLM-L6-v2) and cosine similarity — no labelled training data needed.</w:t>
      </w:r>
    </w:p>
    <w:p w14:paraId="26C2C942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Important finding during development: the naive version was broken. Raw cosine-similarity argmax badly over-assigned one category — "Indigenous Affairs" alone absorbed ~30% of all speeches regardless of actual topic, including a speech about copyright legislation. This was fixed with two changes:</w:t>
      </w:r>
    </w:p>
    <w:p w14:paraId="26C2C943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Z-score calibration — normalising each category's similarity distribution across the corpus before taking the argmax, since raw similarity isn't comparable across categories.</w:t>
      </w:r>
    </w:p>
    <w:p w14:paraId="26C2C944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Confidence thresholding — only trusting a label when both the calibrated z-score and the raw similarity clear a threshold; otherwise the speech is marked "Other / Uncertain" rather than force-fit into one of only 12 categories.</w:t>
      </w:r>
    </w:p>
    <w:p w14:paraId="26C2C945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3.5 RAG grounded summarisation</w:t>
      </w:r>
    </w:p>
    <w:p w14:paraId="26C2C946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The technical core of the "linked to the official record" promise. Chunks speeches (500 characters, 100-character overlap), embeds each chunk, indexes them in FAISS, and retrieves the top-k most relevant chunks for a query — so any generated summary is built only from real, retrievable text, not from a model's general knowledge.</w:t>
      </w:r>
    </w:p>
    <w:p w14:paraId="26C2C947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Built and tested as a worked example on one MP (Zali Steggall, Warringah — 611 speeches → 7,652 searchable chunks).</w:t>
      </w:r>
    </w:p>
    <w:p w14:paraId="26C2C948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lastRenderedPageBreak/>
        <w:t>Important clarification: only the Retrieval half of RAG is automated in this codebase (chunking, embedding, FAISS search — all local, no API key, no cost). The Generation half (turning retrieved passages into written prose) was demonstrated manually by reading the retrieved chunks and writing a summary from them — exactly what an LLM API call would do if wired up. Automating that last step for the full app needs either a paid LLM API or a free local model via Ollama.</w:t>
      </w:r>
    </w:p>
    <w:p w14:paraId="26C2C949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3.6 Evaluation</w:t>
      </w:r>
    </w:p>
    <w:p w14:paraId="26C2C94A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No labelled ground truth exists for this dataset, so accuracy was measured by manual grading — reading real samples and checking them by hand, matching the course's "hybrid: code + model + human" evaluation guidance.</w:t>
      </w:r>
    </w:p>
    <w:p w14:paraId="26C2C94B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Issue classifier: 40 randomly sampled confident classifications, manually graded → 31/40 correct (77.5% precision).</w:t>
      </w:r>
    </w:p>
    <w:p w14:paraId="26C2C94C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RAG retrieval: 8 diverse test queries, top-3 results each manually checked for relevance → 24/24 (100%) relevant.</w:t>
      </w:r>
    </w:p>
    <w:p w14:paraId="26C2C94D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RAG faithfulness: one full grounded summary (gambling advertising reform) checked claim-by-claim against its source chunks — every claim verified, no fabrication found.</w:t>
      </w:r>
    </w:p>
    <w:p w14:paraId="26C2C94E" w14:textId="77777777" w:rsidR="00A94321" w:rsidRDefault="00AE3EBD">
      <w:pPr>
        <w:pStyle w:val="Heading1"/>
        <w:pBdr>
          <w:bottom w:val="single" w:sz="6" w:space="4" w:color="16304F"/>
        </w:pBdr>
        <w:spacing w:before="320" w:after="160"/>
      </w:pPr>
      <w:r>
        <w:rPr>
          <w:b/>
          <w:bCs/>
          <w:color w:val="16304F"/>
          <w:sz w:val="30"/>
          <w:szCs w:val="30"/>
        </w:rPr>
        <w:t>4. Results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00"/>
      </w:tblGrid>
      <w:tr w:rsidR="00A94321" w14:paraId="26C2C9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4F" w14:textId="77777777" w:rsidR="00A94321" w:rsidRDefault="00AE3EBD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400" w:type="dxa"/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0" w14:textId="77777777" w:rsidR="00A94321" w:rsidRDefault="00AE3EBD"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3000" w:type="dxa"/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1" w14:textId="77777777" w:rsidR="00A94321" w:rsidRDefault="00AE3EBD">
            <w:r>
              <w:rPr>
                <w:b/>
                <w:bCs/>
                <w:color w:val="FFFFFF"/>
              </w:rPr>
              <w:t>Result</w:t>
            </w:r>
          </w:p>
        </w:tc>
      </w:tr>
      <w:tr w:rsidR="00A94321" w14:paraId="26C2C9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3" w14:textId="77777777" w:rsidR="00A94321" w:rsidRDefault="00AE3EBD">
            <w:r>
              <w:rPr>
                <w:color w:val="1C2530"/>
              </w:rPr>
              <w:t>Data cleaning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4" w14:textId="77777777" w:rsidR="00A94321" w:rsidRDefault="00AE3EBD">
            <w:r>
              <w:rPr>
                <w:color w:val="1C2530"/>
              </w:rPr>
              <w:t>Filtering / preprocessing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5" w14:textId="77777777" w:rsidR="00A94321" w:rsidRDefault="00AE3EBD">
            <w:r>
              <w:rPr>
                <w:color w:val="1C2530"/>
              </w:rPr>
              <w:t>362,203 clean speeches from 647,852 raw rows (1998–2025)</w:t>
            </w:r>
          </w:p>
        </w:tc>
      </w:tr>
      <w:tr w:rsidR="00A94321" w14:paraId="26C2C9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7" w14:textId="77777777" w:rsidR="00A94321" w:rsidRDefault="00AE3EBD">
            <w:r>
              <w:rPr>
                <w:color w:val="1C2530"/>
              </w:rPr>
              <w:t>Postcode → MP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8" w14:textId="77777777" w:rsidR="00A94321" w:rsidRDefault="00AE3EBD">
            <w:r>
              <w:rPr>
                <w:color w:val="1C2530"/>
              </w:rPr>
              <w:t>Data join (AEC postcode dataset)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9" w14:textId="77777777" w:rsidR="00A94321" w:rsidRDefault="00AE3EBD">
            <w:r>
              <w:rPr>
                <w:color w:val="1C2530"/>
              </w:rPr>
              <w:t>86% electorate coverage; verified correct on 6 real postcodes</w:t>
            </w:r>
          </w:p>
        </w:tc>
      </w:tr>
      <w:tr w:rsidR="00A94321" w14:paraId="26C2C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B" w14:textId="77777777" w:rsidR="00A94321" w:rsidRDefault="00AE3EBD">
            <w:r>
              <w:rPr>
                <w:color w:val="1C2530"/>
              </w:rPr>
              <w:t>Topic discovery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C" w14:textId="77777777" w:rsidR="00A94321" w:rsidRDefault="00AE3EBD">
            <w:r>
              <w:rPr>
                <w:color w:val="1C2530"/>
              </w:rPr>
              <w:t>LDA (unsupervised)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D" w14:textId="77777777" w:rsidR="00A94321" w:rsidRDefault="00AE3EBD">
            <w:r>
              <w:rPr>
                <w:color w:val="1C2530"/>
              </w:rPr>
              <w:t>Coherence score 0.459; mostly clean, human-nameable topics</w:t>
            </w:r>
          </w:p>
        </w:tc>
      </w:tr>
      <w:tr w:rsidR="00A94321" w14:paraId="26C2C9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5F" w14:textId="77777777" w:rsidR="00A94321" w:rsidRDefault="00AE3EBD">
            <w:r>
              <w:rPr>
                <w:color w:val="1C2530"/>
              </w:rPr>
              <w:t>Issue classification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60" w14:textId="77777777" w:rsidR="00A94321" w:rsidRDefault="00AE3EBD">
            <w:r>
              <w:rPr>
                <w:color w:val="1C2530"/>
              </w:rPr>
              <w:t>Zero-shot embeddings + calibration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61" w14:textId="77777777" w:rsidR="00A94321" w:rsidRDefault="00AE3EBD">
            <w:r>
              <w:rPr>
                <w:color w:val="1C2530"/>
              </w:rPr>
              <w:t>77.5% precision @ 41.8% coverage; named bias in one category</w:t>
            </w:r>
          </w:p>
        </w:tc>
      </w:tr>
      <w:tr w:rsidR="00A94321" w14:paraId="26C2C9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63" w14:textId="77777777" w:rsidR="00A94321" w:rsidRDefault="00AE3EBD">
            <w:r>
              <w:rPr>
                <w:color w:val="1C2530"/>
              </w:rPr>
              <w:t>Grounded summarisation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64" w14:textId="77777777" w:rsidR="00A94321" w:rsidRDefault="00AE3EBD">
            <w:r>
              <w:rPr>
                <w:color w:val="1C2530"/>
              </w:rPr>
              <w:t>RAG (FAISS + sentence embeddings)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2C965" w14:textId="77777777" w:rsidR="00A94321" w:rsidRDefault="00AE3EBD">
            <w:r>
              <w:rPr>
                <w:color w:val="1C2530"/>
              </w:rPr>
              <w:t>100% relevant retrieval (24/24 across 8 test queries)</w:t>
            </w:r>
          </w:p>
        </w:tc>
      </w:tr>
    </w:tbl>
    <w:p w14:paraId="26C2C967" w14:textId="77777777" w:rsidR="00A94321" w:rsidRDefault="00A94321">
      <w:pPr>
        <w:spacing w:before="200"/>
      </w:pPr>
    </w:p>
    <w:p w14:paraId="26C2C968" w14:textId="77777777" w:rsidR="00A94321" w:rsidRDefault="00AE3EBD">
      <w:pPr>
        <w:pStyle w:val="Heading1"/>
        <w:pBdr>
          <w:bottom w:val="single" w:sz="6" w:space="4" w:color="16304F"/>
        </w:pBdr>
        <w:spacing w:before="320" w:after="160"/>
      </w:pPr>
      <w:r>
        <w:rPr>
          <w:b/>
          <w:bCs/>
          <w:color w:val="16304F"/>
          <w:sz w:val="30"/>
          <w:szCs w:val="30"/>
        </w:rPr>
        <w:t>5. Key Insights</w:t>
      </w:r>
    </w:p>
    <w:p w14:paraId="26C2C969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These are the "so what" findings — the things worth actually saying on a poster or in a presentation, not just the raw metrics above.</w:t>
      </w:r>
    </w:p>
    <w:p w14:paraId="26C2C96A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Most of what MPs say doesn't fit a short list of headline issues</w:t>
      </w:r>
    </w:p>
    <w:p w14:paraId="26C2C96B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 xml:space="preserve">Only 41.8% of substantive speech was confidently classified into one of the 12 major issues. The rest is amendments, local grants, valedictory speeches, congratulating sports clubs, procedural motions — the </w:t>
      </w:r>
      <w:r>
        <w:rPr>
          <w:color w:val="1C2530"/>
          <w:sz w:val="22"/>
          <w:szCs w:val="22"/>
        </w:rPr>
        <w:lastRenderedPageBreak/>
        <w:t>unglamorous stuff that never makes news but is most of what actually happens in Parliament. This directly validates Parlianote's core premise: the real record is messier and broader than the headline version.</w:t>
      </w:r>
    </w:p>
    <w:p w14:paraId="26C2C96C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Raw Hansard contains real political theatre, not just policy</w:t>
      </w:r>
    </w:p>
    <w:p w14:paraId="26C2C96D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Two of the ten LDA-discovered topics weren't about issues at all — they were pure partisan rhetoric ("Labor, opposition, prime minister, say, put, back"). A meaningful share of parliamentary speech is adversarial point-scoring, not substance.</w:t>
      </w:r>
    </w:p>
    <w:p w14:paraId="26C2C96E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The grounded-summary demo caught a real, provable shift in an MP's position</w:t>
      </w:r>
    </w:p>
    <w:p w14:paraId="26C2C96F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Zali Steggall's language on gambling advertising reform shifted from "the government has a slow timeline" (Oct 2023) to "the government has refused to take action" (Nov 2024) — a genuine escalation, traceable to two dated speeches. This is the "timeline of how their focus has changed over the years" feature from the original pitch, working on real data.</w:t>
      </w:r>
    </w:p>
    <w:p w14:paraId="26C2C970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Two major parties dominate speech volume almost 1:1</w:t>
      </w:r>
    </w:p>
    <w:p w14:paraId="26C2C971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ALP: 161,657 speeches vs LIB: 154,323 — dwarfing minor parties (Greens: 1,771). But the most vocal individual electorates include independents like Warringah (Steggall), showing individual voice can outweigh party size in raw output.</w:t>
      </w:r>
    </w:p>
    <w:p w14:paraId="26C2C972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The classifier's one real weakness is specific and nameable</w:t>
      </w:r>
    </w:p>
    <w:p w14:paraId="26C2C973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5 of 9 classification errors (in the 40-sample manual check) specifically involved "Indigenous Affairs" being misapplied to unrelated content (a sports-club speech, a jobs summit, community radio, a bushfire response). This is a stronger, more credible finding than a vague accuracy number — it shows the failure was diagnosed, not just measured.</w:t>
      </w:r>
    </w:p>
    <w:p w14:paraId="26C2C974" w14:textId="77777777" w:rsidR="00A94321" w:rsidRDefault="00AE3EBD">
      <w:pPr>
        <w:pStyle w:val="Heading2"/>
        <w:spacing w:before="240" w:after="100"/>
      </w:pPr>
      <w:r>
        <w:rPr>
          <w:b/>
          <w:bCs/>
          <w:color w:val="16304F"/>
          <w:sz w:val="24"/>
          <w:szCs w:val="24"/>
        </w:rPr>
        <w:t>Current electorate boundaries only cover 86% of Hansard's history</w:t>
      </w:r>
    </w:p>
    <w:p w14:paraId="26C2C975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The remaining 14% are seats renamed or abolished over 27 years (e.g. Batman → Cooper) — meaning "type your postcode" works for today's Parliament but the mapping would need periodic updates as boundaries are redrawn.</w:t>
      </w:r>
    </w:p>
    <w:p w14:paraId="26C2C976" w14:textId="77777777" w:rsidR="00A94321" w:rsidRDefault="00AE3EBD">
      <w:pPr>
        <w:pStyle w:val="Heading1"/>
        <w:pBdr>
          <w:bottom w:val="single" w:sz="6" w:space="4" w:color="16304F"/>
        </w:pBdr>
        <w:spacing w:before="320" w:after="160"/>
      </w:pPr>
      <w:r>
        <w:rPr>
          <w:b/>
          <w:bCs/>
          <w:color w:val="16304F"/>
          <w:sz w:val="30"/>
          <w:szCs w:val="30"/>
        </w:rPr>
        <w:t>6. Limitations (be upfront about these)</w:t>
      </w:r>
    </w:p>
    <w:p w14:paraId="26C2C977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The issue classifier confidently tags only ~42% of speeches — by design, not a bug, but worth stating clearly rather than implying full coverage.</w:t>
      </w:r>
    </w:p>
    <w:p w14:paraId="26C2C978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"Indigenous Affairs" has a diagnosed bias toward false positives on generic community-praise language.</w:t>
      </w:r>
    </w:p>
    <w:p w14:paraId="26C2C979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The RAG pipeline currently covers one MP (Zali Steggall) as a proof of concept, not all 421 speakers in the dataset.</w:t>
      </w:r>
    </w:p>
    <w:p w14:paraId="26C2C97A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Summary generation is manual/demonstrated in this codebase, not yet wired to an automated LLM call — that needs an API key or a local model (e.g. Ollama) for the full app.</w:t>
      </w:r>
    </w:p>
    <w:p w14:paraId="26C2C97B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The postcode → electorate mapping reflects current boundaries only and will drift as electorates are redrawn.</w:t>
      </w:r>
    </w:p>
    <w:p w14:paraId="26C2C97C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All accuracy figures (77.5%, 100%) come from manual spot-checks on samples of 8–40 items, not a large-scale automated benchmark — solid for a class project, not a statistical guarantee over the full dataset.</w:t>
      </w:r>
    </w:p>
    <w:p w14:paraId="26C2C97D" w14:textId="77777777" w:rsidR="00A94321" w:rsidRDefault="00AE3EBD">
      <w:pPr>
        <w:pStyle w:val="Heading1"/>
        <w:pBdr>
          <w:bottom w:val="single" w:sz="6" w:space="4" w:color="16304F"/>
        </w:pBdr>
        <w:spacing w:before="320" w:after="160"/>
      </w:pPr>
      <w:r>
        <w:rPr>
          <w:b/>
          <w:bCs/>
          <w:color w:val="16304F"/>
          <w:sz w:val="30"/>
          <w:szCs w:val="30"/>
        </w:rPr>
        <w:lastRenderedPageBreak/>
        <w:t>7. Worked Example: A Grounded Summary</w:t>
      </w:r>
    </w:p>
    <w:p w14:paraId="26C2C97E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Query: "gambling advertising reform", asked against Zali Steggall's speeches.</w:t>
      </w:r>
    </w:p>
    <w:p w14:paraId="26C2C97F" w14:textId="77777777" w:rsidR="00A94321" w:rsidRDefault="00AE3EBD">
      <w:pPr>
        <w:pBdr>
          <w:left w:val="single" w:sz="18" w:space="12" w:color="9C6F0A"/>
        </w:pBdr>
        <w:spacing w:before="120" w:after="120"/>
        <w:ind w:left="431"/>
      </w:pPr>
      <w:r>
        <w:rPr>
          <w:i/>
          <w:iCs/>
          <w:color w:val="1C2530"/>
          <w:sz w:val="22"/>
          <w:szCs w:val="22"/>
        </w:rPr>
        <w:t>"Zali Steggall has repeatedly criticised the government's slow progress on gambling advertising reform. A parliamentary inquiry ('You win some, you lose more,' June 2023) unanimously recommended restricting gambling advertising; the government accepted the recommendations but took years to act. She's argued this is a distraction — the government moved quickly on a separate age-verification bill while stalling on the ad ban, despite polling showing 70%+ public support for one."</w:t>
      </w:r>
    </w:p>
    <w:p w14:paraId="26C2C980" w14:textId="77777777" w:rsidR="00A94321" w:rsidRDefault="00AE3EBD">
      <w:pPr>
        <w:spacing w:after="140" w:line="300" w:lineRule="auto"/>
      </w:pPr>
      <w:r>
        <w:rPr>
          <w:color w:val="1C2530"/>
          <w:sz w:val="22"/>
          <w:szCs w:val="22"/>
        </w:rPr>
        <w:t>Every claim in this summary was manually checked against the retrieved source chunks (dated Oct 2023 and Nov 2024) and is faithfully supported — no fabrication found. This is what "linked to the official record" looks like working on real data.</w:t>
      </w:r>
    </w:p>
    <w:p w14:paraId="26C2C981" w14:textId="77777777" w:rsidR="00A94321" w:rsidRDefault="00AE3EBD">
      <w:pPr>
        <w:pStyle w:val="Heading1"/>
        <w:pBdr>
          <w:bottom w:val="single" w:sz="6" w:space="4" w:color="16304F"/>
        </w:pBdr>
        <w:spacing w:before="320" w:after="160"/>
      </w:pPr>
      <w:r>
        <w:rPr>
          <w:b/>
          <w:bCs/>
          <w:color w:val="16304F"/>
          <w:sz w:val="30"/>
          <w:szCs w:val="30"/>
        </w:rPr>
        <w:t>8. Notes for Building a Poster From This</w:t>
      </w:r>
    </w:p>
    <w:p w14:paraId="26C2C983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Lead with the pitch + problem (Section 1) — that's the hook.</w:t>
      </w:r>
    </w:p>
    <w:p w14:paraId="26C2C984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Use the Results Summary table (Section 4) for a quick scoreboard — real numbers land better than description.</w:t>
      </w:r>
    </w:p>
    <w:p w14:paraId="26C2C985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Include at least one chart, not just text — e.g. the issue-distribution bar chart (see the digital poster draft) or a simple pipeline diagram (Postcode → Electorate → MP → Topics → Grounded Summary).</w:t>
      </w:r>
    </w:p>
    <w:p w14:paraId="26C2C986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The worked example (Section 7) is a strong visual anchor — a pull-quote with a citation reads better on a poster than a paragraph of explanation.</w:t>
      </w:r>
    </w:p>
    <w:p w14:paraId="26C2C987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Don't hide the limitations (Section 6) — naming them (especially the Indigenous Affairs bias) reads as rigor, not weakness.</w:t>
      </w:r>
    </w:p>
    <w:p w14:paraId="26C2C988" w14:textId="77777777" w:rsidR="00A94321" w:rsidRDefault="00AE3EBD">
      <w:pPr>
        <w:pStyle w:val="ListParagraph"/>
        <w:numPr>
          <w:ilvl w:val="0"/>
          <w:numId w:val="2"/>
        </w:numPr>
        <w:spacing w:after="90" w:line="290" w:lineRule="auto"/>
      </w:pPr>
      <w:r>
        <w:rPr>
          <w:color w:val="1C2530"/>
          <w:sz w:val="22"/>
          <w:szCs w:val="22"/>
        </w:rPr>
        <w:t>Keep technique descriptions to labels/tags on a poster, not full sentences — save the explanation for this document or a spoken pitch.</w:t>
      </w:r>
    </w:p>
    <w:p w14:paraId="26C2C98F" w14:textId="234766B3" w:rsidR="00A94321" w:rsidRDefault="00A94321">
      <w:pPr>
        <w:pBdr>
          <w:top w:val="single" w:sz="4" w:space="8" w:color="D8D2BF"/>
        </w:pBdr>
        <w:spacing w:before="400"/>
      </w:pPr>
    </w:p>
    <w:sectPr w:rsidR="00A943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6023"/>
    <w:multiLevelType w:val="hybridMultilevel"/>
    <w:tmpl w:val="EF486614"/>
    <w:lvl w:ilvl="0" w:tplc="8200B8E4">
      <w:start w:val="1"/>
      <w:numFmt w:val="bullet"/>
      <w:lvlText w:val="●"/>
      <w:lvlJc w:val="left"/>
      <w:pPr>
        <w:ind w:left="720" w:hanging="360"/>
      </w:pPr>
    </w:lvl>
    <w:lvl w:ilvl="1" w:tplc="92C2820A">
      <w:start w:val="1"/>
      <w:numFmt w:val="bullet"/>
      <w:lvlText w:val="○"/>
      <w:lvlJc w:val="left"/>
      <w:pPr>
        <w:ind w:left="1440" w:hanging="360"/>
      </w:pPr>
    </w:lvl>
    <w:lvl w:ilvl="2" w:tplc="538A4A3A">
      <w:start w:val="1"/>
      <w:numFmt w:val="bullet"/>
      <w:lvlText w:val="■"/>
      <w:lvlJc w:val="left"/>
      <w:pPr>
        <w:ind w:left="2160" w:hanging="360"/>
      </w:pPr>
    </w:lvl>
    <w:lvl w:ilvl="3" w:tplc="F7A05DBA">
      <w:start w:val="1"/>
      <w:numFmt w:val="bullet"/>
      <w:lvlText w:val="●"/>
      <w:lvlJc w:val="left"/>
      <w:pPr>
        <w:ind w:left="2880" w:hanging="360"/>
      </w:pPr>
    </w:lvl>
    <w:lvl w:ilvl="4" w:tplc="2CD693CA">
      <w:start w:val="1"/>
      <w:numFmt w:val="bullet"/>
      <w:lvlText w:val="○"/>
      <w:lvlJc w:val="left"/>
      <w:pPr>
        <w:ind w:left="3600" w:hanging="360"/>
      </w:pPr>
    </w:lvl>
    <w:lvl w:ilvl="5" w:tplc="1A963EA6">
      <w:start w:val="1"/>
      <w:numFmt w:val="bullet"/>
      <w:lvlText w:val="■"/>
      <w:lvlJc w:val="left"/>
      <w:pPr>
        <w:ind w:left="4320" w:hanging="360"/>
      </w:pPr>
    </w:lvl>
    <w:lvl w:ilvl="6" w:tplc="DE54BBEE">
      <w:start w:val="1"/>
      <w:numFmt w:val="bullet"/>
      <w:lvlText w:val="●"/>
      <w:lvlJc w:val="left"/>
      <w:pPr>
        <w:ind w:left="5040" w:hanging="360"/>
      </w:pPr>
    </w:lvl>
    <w:lvl w:ilvl="7" w:tplc="1D70C10E">
      <w:start w:val="1"/>
      <w:numFmt w:val="bullet"/>
      <w:lvlText w:val="●"/>
      <w:lvlJc w:val="left"/>
      <w:pPr>
        <w:ind w:left="5760" w:hanging="360"/>
      </w:pPr>
    </w:lvl>
    <w:lvl w:ilvl="8" w:tplc="C0D2D1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3D3563"/>
    <w:multiLevelType w:val="hybridMultilevel"/>
    <w:tmpl w:val="A78089B8"/>
    <w:lvl w:ilvl="0" w:tplc="C15A4698">
      <w:start w:val="1"/>
      <w:numFmt w:val="bullet"/>
      <w:lvlText w:val="•"/>
      <w:lvlJc w:val="left"/>
      <w:pPr>
        <w:ind w:left="504" w:hanging="288"/>
      </w:pPr>
    </w:lvl>
    <w:lvl w:ilvl="1" w:tplc="C2DE440C">
      <w:start w:val="1"/>
      <w:numFmt w:val="bullet"/>
      <w:lvlText w:val="◦"/>
      <w:lvlJc w:val="left"/>
      <w:pPr>
        <w:ind w:left="1008" w:hanging="288"/>
      </w:pPr>
    </w:lvl>
    <w:lvl w:ilvl="2" w:tplc="CF6E2440">
      <w:numFmt w:val="decimal"/>
      <w:lvlText w:val=""/>
      <w:lvlJc w:val="left"/>
    </w:lvl>
    <w:lvl w:ilvl="3" w:tplc="14021366">
      <w:numFmt w:val="decimal"/>
      <w:lvlText w:val=""/>
      <w:lvlJc w:val="left"/>
    </w:lvl>
    <w:lvl w:ilvl="4" w:tplc="B5AE7AFC">
      <w:numFmt w:val="decimal"/>
      <w:lvlText w:val=""/>
      <w:lvlJc w:val="left"/>
    </w:lvl>
    <w:lvl w:ilvl="5" w:tplc="B8BA25A4">
      <w:numFmt w:val="decimal"/>
      <w:lvlText w:val=""/>
      <w:lvlJc w:val="left"/>
    </w:lvl>
    <w:lvl w:ilvl="6" w:tplc="87F0A902">
      <w:numFmt w:val="decimal"/>
      <w:lvlText w:val=""/>
      <w:lvlJc w:val="left"/>
    </w:lvl>
    <w:lvl w:ilvl="7" w:tplc="57CA5488">
      <w:numFmt w:val="decimal"/>
      <w:lvlText w:val=""/>
      <w:lvlJc w:val="left"/>
    </w:lvl>
    <w:lvl w:ilvl="8" w:tplc="4030F8B0">
      <w:numFmt w:val="decimal"/>
      <w:lvlText w:val=""/>
      <w:lvlJc w:val="left"/>
    </w:lvl>
  </w:abstractNum>
  <w:num w:numId="1" w16cid:durableId="1626699072">
    <w:abstractNumId w:val="0"/>
    <w:lvlOverride w:ilvl="0">
      <w:startOverride w:val="1"/>
    </w:lvlOverride>
  </w:num>
  <w:num w:numId="2" w16cid:durableId="16176411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321"/>
    <w:rsid w:val="004C0D1B"/>
    <w:rsid w:val="008706A7"/>
    <w:rsid w:val="00A94321"/>
    <w:rsid w:val="00AE3EBD"/>
    <w:rsid w:val="00F9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C925"/>
  <w15:docId w15:val="{213B3EAB-2F0C-4AED-9055-697E7ACE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1728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Kumar T</cp:lastModifiedBy>
  <cp:revision>5</cp:revision>
  <dcterms:created xsi:type="dcterms:W3CDTF">2026-09-23T15:53:00Z</dcterms:created>
  <dcterms:modified xsi:type="dcterms:W3CDTF">2026-09-23T15:58:00Z</dcterms:modified>
</cp:coreProperties>
</file>