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 Customer Churn Intelligence — Project Overview</w:t>
      </w:r>
    </w:p>
    <w:p>
      <w:pPr>
        <w:pStyle w:val="Heading2"/>
      </w:pPr>
      <w:r>
        <w:t>Project at a glance</w:t>
      </w:r>
    </w:p>
    <w:p>
      <w:r>
        <w:t>This project is an interactive Streamlit prototype for exploring historical bank customer churn, comparing baseline prediction models, and scoring individual or batch records. It also includes a retention-insights dashboard and a one-page executive brief.</w:t>
      </w:r>
    </w:p>
    <w:p>
      <w:r>
        <w:t>The app is designed for analyst decision support. Segment differences and model scores are not proof of why an individual customer leaves, and the prototype does not automate customer treatment or account decisions.</w:t>
      </w:r>
    </w:p>
    <w:p>
      <w:pPr>
        <w:pStyle w:val="Heading2"/>
      </w:pPr>
      <w:r>
        <w:t>Main components</w:t>
      </w:r>
    </w:p>
    <w:p>
      <w:pPr>
        <w:pStyle w:val="ListBullet"/>
        <w:spacing w:after="60"/>
      </w:pPr>
      <w:r>
        <w:rPr>
          <w:b/>
        </w:rPr>
        <w:t>Streamlit dashboard (`app.py`):</w:t>
      </w:r>
      <w:r>
        <w:t xml:space="preserve"> Overview, Data Explorer, Retention</w:t>
      </w:r>
    </w:p>
    <w:p>
      <w:r>
        <w:t>Insights, Model Evaluation, Score Customers, and Model Card.</w:t>
      </w:r>
    </w:p>
    <w:p>
      <w:pPr>
        <w:pStyle w:val="ListBullet"/>
        <w:spacing w:after="60"/>
      </w:pPr>
      <w:r>
        <w:rPr>
          <w:b/>
        </w:rPr>
        <w:t>Data validation (`churn_app/data.py`):</w:t>
      </w:r>
      <w:r>
        <w:t xml:space="preserve"> validates training CSV schema,</w:t>
      </w:r>
    </w:p>
    <w:p>
      <w:r>
        <w:t>identifies warnings, and keeps identifiers out of model features.</w:t>
      </w:r>
    </w:p>
    <w:p>
      <w:pPr>
        <w:pStyle w:val="ListBullet"/>
        <w:spacing w:after="60"/>
      </w:pPr>
      <w:r>
        <w:rPr>
          <w:b/>
        </w:rPr>
        <w:t>Modeling (`churn_app/modeling.py`):</w:t>
      </w:r>
      <w:r>
        <w:t xml:space="preserve"> compares class-weighted Logistic</w:t>
      </w:r>
    </w:p>
    <w:p>
      <w:r>
        <w:t>Regression and Random Forest with a stratified train/validation/test split.</w:t>
      </w:r>
    </w:p>
    <w:p>
      <w:pPr>
        <w:pStyle w:val="ListBullet"/>
        <w:spacing w:after="60"/>
      </w:pPr>
      <w:r>
        <w:rPr>
          <w:b/>
        </w:rPr>
        <w:t>Batch and single scoring (`churn_app/scoring.py`, `app.py`):</w:t>
      </w:r>
      <w:r>
        <w:t xml:space="preserve"> accepts</w:t>
      </w:r>
    </w:p>
    <w:p>
      <w:r>
        <w:t>approved prediction fields and produces risk estimates.</w:t>
      </w:r>
    </w:p>
    <w:p>
      <w:pPr>
        <w:pStyle w:val="ListBullet"/>
        <w:spacing w:after="60"/>
      </w:pPr>
      <w:r>
        <w:rPr>
          <w:b/>
        </w:rPr>
        <w:t>Tests (`tests/test_churn_app.py`):</w:t>
      </w:r>
      <w:r>
        <w:t xml:space="preserve"> covers data, model, scoring, and app</w:t>
      </w:r>
    </w:p>
    <w:p>
      <w:r>
        <w:t>behavior.</w:t>
      </w:r>
    </w:p>
    <w:p>
      <w:pPr>
        <w:pStyle w:val="ListBullet"/>
        <w:spacing w:after="60"/>
      </w:pPr>
      <w:r>
        <w:rPr>
          <w:b/>
        </w:rPr>
        <w:t>Executive brief (`CUSTOMER_CHURN_EXECUTIVE_BRIEF.pdf`):</w:t>
      </w:r>
      <w:r>
        <w:t xml:space="preserve"> one-page summary</w:t>
      </w:r>
    </w:p>
    <w:p>
      <w:r>
        <w:t>of historical churn signals and controlled-pilot recommendations.</w:t>
      </w:r>
    </w:p>
    <w:p>
      <w:r>
        <w:t xml:space="preserve">To run locally, install </w:t>
      </w:r>
      <w:r>
        <w:rPr>
          <w:rFonts w:ascii="Courier New" w:hAnsi="Courier New"/>
          <w:color w:val="4B5563"/>
          <w:sz w:val="18"/>
        </w:rPr>
        <w:t>requirements.txt</w:t>
      </w:r>
      <w:r>
        <w:t xml:space="preserve">, then use </w:t>
      </w:r>
      <w:r>
        <w:rPr>
          <w:rFonts w:ascii="Courier New" w:hAnsi="Courier New"/>
          <w:color w:val="4B5563"/>
          <w:sz w:val="18"/>
        </w:rPr>
        <w:t>streamlit run app.py</w:t>
      </w:r>
      <w:r>
        <w:t xml:space="preserve">. Upload the training CSV in the dashboard, or configure </w:t>
      </w:r>
      <w:r>
        <w:rPr>
          <w:rFonts w:ascii="Courier New" w:hAnsi="Courier New"/>
          <w:color w:val="4B5563"/>
          <w:sz w:val="18"/>
        </w:rPr>
        <w:t>CHURN_DATA_PATH</w:t>
      </w:r>
      <w:r>
        <w:t>.</w:t>
      </w:r>
    </w:p>
    <w:p>
      <w:pPr>
        <w:pStyle w:val="Heading2"/>
      </w:pPr>
      <w:r>
        <w:t>Dataset used</w:t>
      </w:r>
    </w:p>
    <w:p>
      <w:r>
        <w:rPr>
          <w:b/>
        </w:rPr>
        <w:t>Source file:</w:t>
      </w:r>
      <w:r>
        <w:t xml:space="preserve"> </w:t>
      </w:r>
      <w:r>
        <w:rPr>
          <w:rFonts w:ascii="Courier New" w:hAnsi="Courier New"/>
          <w:color w:val="4B5563"/>
          <w:sz w:val="18"/>
        </w:rPr>
        <w:t>Customer-Churn-Records.csv</w:t>
      </w:r>
      <w:r>
        <w:t xml:space="preserve">, supplied as a training-data attachment and located at </w:t>
      </w:r>
      <w:r>
        <w:rPr>
          <w:rFonts w:ascii="Courier New" w:hAnsi="Courier New"/>
          <w:color w:val="4B5563"/>
          <w:sz w:val="18"/>
        </w:rPr>
        <w:t>/Users/krishnakumar/Downloads/Customer-Churn-Records.csv</w:t>
      </w:r>
      <w:r>
        <w:t xml:space="preserve"> in the development environment. The application does not require this fixed path; the CSV can be uploaded in the dashboard.</w:t>
      </w:r>
    </w:p>
    <w:p>
      <w:r>
        <w:rPr>
          <w:b/>
        </w:rPr>
        <w:t>Observed contents:</w:t>
      </w:r>
    </w:p>
    <w:p>
      <w:pPr>
        <w:pStyle w:val="ListBullet"/>
        <w:spacing w:after="60"/>
      </w:pPr>
      <w:r>
        <w:t>10,000 customer records and 18 columns.</w:t>
      </w:r>
    </w:p>
    <w:p>
      <w:pPr>
        <w:pStyle w:val="ListBullet"/>
        <w:spacing w:after="60"/>
      </w:pPr>
      <w:r>
        <w:t xml:space="preserve">Target: </w:t>
      </w:r>
      <w:r>
        <w:rPr>
          <w:rFonts w:ascii="Courier New" w:hAnsi="Courier New"/>
          <w:color w:val="4B5563"/>
          <w:sz w:val="18"/>
        </w:rPr>
        <w:t>Exited</w:t>
      </w:r>
      <w:r>
        <w:t xml:space="preserve"> (0 = stayed, 1 = exited).</w:t>
      </w:r>
    </w:p>
    <w:p>
      <w:pPr>
        <w:pStyle w:val="ListBullet"/>
        <w:spacing w:after="60"/>
      </w:pPr>
      <w:r>
        <w:t>2,038 recorded exits; historical exit rate 20.38%.</w:t>
      </w:r>
    </w:p>
    <w:p>
      <w:pPr>
        <w:pStyle w:val="ListBullet"/>
        <w:spacing w:after="60"/>
      </w:pPr>
      <w:r>
        <w:t xml:space="preserve">The supplied file had no blank cells and no duplicate </w:t>
      </w:r>
      <w:r>
        <w:rPr>
          <w:rFonts w:ascii="Courier New" w:hAnsi="Courier New"/>
          <w:color w:val="4B5563"/>
          <w:sz w:val="18"/>
        </w:rPr>
        <w:t>CustomerId</w:t>
      </w:r>
      <w:r>
        <w:t xml:space="preserve"> values.</w:t>
      </w:r>
    </w:p>
    <w:p>
      <w:pPr>
        <w:pStyle w:val="ListBullet"/>
        <w:spacing w:after="60"/>
      </w:pPr>
      <w:r>
        <w:t>It includes customer characteristics and relationship indicators such as</w:t>
      </w:r>
    </w:p>
    <w:p>
      <w:r>
        <w:t>credit score, geography, gender, age, tenure, balance, number of products, card ownership, activity, salary, complaint status, satisfaction score, card type, and points earned.</w:t>
      </w:r>
    </w:p>
    <w:p>
      <w:r>
        <w:rPr>
          <w:rFonts w:ascii="Courier New" w:hAnsi="Courier New"/>
          <w:color w:val="4B5563"/>
          <w:sz w:val="18"/>
        </w:rPr>
        <w:t>RowNumber</w:t>
      </w:r>
      <w:r>
        <w:t xml:space="preserve">, </w:t>
      </w:r>
      <w:r>
        <w:rPr>
          <w:rFonts w:ascii="Courier New" w:hAnsi="Courier New"/>
          <w:color w:val="4B5563"/>
          <w:sz w:val="18"/>
        </w:rPr>
        <w:t>CustomerId</w:t>
      </w:r>
      <w:r>
        <w:t xml:space="preserve">, and </w:t>
      </w:r>
      <w:r>
        <w:rPr>
          <w:rFonts w:ascii="Courier New" w:hAnsi="Courier New"/>
          <w:color w:val="4B5563"/>
          <w:sz w:val="18"/>
        </w:rPr>
        <w:t>Surname</w:t>
      </w:r>
      <w:r>
        <w:t xml:space="preserve"> are excluded from model features. </w:t>
      </w:r>
      <w:r>
        <w:rPr>
          <w:rFonts w:ascii="Courier New" w:hAnsi="Courier New"/>
          <w:color w:val="4B5563"/>
          <w:sz w:val="18"/>
        </w:rPr>
        <w:t>Complain</w:t>
      </w:r>
      <w:r>
        <w:t xml:space="preserve">, </w:t>
      </w:r>
      <w:r>
        <w:rPr>
          <w:rFonts w:ascii="Courier New" w:hAnsi="Courier New"/>
          <w:color w:val="4B5563"/>
          <w:sz w:val="18"/>
        </w:rPr>
        <w:t>Satisfaction Score</w:t>
      </w:r>
      <w:r>
        <w:t xml:space="preserve">, </w:t>
      </w:r>
      <w:r>
        <w:rPr>
          <w:rFonts w:ascii="Courier New" w:hAnsi="Courier New"/>
          <w:color w:val="4B5563"/>
          <w:sz w:val="18"/>
        </w:rPr>
        <w:t>Card Type</w:t>
      </w:r>
      <w:r>
        <w:t xml:space="preserve">, and </w:t>
      </w:r>
      <w:r>
        <w:rPr>
          <w:rFonts w:ascii="Courier New" w:hAnsi="Courier New"/>
          <w:color w:val="4B5563"/>
          <w:sz w:val="18"/>
        </w:rPr>
        <w:t>Point Earned</w:t>
      </w:r>
      <w:r>
        <w:t xml:space="preserve"> are held out pending point-in-time and governance review. The data contains no observation dates, so random holdout evaluation is not a temporal test of future performance.</w:t>
      </w:r>
    </w:p>
    <w:p>
      <w:pPr>
        <w:pStyle w:val="Heading2"/>
      </w:pPr>
      <w:r>
        <w:t>Key descriptive findings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236192"/>
          </w:tcPr>
          <w:p>
            <w:pPr>
              <w:spacing w:after="20"/>
            </w:pPr>
            <w:r>
              <w:rPr>
                <w:b/>
                <w:color w:val="FFFFFF"/>
                <w:sz w:val="18"/>
              </w:rPr>
            </w:r>
            <w:r>
              <w:rPr>
                <w:b/>
                <w:color w:val="FFFFFF"/>
                <w:sz w:val="18"/>
              </w:rPr>
              <w:t>Historical segment</w:t>
            </w:r>
          </w:p>
        </w:tc>
        <w:tc>
          <w:tcPr>
            <w:tcW w:type="dxa" w:w="2498"/>
            <w:vAlign w:val="center"/>
            <w:shd w:fill="236192"/>
          </w:tcPr>
          <w:p>
            <w:pPr>
              <w:spacing w:after="20"/>
            </w:pPr>
            <w:r>
              <w:rPr>
                <w:b/>
                <w:color w:val="FFFFFF"/>
                <w:sz w:val="18"/>
              </w:rPr>
            </w:r>
            <w:r>
              <w:rPr>
                <w:b/>
                <w:color w:val="FFFFFF"/>
                <w:sz w:val="18"/>
              </w:rPr>
              <w:t>Customers</w:t>
            </w:r>
          </w:p>
        </w:tc>
        <w:tc>
          <w:tcPr>
            <w:tcW w:type="dxa" w:w="2498"/>
            <w:vAlign w:val="center"/>
            <w:shd w:fill="236192"/>
          </w:tcPr>
          <w:p>
            <w:pPr>
              <w:spacing w:after="20"/>
            </w:pPr>
            <w:r>
              <w:rPr>
                <w:b/>
                <w:color w:val="FFFFFF"/>
                <w:sz w:val="18"/>
              </w:rPr>
            </w:r>
            <w:r>
              <w:rPr>
                <w:b/>
                <w:color w:val="FFFFFF"/>
                <w:sz w:val="18"/>
              </w:rPr>
              <w:t>Exits</w:t>
            </w:r>
          </w:p>
        </w:tc>
        <w:tc>
          <w:tcPr>
            <w:tcW w:type="dxa" w:w="2498"/>
            <w:vAlign w:val="center"/>
            <w:shd w:fill="236192"/>
          </w:tcPr>
          <w:p>
            <w:pPr>
              <w:spacing w:after="20"/>
            </w:pPr>
            <w:r>
              <w:rPr>
                <w:b/>
                <w:color w:val="FFFFFF"/>
                <w:sz w:val="18"/>
              </w:rPr>
            </w:r>
            <w:r>
              <w:rPr>
                <w:b/>
                <w:color w:val="FFFFFF"/>
                <w:sz w:val="18"/>
              </w:rPr>
              <w:t>Exit rate</w:t>
            </w:r>
          </w:p>
        </w:tc>
      </w:tr>
      <w:tr>
        <w:tc>
          <w:tcPr>
            <w:tcW w:type="dxa" w:w="2498"/>
            <w:vAlign w:val="center"/>
          </w:tcPr>
          <w:p>
            <w:pPr>
              <w:spacing w:after="20"/>
            </w:pPr>
            <w:r>
              <w:rPr>
                <w:sz w:val="18"/>
              </w:rPr>
            </w:r>
            <w:r>
              <w:rPr>
                <w:sz w:val="18"/>
              </w:rPr>
              <w:t>Inactive</w:t>
            </w:r>
          </w:p>
        </w:tc>
        <w:tc>
          <w:tcPr>
            <w:tcW w:type="dxa" w:w="2498"/>
            <w:vAlign w:val="center"/>
          </w:tcPr>
          <w:p>
            <w:pPr>
              <w:spacing w:after="20"/>
            </w:pPr>
            <w:r>
              <w:rPr>
                <w:sz w:val="18"/>
              </w:rPr>
            </w:r>
            <w:r>
              <w:rPr>
                <w:sz w:val="18"/>
              </w:rPr>
              <w:t>4,849</w:t>
            </w:r>
          </w:p>
        </w:tc>
        <w:tc>
          <w:tcPr>
            <w:tcW w:type="dxa" w:w="2498"/>
            <w:vAlign w:val="center"/>
          </w:tcPr>
          <w:p>
            <w:pPr>
              <w:spacing w:after="20"/>
            </w:pPr>
            <w:r>
              <w:rPr>
                <w:sz w:val="18"/>
              </w:rPr>
            </w:r>
            <w:r>
              <w:rPr>
                <w:sz w:val="18"/>
              </w:rPr>
              <w:t>1,303</w:t>
            </w:r>
          </w:p>
        </w:tc>
        <w:tc>
          <w:tcPr>
            <w:tcW w:type="dxa" w:w="2498"/>
            <w:vAlign w:val="center"/>
          </w:tcPr>
          <w:p>
            <w:pPr>
              <w:spacing w:after="20"/>
            </w:pPr>
            <w:r>
              <w:rPr>
                <w:sz w:val="18"/>
              </w:rPr>
            </w:r>
            <w:r>
              <w:rPr>
                <w:sz w:val="18"/>
              </w:rPr>
              <w:t>26.9%</w:t>
            </w:r>
          </w:p>
        </w:tc>
      </w:tr>
      <w:tr>
        <w:tc>
          <w:tcPr>
            <w:tcW w:type="dxa" w:w="2498"/>
            <w:vAlign w:val="center"/>
          </w:tcPr>
          <w:p>
            <w:pPr>
              <w:spacing w:after="20"/>
            </w:pPr>
            <w:r>
              <w:rPr>
                <w:sz w:val="18"/>
              </w:rPr>
            </w:r>
            <w:r>
              <w:rPr>
                <w:sz w:val="18"/>
              </w:rPr>
              <w:t>Active</w:t>
            </w:r>
          </w:p>
        </w:tc>
        <w:tc>
          <w:tcPr>
            <w:tcW w:type="dxa" w:w="2498"/>
            <w:vAlign w:val="center"/>
          </w:tcPr>
          <w:p>
            <w:pPr>
              <w:spacing w:after="20"/>
            </w:pPr>
            <w:r>
              <w:rPr>
                <w:sz w:val="18"/>
              </w:rPr>
            </w:r>
            <w:r>
              <w:rPr>
                <w:sz w:val="18"/>
              </w:rPr>
              <w:t>5,151</w:t>
            </w:r>
          </w:p>
        </w:tc>
        <w:tc>
          <w:tcPr>
            <w:tcW w:type="dxa" w:w="2498"/>
            <w:vAlign w:val="center"/>
          </w:tcPr>
          <w:p>
            <w:pPr>
              <w:spacing w:after="20"/>
            </w:pPr>
            <w:r>
              <w:rPr>
                <w:sz w:val="18"/>
              </w:rPr>
            </w:r>
            <w:r>
              <w:rPr>
                <w:sz w:val="18"/>
              </w:rPr>
              <w:t>735</w:t>
            </w:r>
          </w:p>
        </w:tc>
        <w:tc>
          <w:tcPr>
            <w:tcW w:type="dxa" w:w="2498"/>
            <w:vAlign w:val="center"/>
          </w:tcPr>
          <w:p>
            <w:pPr>
              <w:spacing w:after="20"/>
            </w:pPr>
            <w:r>
              <w:rPr>
                <w:sz w:val="18"/>
              </w:rPr>
            </w:r>
            <w:r>
              <w:rPr>
                <w:sz w:val="18"/>
              </w:rPr>
              <w:t>14.3%</w:t>
            </w:r>
          </w:p>
        </w:tc>
      </w:tr>
      <w:tr>
        <w:tc>
          <w:tcPr>
            <w:tcW w:type="dxa" w:w="2498"/>
            <w:vAlign w:val="center"/>
          </w:tcPr>
          <w:p>
            <w:pPr>
              <w:spacing w:after="20"/>
            </w:pPr>
            <w:r>
              <w:rPr>
                <w:sz w:val="18"/>
              </w:rPr>
            </w:r>
            <w:r>
              <w:rPr>
                <w:sz w:val="18"/>
              </w:rPr>
              <w:t>1 product</w:t>
            </w:r>
          </w:p>
        </w:tc>
        <w:tc>
          <w:tcPr>
            <w:tcW w:type="dxa" w:w="2498"/>
            <w:vAlign w:val="center"/>
          </w:tcPr>
          <w:p>
            <w:pPr>
              <w:spacing w:after="20"/>
            </w:pPr>
            <w:r>
              <w:rPr>
                <w:sz w:val="18"/>
              </w:rPr>
            </w:r>
            <w:r>
              <w:rPr>
                <w:sz w:val="18"/>
              </w:rPr>
              <w:t>5,084</w:t>
            </w:r>
          </w:p>
        </w:tc>
        <w:tc>
          <w:tcPr>
            <w:tcW w:type="dxa" w:w="2498"/>
            <w:vAlign w:val="center"/>
          </w:tcPr>
          <w:p>
            <w:pPr>
              <w:spacing w:after="20"/>
            </w:pPr>
            <w:r>
              <w:rPr>
                <w:sz w:val="18"/>
              </w:rPr>
            </w:r>
            <w:r>
              <w:rPr>
                <w:sz w:val="18"/>
              </w:rPr>
              <w:t>1,409</w:t>
            </w:r>
          </w:p>
        </w:tc>
        <w:tc>
          <w:tcPr>
            <w:tcW w:type="dxa" w:w="2498"/>
            <w:vAlign w:val="center"/>
          </w:tcPr>
          <w:p>
            <w:pPr>
              <w:spacing w:after="20"/>
            </w:pPr>
            <w:r>
              <w:rPr>
                <w:sz w:val="18"/>
              </w:rPr>
            </w:r>
            <w:r>
              <w:rPr>
                <w:sz w:val="18"/>
              </w:rPr>
              <w:t>27.7%</w:t>
            </w:r>
          </w:p>
        </w:tc>
      </w:tr>
      <w:tr>
        <w:tc>
          <w:tcPr>
            <w:tcW w:type="dxa" w:w="2498"/>
            <w:vAlign w:val="center"/>
          </w:tcPr>
          <w:p>
            <w:pPr>
              <w:spacing w:after="20"/>
            </w:pPr>
            <w:r>
              <w:rPr>
                <w:sz w:val="18"/>
              </w:rPr>
            </w:r>
            <w:r>
              <w:rPr>
                <w:sz w:val="18"/>
              </w:rPr>
              <w:t>2 products</w:t>
            </w:r>
          </w:p>
        </w:tc>
        <w:tc>
          <w:tcPr>
            <w:tcW w:type="dxa" w:w="2498"/>
            <w:vAlign w:val="center"/>
          </w:tcPr>
          <w:p>
            <w:pPr>
              <w:spacing w:after="20"/>
            </w:pPr>
            <w:r>
              <w:rPr>
                <w:sz w:val="18"/>
              </w:rPr>
            </w:r>
            <w:r>
              <w:rPr>
                <w:sz w:val="18"/>
              </w:rPr>
              <w:t>4,590</w:t>
            </w:r>
          </w:p>
        </w:tc>
        <w:tc>
          <w:tcPr>
            <w:tcW w:type="dxa" w:w="2498"/>
            <w:vAlign w:val="center"/>
          </w:tcPr>
          <w:p>
            <w:pPr>
              <w:spacing w:after="20"/>
            </w:pPr>
            <w:r>
              <w:rPr>
                <w:sz w:val="18"/>
              </w:rPr>
            </w:r>
            <w:r>
              <w:rPr>
                <w:sz w:val="18"/>
              </w:rPr>
              <w:t>349</w:t>
            </w:r>
          </w:p>
        </w:tc>
        <w:tc>
          <w:tcPr>
            <w:tcW w:type="dxa" w:w="2498"/>
            <w:vAlign w:val="center"/>
          </w:tcPr>
          <w:p>
            <w:pPr>
              <w:spacing w:after="20"/>
            </w:pPr>
            <w:r>
              <w:rPr>
                <w:sz w:val="18"/>
              </w:rPr>
            </w:r>
            <w:r>
              <w:rPr>
                <w:sz w:val="18"/>
              </w:rPr>
              <w:t>7.6%</w:t>
            </w:r>
          </w:p>
        </w:tc>
      </w:tr>
      <w:tr>
        <w:tc>
          <w:tcPr>
            <w:tcW w:type="dxa" w:w="2498"/>
            <w:vAlign w:val="center"/>
          </w:tcPr>
          <w:p>
            <w:pPr>
              <w:spacing w:after="20"/>
            </w:pPr>
            <w:r>
              <w:rPr>
                <w:sz w:val="18"/>
              </w:rPr>
            </w:r>
            <w:r>
              <w:rPr>
                <w:sz w:val="18"/>
              </w:rPr>
              <w:t>3 products</w:t>
            </w:r>
          </w:p>
        </w:tc>
        <w:tc>
          <w:tcPr>
            <w:tcW w:type="dxa" w:w="2498"/>
            <w:vAlign w:val="center"/>
          </w:tcPr>
          <w:p>
            <w:pPr>
              <w:spacing w:after="20"/>
            </w:pPr>
            <w:r>
              <w:rPr>
                <w:sz w:val="18"/>
              </w:rPr>
            </w:r>
            <w:r>
              <w:rPr>
                <w:sz w:val="18"/>
              </w:rPr>
              <w:t>266</w:t>
            </w:r>
          </w:p>
        </w:tc>
        <w:tc>
          <w:tcPr>
            <w:tcW w:type="dxa" w:w="2498"/>
            <w:vAlign w:val="center"/>
          </w:tcPr>
          <w:p>
            <w:pPr>
              <w:spacing w:after="20"/>
            </w:pPr>
            <w:r>
              <w:rPr>
                <w:sz w:val="18"/>
              </w:rPr>
            </w:r>
            <w:r>
              <w:rPr>
                <w:sz w:val="18"/>
              </w:rPr>
              <w:t>220</w:t>
            </w:r>
          </w:p>
        </w:tc>
        <w:tc>
          <w:tcPr>
            <w:tcW w:type="dxa" w:w="2498"/>
            <w:vAlign w:val="center"/>
          </w:tcPr>
          <w:p>
            <w:pPr>
              <w:spacing w:after="20"/>
            </w:pPr>
            <w:r>
              <w:rPr>
                <w:sz w:val="18"/>
              </w:rPr>
            </w:r>
            <w:r>
              <w:rPr>
                <w:sz w:val="18"/>
              </w:rPr>
              <w:t>82.7%</w:t>
            </w:r>
          </w:p>
        </w:tc>
      </w:tr>
      <w:tr>
        <w:tc>
          <w:tcPr>
            <w:tcW w:type="dxa" w:w="2498"/>
            <w:vAlign w:val="center"/>
          </w:tcPr>
          <w:p>
            <w:pPr>
              <w:spacing w:after="20"/>
            </w:pPr>
            <w:r>
              <w:rPr>
                <w:sz w:val="18"/>
              </w:rPr>
            </w:r>
            <w:r>
              <w:rPr>
                <w:sz w:val="18"/>
              </w:rPr>
              <w:t>4 products</w:t>
            </w:r>
          </w:p>
        </w:tc>
        <w:tc>
          <w:tcPr>
            <w:tcW w:type="dxa" w:w="2498"/>
            <w:vAlign w:val="center"/>
          </w:tcPr>
          <w:p>
            <w:pPr>
              <w:spacing w:after="20"/>
            </w:pPr>
            <w:r>
              <w:rPr>
                <w:sz w:val="18"/>
              </w:rPr>
            </w:r>
            <w:r>
              <w:rPr>
                <w:sz w:val="18"/>
              </w:rPr>
              <w:t>60</w:t>
            </w:r>
          </w:p>
        </w:tc>
        <w:tc>
          <w:tcPr>
            <w:tcW w:type="dxa" w:w="2498"/>
            <w:vAlign w:val="center"/>
          </w:tcPr>
          <w:p>
            <w:pPr>
              <w:spacing w:after="20"/>
            </w:pPr>
            <w:r>
              <w:rPr>
                <w:sz w:val="18"/>
              </w:rPr>
            </w:r>
            <w:r>
              <w:rPr>
                <w:sz w:val="18"/>
              </w:rPr>
              <w:t>60</w:t>
            </w:r>
          </w:p>
        </w:tc>
        <w:tc>
          <w:tcPr>
            <w:tcW w:type="dxa" w:w="2498"/>
            <w:vAlign w:val="center"/>
          </w:tcPr>
          <w:p>
            <w:pPr>
              <w:spacing w:after="20"/>
            </w:pPr>
            <w:r>
              <w:rPr>
                <w:sz w:val="18"/>
              </w:rPr>
            </w:r>
            <w:r>
              <w:rPr>
                <w:sz w:val="18"/>
              </w:rPr>
              <w:t>100.0%</w:t>
            </w:r>
          </w:p>
        </w:tc>
      </w:tr>
      <w:tr>
        <w:tc>
          <w:tcPr>
            <w:tcW w:type="dxa" w:w="2498"/>
            <w:vAlign w:val="center"/>
          </w:tcPr>
          <w:p>
            <w:pPr>
              <w:spacing w:after="20"/>
            </w:pPr>
            <w:r>
              <w:rPr>
                <w:sz w:val="18"/>
              </w:rPr>
            </w:r>
            <w:r>
              <w:rPr>
                <w:sz w:val="18"/>
              </w:rPr>
              <w:t>Germany</w:t>
            </w:r>
          </w:p>
        </w:tc>
        <w:tc>
          <w:tcPr>
            <w:tcW w:type="dxa" w:w="2498"/>
            <w:vAlign w:val="center"/>
          </w:tcPr>
          <w:p>
            <w:pPr>
              <w:spacing w:after="20"/>
            </w:pPr>
            <w:r>
              <w:rPr>
                <w:sz w:val="18"/>
              </w:rPr>
            </w:r>
            <w:r>
              <w:rPr>
                <w:sz w:val="18"/>
              </w:rPr>
              <w:t>2,509</w:t>
            </w:r>
          </w:p>
        </w:tc>
        <w:tc>
          <w:tcPr>
            <w:tcW w:type="dxa" w:w="2498"/>
            <w:vAlign w:val="center"/>
          </w:tcPr>
          <w:p>
            <w:pPr>
              <w:spacing w:after="20"/>
            </w:pPr>
            <w:r>
              <w:rPr>
                <w:sz w:val="18"/>
              </w:rPr>
            </w:r>
            <w:r>
              <w:rPr>
                <w:sz w:val="18"/>
              </w:rPr>
              <w:t>814</w:t>
            </w:r>
          </w:p>
        </w:tc>
        <w:tc>
          <w:tcPr>
            <w:tcW w:type="dxa" w:w="2498"/>
            <w:vAlign w:val="center"/>
          </w:tcPr>
          <w:p>
            <w:pPr>
              <w:spacing w:after="20"/>
            </w:pPr>
            <w:r>
              <w:rPr>
                <w:sz w:val="18"/>
              </w:rPr>
            </w:r>
            <w:r>
              <w:rPr>
                <w:sz w:val="18"/>
              </w:rPr>
              <w:t>32.4%</w:t>
            </w:r>
          </w:p>
        </w:tc>
      </w:tr>
      <w:tr>
        <w:tc>
          <w:tcPr>
            <w:tcW w:type="dxa" w:w="2498"/>
            <w:vAlign w:val="center"/>
          </w:tcPr>
          <w:p>
            <w:pPr>
              <w:spacing w:after="20"/>
            </w:pPr>
            <w:r>
              <w:rPr>
                <w:sz w:val="18"/>
              </w:rPr>
            </w:r>
            <w:r>
              <w:rPr>
                <w:sz w:val="18"/>
              </w:rPr>
              <w:t>France</w:t>
            </w:r>
          </w:p>
        </w:tc>
        <w:tc>
          <w:tcPr>
            <w:tcW w:type="dxa" w:w="2498"/>
            <w:vAlign w:val="center"/>
          </w:tcPr>
          <w:p>
            <w:pPr>
              <w:spacing w:after="20"/>
            </w:pPr>
            <w:r>
              <w:rPr>
                <w:sz w:val="18"/>
              </w:rPr>
            </w:r>
            <w:r>
              <w:rPr>
                <w:sz w:val="18"/>
              </w:rPr>
              <w:t>5,014</w:t>
            </w:r>
          </w:p>
        </w:tc>
        <w:tc>
          <w:tcPr>
            <w:tcW w:type="dxa" w:w="2498"/>
            <w:vAlign w:val="center"/>
          </w:tcPr>
          <w:p>
            <w:pPr>
              <w:spacing w:after="20"/>
            </w:pPr>
            <w:r>
              <w:rPr>
                <w:sz w:val="18"/>
              </w:rPr>
            </w:r>
            <w:r>
              <w:rPr>
                <w:sz w:val="18"/>
              </w:rPr>
              <w:t>811</w:t>
            </w:r>
          </w:p>
        </w:tc>
        <w:tc>
          <w:tcPr>
            <w:tcW w:type="dxa" w:w="2498"/>
            <w:vAlign w:val="center"/>
          </w:tcPr>
          <w:p>
            <w:pPr>
              <w:spacing w:after="20"/>
            </w:pPr>
            <w:r>
              <w:rPr>
                <w:sz w:val="18"/>
              </w:rPr>
            </w:r>
            <w:r>
              <w:rPr>
                <w:sz w:val="18"/>
              </w:rPr>
              <w:t>16.2%</w:t>
            </w:r>
          </w:p>
        </w:tc>
      </w:tr>
      <w:tr>
        <w:tc>
          <w:tcPr>
            <w:tcW w:type="dxa" w:w="2498"/>
            <w:vAlign w:val="center"/>
          </w:tcPr>
          <w:p>
            <w:pPr>
              <w:spacing w:after="20"/>
            </w:pPr>
            <w:r>
              <w:rPr>
                <w:sz w:val="18"/>
              </w:rPr>
            </w:r>
            <w:r>
              <w:rPr>
                <w:sz w:val="18"/>
              </w:rPr>
              <w:t>Spain</w:t>
            </w:r>
          </w:p>
        </w:tc>
        <w:tc>
          <w:tcPr>
            <w:tcW w:type="dxa" w:w="2498"/>
            <w:vAlign w:val="center"/>
          </w:tcPr>
          <w:p>
            <w:pPr>
              <w:spacing w:after="20"/>
            </w:pPr>
            <w:r>
              <w:rPr>
                <w:sz w:val="18"/>
              </w:rPr>
            </w:r>
            <w:r>
              <w:rPr>
                <w:sz w:val="18"/>
              </w:rPr>
              <w:t>2,477</w:t>
            </w:r>
          </w:p>
        </w:tc>
        <w:tc>
          <w:tcPr>
            <w:tcW w:type="dxa" w:w="2498"/>
            <w:vAlign w:val="center"/>
          </w:tcPr>
          <w:p>
            <w:pPr>
              <w:spacing w:after="20"/>
            </w:pPr>
            <w:r>
              <w:rPr>
                <w:sz w:val="18"/>
              </w:rPr>
            </w:r>
            <w:r>
              <w:rPr>
                <w:sz w:val="18"/>
              </w:rPr>
              <w:t>413</w:t>
            </w:r>
          </w:p>
        </w:tc>
        <w:tc>
          <w:tcPr>
            <w:tcW w:type="dxa" w:w="2498"/>
            <w:vAlign w:val="center"/>
          </w:tcPr>
          <w:p>
            <w:pPr>
              <w:spacing w:after="20"/>
            </w:pPr>
            <w:r>
              <w:rPr>
                <w:sz w:val="18"/>
              </w:rPr>
            </w:r>
            <w:r>
              <w:rPr>
                <w:sz w:val="18"/>
              </w:rPr>
              <w:t>16.7%</w:t>
            </w:r>
          </w:p>
        </w:tc>
      </w:tr>
    </w:tbl>
    <w:p>
      <w:r>
        <w:t>These are descriptive associations. In particular, the 3- and 4-product groups are small and their rates may be unstable. Complaint status almost matches the target in this file (2,034 of 2,044 complaint-flagged rows exited); this may reflect target leakage or feature timing and is not treated as a campaign trigger.</w:t>
      </w:r>
    </w:p>
    <w:p>
      <w:pPr>
        <w:pStyle w:val="Heading2"/>
      </w:pPr>
      <w:r>
        <w:t>Development prompts used</w:t>
      </w:r>
    </w:p>
    <w:p>
      <w:r>
        <w:t>The following summarizes the user requests that shaped the project during this conversation:</w:t>
      </w:r>
    </w:p>
    <w:p>
      <w:pPr>
        <w:pStyle w:val="ListNumber"/>
        <w:spacing w:after="60"/>
      </w:pPr>
      <w:r>
        <w:rPr>
          <w:b/>
        </w:rPr>
        <w:t>Plan the application:</w:t>
      </w:r>
      <w:r>
        <w:t xml:space="preserve"> “Create a detailed level plan of interactive web</w:t>
      </w:r>
    </w:p>
    <w:p>
      <w:r>
        <w:t>application using Streamlit to analyse dataset of customer churn records of bank based on attached training dataset to enable predictions for future customers.”</w:t>
      </w:r>
    </w:p>
    <w:p>
      <w:pPr>
        <w:pStyle w:val="ListNumber"/>
        <w:spacing w:after="60"/>
      </w:pPr>
      <w:r>
        <w:rPr>
          <w:b/>
        </w:rPr>
        <w:t>Build the application:</w:t>
      </w:r>
      <w:r>
        <w:t xml:space="preserve"> “Create streamlit application based on this md</w:t>
      </w:r>
    </w:p>
    <w:p>
      <w:r>
        <w:t>file.”</w:t>
      </w:r>
    </w:p>
    <w:p>
      <w:pPr>
        <w:pStyle w:val="ListNumber"/>
        <w:spacing w:after="60"/>
      </w:pPr>
      <w:r>
        <w:rPr>
          <w:b/>
        </w:rPr>
        <w:t>Support dashboard uploads:</w:t>
      </w:r>
      <w:r>
        <w:t xml:space="preserve"> “Can you modify current source code of</w:t>
      </w:r>
    </w:p>
    <w:p>
      <w:r>
        <w:t>application to make dataset uploadable via dashboard?”</w:t>
      </w:r>
    </w:p>
    <w:p>
      <w:pPr>
        <w:pStyle w:val="ListNumber"/>
        <w:spacing w:after="60"/>
      </w:pPr>
      <w:r>
        <w:rPr>
          <w:b/>
        </w:rPr>
        <w:t>Run the application:</w:t>
      </w:r>
      <w:r>
        <w:t xml:space="preserve"> “Run this application.”</w:t>
      </w:r>
    </w:p>
    <w:p>
      <w:pPr>
        <w:pStyle w:val="ListNumber"/>
        <w:spacing w:after="60"/>
      </w:pPr>
      <w:r>
        <w:rPr>
          <w:b/>
        </w:rPr>
        <w:t>Create retention visuals:</w:t>
      </w:r>
      <w:r>
        <w:t xml:space="preserve"> “Create visual representation on some of</w:t>
      </w:r>
    </w:p>
    <w:p>
      <w:r>
        <w:t>important factors from dataset that determine key criteria for customers to choose to exit that can be used by retention teams to prepare campaigns to proactively reach out and retain them.”</w:t>
      </w:r>
    </w:p>
    <w:p>
      <w:pPr>
        <w:pStyle w:val="ListNumber"/>
        <w:spacing w:after="60"/>
      </w:pPr>
      <w:r>
        <w:rPr>
          <w:b/>
        </w:rPr>
        <w:t>Create an executive deliverable:</w:t>
      </w:r>
      <w:r>
        <w:t xml:space="preserve"> “Generate a single page pdf document</w:t>
      </w:r>
    </w:p>
    <w:p>
      <w:r>
        <w:t>to be presented to C-suite executives with top 3 key reasons for customers churning based on the attached dataset and highlight 3 actionable insights for business recommendations that can be incorporated to significantly reduce churn percentage ratio of customers.”</w:t>
      </w:r>
    </w:p>
    <w:p>
      <w:pPr>
        <w:pStyle w:val="ListNumber"/>
        <w:spacing w:after="60"/>
      </w:pPr>
      <w:r>
        <w:rPr>
          <w:b/>
        </w:rPr>
        <w:t>Run/restart iterations:</w:t>
      </w:r>
      <w:r>
        <w:t xml:space="preserve"> “Run this application” and “Restart the</w:t>
      </w:r>
    </w:p>
    <w:p>
      <w:r>
        <w:t>application.”</w:t>
      </w:r>
    </w:p>
    <w:p>
      <w:pPr>
        <w:pStyle w:val="ListNumber"/>
        <w:spacing w:after="60"/>
      </w:pPr>
      <w:r>
        <w:rPr>
          <w:b/>
        </w:rPr>
        <w:t>Evaluate production readiness:</w:t>
      </w:r>
      <w:r>
        <w:t xml:space="preserve"> “Can you evaluate this prototype</w:t>
      </w:r>
    </w:p>
    <w:p>
      <w:r>
        <w:t>application against industry standards and ensure production grade coding standards, resilient and high performance benchmarks. If any changes required in modifying the application, please seek approval before proceeding.” The review found the prototype was not production-ready; proposed code changes were presented for approval, and no application code was modified.</w:t>
      </w:r>
    </w:p>
    <w:p>
      <w:r>
        <w:t>These are user-facing project prompts from this conversation, presented as a brief paraphrased prompt history; no hidden system or developer instructions are included.</w:t>
      </w:r>
    </w:p>
    <w:p>
      <w:pPr>
        <w:pStyle w:val="Heading2"/>
      </w:pPr>
      <w:r>
        <w:t>Important interpretation and use limits</w:t>
      </w:r>
    </w:p>
    <w:p>
      <w:pPr>
        <w:pStyle w:val="ListBullet"/>
        <w:spacing w:after="60"/>
      </w:pPr>
      <w:r>
        <w:t>The dataset alone cannot establish causal “reasons” or prove that an action</w:t>
      </w:r>
    </w:p>
    <w:p>
      <w:r>
        <w:t>will reduce churn.</w:t>
      </w:r>
    </w:p>
    <w:p>
      <w:pPr>
        <w:pStyle w:val="ListBullet"/>
        <w:spacing w:after="60"/>
      </w:pPr>
      <w:r>
        <w:t>The dataset has no dates or intervention results; there is no evidence here</w:t>
      </w:r>
    </w:p>
    <w:p>
      <w:r>
        <w:t>of model performance over time or campaign uplift.</w:t>
      </w:r>
    </w:p>
    <w:p>
      <w:pPr>
        <w:pStyle w:val="ListBullet"/>
        <w:spacing w:after="60"/>
      </w:pPr>
      <w:r>
        <w:t>Campaign proposals should be tested with controlled pilots and a holdout,</w:t>
      </w:r>
    </w:p>
    <w:p>
      <w:r>
        <w:t>measuring retention lift, customer experience, opt-outs, complaints, and incremental economics before scaling.</w:t>
      </w:r>
    </w:p>
    <w:p>
      <w:pPr>
        <w:pStyle w:val="ListBullet"/>
        <w:spacing w:after="60"/>
      </w:pPr>
      <w:r>
        <w:t>Age, gender, geography, and other potentially sensitive fields require</w:t>
      </w:r>
    </w:p>
    <w:p>
      <w:r>
        <w:t>legal, compliance, fairness, and model-risk review before operational use.</w:t>
      </w:r>
    </w:p>
    <w:p>
      <w:pPr>
        <w:pStyle w:val="ListBullet"/>
        <w:spacing w:after="60"/>
      </w:pPr>
      <w:r>
        <w:t>Human review is required; scores should not be used as automated grounds</w:t>
      </w:r>
    </w:p>
    <w:p>
      <w:r>
        <w:t>for eligibility, pricing, or service decisions.</w:t>
      </w:r>
    </w:p>
    <w:sectPr w:rsidR="00FC693F" w:rsidRPr="0006063C" w:rsidSect="00034616">
      <w:headerReference w:type="default" r:id="rId9"/>
      <w:footerReference w:type="default" r:id="rId10"/>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Editable project overview  •  Prepared from the project overview Markdown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rFonts w:ascii="Arial" w:hAnsi="Arial"/>
        <w:color w:val="64748B"/>
        <w:sz w:val="16"/>
      </w:rPr>
      <w:t>BANK CUSTOMER CHURN INTELLIGENCE  |  PROJECT OVERVIEW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733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236192"/>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rial" w:hAnsi="Arial"/>
      <w:b/>
      <w:bCs/>
      <w:color w:val="2361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rial" w:hAnsi="Arial"/>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 Customer Churn Intelligence — Project Overview</dc:title>
  <dc:subject>Editable Google Docs-compatible project overview</dc:subject>
  <dc:creator>Bank Customer Churn Intelligence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