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C3A36"/>
          <w:sz w:val="56"/>
        </w:rPr>
        <w:t>ACCORD RETAIL ONTOLOGY</w:t>
      </w:r>
    </w:p>
    <w:p>
      <w:pPr>
        <w:spacing w:after="40"/>
      </w:pPr>
      <w:r>
        <w:rPr>
          <w:color w:val="16211F"/>
          <w:sz w:val="28"/>
        </w:rPr>
        <w:t>Object types, links, verbs, evidence and decisions for retail bottleneck diagnosis</w:t>
      </w:r>
    </w:p>
    <w:p>
      <w:pPr>
        <w:spacing w:after="480"/>
      </w:pPr>
      <w:r>
        <w:rPr>
          <w:color w:val="5E6B68"/>
          <w:sz w:val="22"/>
        </w:rPr>
        <w:t>Version 0.1  ·  formal specification  ·  12 September 2026  ·  Accord Solutions / Context-OS</w:t>
      </w:r>
    </w:p>
    <w:tbl>
      <w:tblPr>
        <w:tblW w:type="auto" w:w="0"/>
        <w:jc w:val="center"/>
        <w:tblLayout w:type="fixed"/>
        <w:tblLook w:firstColumn="1" w:firstRow="1" w:lastColumn="0" w:lastRow="0" w:noHBand="0" w:noVBand="1" w:val="04A0"/>
        <w:tblBorders>
          <w:top w:val="single" w:sz="2" w:color="DDEEEB"/>
          <w:left w:val="single" w:sz="18" w:color="1C8C7D"/>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8C7D"/>
                <w:sz w:val="20"/>
              </w:rPr>
              <w:t>HOW TO READ THIS VERSION</w:t>
            </w:r>
          </w:p>
          <w:p>
            <w:pPr>
              <w:spacing w:line="276" w:lineRule="auto" w:after="60"/>
            </w:pPr>
            <w:r>
              <w:rPr>
                <w:rFonts w:ascii="Calibri" w:hAnsi="Calibri" w:cs="Calibri"/>
                <w:b w:val="0"/>
                <w:color w:val="16211F"/>
                <w:sz w:val="20"/>
              </w:rPr>
              <w:t>v0.1 is the first formal ontology for Accord Retail. It fixes the vocabulary that PRD.md, ARCHITECTURE.md and the Phase 1 code must share: ten object types, twelve links, eight verbs, twenty evidence types and two decisions.</w:t>
            </w:r>
          </w:p>
          <w:p>
            <w:pPr>
              <w:spacing w:line="276" w:lineRule="auto" w:after="60"/>
            </w:pPr>
            <w:r>
              <w:rPr>
                <w:rFonts w:ascii="Calibri" w:hAnsi="Calibri" w:cs="Calibri"/>
                <w:b w:val="0"/>
                <w:color w:val="16211F"/>
                <w:sz w:val="20"/>
              </w:rPr>
              <w:t>Sections 2–6 are normative — the Phase 1 schema and analysis engine are generated from them. Section 7 states the rules the engine must never break. Section 8 lists what is still open; none of it blocks Phase 1. Section 9 defines the audit record that makes every conclusion replayable.</w:t>
            </w:r>
          </w:p>
          <w:p>
            <w:pPr>
              <w:spacing w:line="276" w:lineRule="auto" w:after="60"/>
            </w:pPr>
            <w:r>
              <w:rPr>
                <w:rFonts w:ascii="Calibri" w:hAnsi="Calibri" w:cs="Calibri"/>
                <w:b w:val="0"/>
                <w:color w:val="16211F"/>
                <w:sz w:val="20"/>
              </w:rPr>
              <w:t>The structure mirrors Claris_Ontology_Design v0.3 so the same reader can move between the two. Where Claris asks "can this configuration launch?", Accord Retail asks "what is the #1 constraint on this business, and what should it do first?"</w:t>
            </w:r>
          </w:p>
        </w:tc>
      </w:tr>
    </w:tbl>
    <w:p>
      <w:pPr>
        <w:spacing w:after="40"/>
      </w:pPr>
    </w:p>
    <w:p>
      <w:pPr>
        <w:pStyle w:val="Heading1"/>
      </w:pPr>
      <w:r>
        <w:t>1.  Design thesis</w:t>
      </w:r>
    </w:p>
    <w:tbl>
      <w:tblPr>
        <w:tblW w:type="auto" w:w="0"/>
        <w:jc w:val="center"/>
        <w:tblLayout w:type="fixed"/>
        <w:tblLook w:firstColumn="1" w:firstRow="1" w:lastColumn="0" w:lastRow="0" w:noHBand="0" w:noVBand="1" w:val="04A0"/>
        <w:tblBorders>
          <w:top w:val="single" w:sz="2" w:color="DDEEEB"/>
          <w:left w:val="single" w:sz="18" w:color="1C3A36"/>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3A36"/>
                <w:sz w:val="21"/>
              </w:rPr>
              <w:t>DESIGN THESIS</w:t>
            </w:r>
          </w:p>
          <w:p>
            <w:pPr>
              <w:spacing w:line="276" w:lineRule="auto" w:after="60"/>
            </w:pPr>
            <w:r>
              <w:rPr>
                <w:rFonts w:ascii="Calibri" w:hAnsi="Calibri" w:cs="Calibri"/>
                <w:b w:val="0"/>
                <w:color w:val="16211F"/>
                <w:sz w:val="21"/>
              </w:rPr>
              <w:t>Accord Retail treats decision-making as first-class. A retail owner's data — sales, customers, products, stock — is not the product; the product is the conclusion drawn from it. So the ontology puts Decision at the centre and everything else either feeds a decision or follows from one. Every diagnosis is auditable: it records which evidence it read, at which version, and how it scored. Every recommendation is backed by evidence: an action is proposed only from a decision whose outcome entitles it, never from a role alone. Every action is traced to a decision: what the business does in response is recorded against the decision that authorised it, and the results it produces become new evidence for the next cycle. Dashboards show what happened; this model exists to state, defensibly, what to fix first.</w:t>
            </w:r>
          </w:p>
        </w:tc>
      </w:tr>
    </w:tbl>
    <w:p>
      <w:pPr>
        <w:spacing w:after="40"/>
      </w:pPr>
    </w:p>
    <w:p>
      <w:pPr>
        <w:keepNext w:val="0"/>
        <w:spacing w:after="0" w:line="360" w:lineRule="auto"/>
      </w:pPr>
      <w:r>
        <w:rPr>
          <w:rFonts w:ascii="Calibri" w:hAnsi="Calibri" w:cs="Calibri"/>
          <w:b w:val="0"/>
          <w:color w:val="16211F"/>
          <w:sz w:val="22"/>
        </w:rPr>
        <w:t>Three consequences follow, and the rest of the document enforces them:</w:t>
      </w:r>
    </w:p>
    <w:p>
      <w:pPr>
        <w:pStyle w:val="ListParagraph"/>
        <w:spacing w:after="0" w:line="360" w:lineRule="auto"/>
        <w:ind w:left="432" w:hanging="288"/>
      </w:pPr>
      <w:r>
        <w:rPr>
          <w:rFonts w:ascii="Calibri" w:hAnsi="Calibri" w:cs="Calibri"/>
          <w:b w:val="0"/>
          <w:color w:val="16211F"/>
          <w:sz w:val="22"/>
        </w:rPr>
        <w:t>•  Evidence is a typed, sourced, versioned statement — never a number computed invisibly inside a chart.</w:t>
      </w:r>
    </w:p>
    <w:p>
      <w:pPr>
        <w:pStyle w:val="ListParagraph"/>
        <w:spacing w:after="0" w:line="360" w:lineRule="auto"/>
        <w:ind w:left="432" w:hanging="288"/>
      </w:pPr>
      <w:r>
        <w:rPr>
          <w:rFonts w:ascii="Calibri" w:hAnsi="Calibri" w:cs="Calibri"/>
          <w:b w:val="0"/>
          <w:color w:val="16211F"/>
          <w:sz w:val="22"/>
        </w:rPr>
        <w:t>•  A decision is deterministic and stored with its inputs, so a consultant can replay it a year later and see exactly what changed.</w:t>
      </w:r>
    </w:p>
    <w:p>
      <w:pPr>
        <w:pStyle w:val="ListParagraph"/>
        <w:spacing w:after="0" w:line="360" w:lineRule="auto"/>
        <w:ind w:left="432" w:hanging="288"/>
      </w:pPr>
      <w:r>
        <w:rPr>
          <w:rFonts w:ascii="Calibri" w:hAnsi="Calibri" w:cs="Calibri"/>
          <w:b w:val="0"/>
          <w:color w:val="16211F"/>
          <w:sz w:val="22"/>
        </w:rPr>
        <w:t>•  Verbs that change the business (</w:t>
      </w:r>
      <w:r>
        <w:rPr>
          <w:rFonts w:ascii="Consolas" w:hAnsi="Consolas" w:cs="Consolas"/>
          <w:b w:val="0"/>
          <w:color w:val="16211F"/>
          <w:sz w:val="22"/>
        </w:rPr>
        <w:t>EXECUTE_ACTION</w:t>
      </w:r>
      <w:r>
        <w:rPr>
          <w:rFonts w:ascii="Calibri" w:hAnsi="Calibri" w:cs="Calibri"/>
          <w:b w:val="0"/>
          <w:color w:val="16211F"/>
          <w:sz w:val="22"/>
        </w:rPr>
        <w:t xml:space="preserve">, </w:t>
      </w:r>
      <w:r>
        <w:rPr>
          <w:rFonts w:ascii="Consolas" w:hAnsi="Consolas" w:cs="Consolas"/>
          <w:b w:val="0"/>
          <w:color w:val="16211F"/>
          <w:sz w:val="22"/>
        </w:rPr>
        <w:t>PROPOSE_ACTIONS</w:t>
      </w:r>
      <w:r>
        <w:rPr>
          <w:rFonts w:ascii="Calibri" w:hAnsi="Calibri" w:cs="Calibri"/>
          <w:b w:val="0"/>
          <w:color w:val="16211F"/>
          <w:sz w:val="22"/>
        </w:rPr>
        <w:t>) are entitled by a decision outcome, not by who is logged in.</w:t>
      </w:r>
    </w:p>
    <w:p>
      <w:pPr>
        <w:pStyle w:val="Heading1"/>
        <w:spacing w:before="600"/>
        <w:pBdr>
          <w:top w:val="single" w:sz="12" w:space="10" w:color="1C8C7D"/>
        </w:pBdr>
      </w:pPr>
      <w:r>
        <w:t>2.  Object types</w:t>
      </w:r>
    </w:p>
    <w:p>
      <w:pPr>
        <w:keepNext w:val="0"/>
        <w:spacing w:after="0" w:line="360" w:lineRule="auto"/>
      </w:pPr>
      <w:r>
        <w:rPr>
          <w:rFonts w:ascii="Calibri" w:hAnsi="Calibri" w:cs="Calibri"/>
          <w:b w:val="0"/>
          <w:color w:val="16211F"/>
          <w:sz w:val="22"/>
        </w:rPr>
        <w:t>Ten types. Five carry business meaning (Business, Product, Sale, Customer, Inventory). Evidence is the bridge between raw data and conclusions. Bottleneck and Recommendation are the conclusions themselves. Decision and Action are system objects: Decision makes a conclusion auditable, Action makes a response traceable to it.</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808"/>
        <w:gridCol w:w="2808"/>
        <w:gridCol w:w="2808"/>
        <w:gridCol w:w="2808"/>
        <w:gridCol w:w="2808"/>
      </w:tblGrid>
      <w:tr>
        <w:trPr>
          <w:tblHeader w:val="true"/>
          <w:cantSplit w:val="true"/>
        </w:trPr>
        <w:tc>
          <w:tcPr>
            <w:tcW w:type="dxa" w:w="1656"/>
            <w:shd w:val="clear" w:color="auto" w:fill="1C3A36"/>
          </w:tcPr>
          <w:p>
            <w:pPr>
              <w:keepNext/>
              <w:spacing w:line="276" w:lineRule="auto" w:after="0"/>
            </w:pPr>
            <w:r>
              <w:rPr>
                <w:rFonts w:ascii="Calibri" w:hAnsi="Calibri" w:cs="Calibri"/>
                <w:b/>
                <w:color w:val="FFFFFF"/>
                <w:sz w:val="19"/>
              </w:rPr>
              <w:t>Object</w:t>
            </w:r>
          </w:p>
        </w:tc>
        <w:tc>
          <w:tcPr>
            <w:tcW w:type="dxa" w:w="1008"/>
            <w:shd w:val="clear" w:color="auto" w:fill="1C3A36"/>
          </w:tcPr>
          <w:p>
            <w:pPr>
              <w:keepNext/>
              <w:spacing w:line="276" w:lineRule="auto" w:after="0"/>
            </w:pPr>
            <w:r>
              <w:rPr>
                <w:rFonts w:ascii="Calibri" w:hAnsi="Calibri" w:cs="Calibri"/>
                <w:b/>
                <w:color w:val="FFFFFF"/>
                <w:sz w:val="19"/>
              </w:rPr>
              <w:t>Grain</w:t>
            </w:r>
          </w:p>
        </w:tc>
        <w:tc>
          <w:tcPr>
            <w:tcW w:type="dxa" w:w="2016"/>
            <w:shd w:val="clear" w:color="auto" w:fill="1C3A36"/>
          </w:tcPr>
          <w:p>
            <w:pPr>
              <w:keepNext/>
              <w:spacing w:line="276" w:lineRule="auto" w:after="0"/>
            </w:pPr>
            <w:r>
              <w:rPr>
                <w:rFonts w:ascii="Calibri" w:hAnsi="Calibri" w:cs="Calibri"/>
                <w:b/>
                <w:color w:val="FFFFFF"/>
                <w:sz w:val="19"/>
              </w:rPr>
              <w:t>Key</w:t>
            </w:r>
          </w:p>
        </w:tc>
        <w:tc>
          <w:tcPr>
            <w:tcW w:type="dxa" w:w="4608"/>
            <w:shd w:val="clear" w:color="auto" w:fill="1C3A36"/>
          </w:tcPr>
          <w:p>
            <w:pPr>
              <w:keepNext/>
              <w:spacing w:line="276" w:lineRule="auto" w:after="0"/>
            </w:pPr>
            <w:r>
              <w:rPr>
                <w:rFonts w:ascii="Calibri" w:hAnsi="Calibri" w:cs="Calibri"/>
                <w:b/>
                <w:color w:val="FFFFFF"/>
                <w:sz w:val="19"/>
              </w:rPr>
              <w:t>Business meaning</w:t>
            </w:r>
          </w:p>
        </w:tc>
        <w:tc>
          <w:tcPr>
            <w:tcW w:type="dxa" w:w="4752"/>
            <w:shd w:val="clear" w:color="auto" w:fill="1C3A36"/>
          </w:tcPr>
          <w:p>
            <w:pPr>
              <w:keepNext/>
              <w:spacing w:line="276" w:lineRule="auto" w:after="0"/>
            </w:pPr>
            <w:r>
              <w:rPr>
                <w:rFonts w:ascii="Calibri" w:hAnsi="Calibri" w:cs="Calibri"/>
                <w:b/>
                <w:color w:val="FFFFFF"/>
                <w:sz w:val="19"/>
              </w:rPr>
              <w:t>Why it exists</w:t>
            </w:r>
          </w:p>
        </w:tc>
      </w:tr>
      <w:tr>
        <w:trPr>
          <w:cantSplit w:val="true"/>
        </w:trPr>
        <w:tc>
          <w:tcPr>
            <w:tcW w:type="dxa" w:w="1656"/>
          </w:tcPr>
          <w:p>
            <w:pPr>
              <w:keepNext/>
              <w:spacing w:line="276" w:lineRule="auto" w:after="0"/>
            </w:pPr>
            <w:r>
              <w:rPr>
                <w:rFonts w:ascii="Calibri" w:hAnsi="Calibri" w:cs="Calibri"/>
                <w:b w:val="0"/>
                <w:color w:val="16211F"/>
                <w:sz w:val="19"/>
              </w:rPr>
              <w:t>Business</w:t>
            </w:r>
          </w:p>
        </w:tc>
        <w:tc>
          <w:tcPr>
            <w:tcW w:type="dxa" w:w="1008"/>
          </w:tcPr>
          <w:p>
            <w:pPr>
              <w:keepNext/>
              <w:spacing w:line="276" w:lineRule="auto" w:after="0"/>
            </w:pPr>
            <w:r>
              <w:rPr>
                <w:rFonts w:ascii="Calibri" w:hAnsi="Calibri" w:cs="Calibri"/>
                <w:b w:val="0"/>
                <w:color w:val="16211F"/>
                <w:sz w:val="19"/>
              </w:rPr>
              <w:t>entity</w:t>
            </w:r>
          </w:p>
        </w:tc>
        <w:tc>
          <w:tcPr>
            <w:tcW w:type="dxa" w:w="2016"/>
          </w:tcPr>
          <w:p>
            <w:pPr>
              <w:keepNext/>
              <w:spacing w:line="276" w:lineRule="auto" w:after="0"/>
            </w:pPr>
            <w:r>
              <w:rPr>
                <w:rFonts w:ascii="Consolas" w:hAnsi="Consolas" w:cs="Consolas"/>
                <w:b w:val="0"/>
                <w:color w:val="16211F"/>
                <w:sz w:val="19"/>
              </w:rPr>
              <w:t>business_id</w:t>
            </w:r>
          </w:p>
        </w:tc>
        <w:tc>
          <w:tcPr>
            <w:tcW w:type="dxa" w:w="4608"/>
          </w:tcPr>
          <w:p>
            <w:pPr>
              <w:keepNext/>
              <w:spacing w:line="276" w:lineRule="auto" w:after="0"/>
            </w:pPr>
            <w:r>
              <w:rPr>
                <w:rFonts w:ascii="Calibri" w:hAnsi="Calibri" w:cs="Calibri"/>
                <w:b w:val="0"/>
                <w:color w:val="16211F"/>
                <w:sz w:val="19"/>
              </w:rPr>
              <w:t>The retail owner's business unit — one store, one brand, or one regional chain treated as a single P&amp;L</w:t>
            </w:r>
          </w:p>
        </w:tc>
        <w:tc>
          <w:tcPr>
            <w:tcW w:type="dxa" w:w="4752"/>
          </w:tcPr>
          <w:p>
            <w:pPr>
              <w:keepNext/>
              <w:spacing w:line="276" w:lineRule="auto" w:after="0"/>
            </w:pPr>
            <w:r>
              <w:rPr>
                <w:rFonts w:ascii="Calibri" w:hAnsi="Calibri" w:cs="Calibri"/>
                <w:b w:val="0"/>
                <w:color w:val="16211F"/>
                <w:sz w:val="19"/>
              </w:rPr>
              <w:t>Scopes every other object. Tenant boundary and the subject of BOTTLENECK_DIAGNOSIS</w:t>
            </w:r>
          </w:p>
        </w:tc>
      </w:tr>
      <w:tr>
        <w:trPr>
          <w:cantSplit w:val="true"/>
        </w:trPr>
        <w:tc>
          <w:tcPr>
            <w:tcW w:type="dxa" w:w="1656"/>
            <w:shd w:val="clear" w:color="auto" w:fill="F1F3F2"/>
          </w:tcPr>
          <w:p>
            <w:pPr>
              <w:spacing w:line="276" w:lineRule="auto" w:after="0"/>
            </w:pPr>
            <w:r>
              <w:rPr>
                <w:rFonts w:ascii="Calibri" w:hAnsi="Calibri" w:cs="Calibri"/>
                <w:b w:val="0"/>
                <w:color w:val="16211F"/>
                <w:sz w:val="19"/>
              </w:rPr>
              <w:t>Product</w:t>
            </w:r>
          </w:p>
        </w:tc>
        <w:tc>
          <w:tcPr>
            <w:tcW w:type="dxa" w:w="1008"/>
            <w:shd w:val="clear" w:color="auto" w:fill="F1F3F2"/>
          </w:tcPr>
          <w:p>
            <w:pPr>
              <w:spacing w:line="276" w:lineRule="auto" w:after="0"/>
            </w:pPr>
            <w:r>
              <w:rPr>
                <w:rFonts w:ascii="Calibri" w:hAnsi="Calibri" w:cs="Calibri"/>
                <w:b w:val="0"/>
                <w:color w:val="16211F"/>
                <w:sz w:val="19"/>
              </w:rPr>
              <w:t>entity</w:t>
            </w:r>
          </w:p>
        </w:tc>
        <w:tc>
          <w:tcPr>
            <w:tcW w:type="dxa" w:w="2016"/>
            <w:shd w:val="clear" w:color="auto" w:fill="F1F3F2"/>
          </w:tcPr>
          <w:p>
            <w:pPr>
              <w:spacing w:line="276" w:lineRule="auto" w:after="0"/>
            </w:pPr>
            <w:r>
              <w:rPr>
                <w:rFonts w:ascii="Consolas" w:hAnsi="Consolas" w:cs="Consolas"/>
                <w:b w:val="0"/>
                <w:color w:val="16211F"/>
                <w:sz w:val="19"/>
              </w:rPr>
              <w:t>product_id</w:t>
            </w:r>
          </w:p>
        </w:tc>
        <w:tc>
          <w:tcPr>
            <w:tcW w:type="dxa" w:w="4608"/>
            <w:shd w:val="clear" w:color="auto" w:fill="F1F3F2"/>
          </w:tcPr>
          <w:p>
            <w:pPr>
              <w:spacing w:line="276" w:lineRule="auto" w:after="0"/>
            </w:pPr>
            <w:r>
              <w:rPr>
                <w:rFonts w:ascii="Calibri" w:hAnsi="Calibri" w:cs="Calibri"/>
                <w:b w:val="0"/>
                <w:color w:val="16211F"/>
                <w:sz w:val="19"/>
              </w:rPr>
              <w:t>A sellable item (SKU) with a price and a cost</w:t>
            </w:r>
          </w:p>
        </w:tc>
        <w:tc>
          <w:tcPr>
            <w:tcW w:type="dxa" w:w="4752"/>
            <w:shd w:val="clear" w:color="auto" w:fill="F1F3F2"/>
          </w:tcPr>
          <w:p>
            <w:pPr>
              <w:spacing w:line="276" w:lineRule="auto" w:after="0"/>
            </w:pPr>
            <w:r>
              <w:rPr>
                <w:rFonts w:ascii="Calibri" w:hAnsi="Calibri" w:cs="Calibri"/>
                <w:b w:val="0"/>
                <w:color w:val="16211F"/>
                <w:sz w:val="19"/>
              </w:rPr>
              <w:t>Revenue, margin and inventory findings are attributed at this grain</w:t>
            </w:r>
          </w:p>
        </w:tc>
      </w:tr>
      <w:tr>
        <w:trPr>
          <w:cantSplit w:val="true"/>
        </w:trPr>
        <w:tc>
          <w:tcPr>
            <w:tcW w:type="dxa" w:w="1656"/>
          </w:tcPr>
          <w:p>
            <w:pPr>
              <w:spacing w:line="276" w:lineRule="auto" w:after="0"/>
            </w:pPr>
            <w:r>
              <w:rPr>
                <w:rFonts w:ascii="Calibri" w:hAnsi="Calibri" w:cs="Calibri"/>
                <w:b w:val="0"/>
                <w:color w:val="16211F"/>
                <w:sz w:val="19"/>
              </w:rPr>
              <w:t>Sale</w:t>
            </w:r>
          </w:p>
        </w:tc>
        <w:tc>
          <w:tcPr>
            <w:tcW w:type="dxa" w:w="1008"/>
          </w:tcPr>
          <w:p>
            <w:pPr>
              <w:spacing w:line="276" w:lineRule="auto" w:after="0"/>
            </w:pPr>
            <w:r>
              <w:rPr>
                <w:rFonts w:ascii="Calibri" w:hAnsi="Calibri" w:cs="Calibri"/>
                <w:b w:val="0"/>
                <w:color w:val="16211F"/>
                <w:sz w:val="19"/>
              </w:rPr>
              <w:t>event</w:t>
            </w:r>
          </w:p>
        </w:tc>
        <w:tc>
          <w:tcPr>
            <w:tcW w:type="dxa" w:w="2016"/>
          </w:tcPr>
          <w:p>
            <w:pPr>
              <w:spacing w:line="276" w:lineRule="auto" w:after="0"/>
            </w:pPr>
            <w:r>
              <w:rPr>
                <w:rFonts w:ascii="Consolas" w:hAnsi="Consolas" w:cs="Consolas"/>
                <w:b w:val="0"/>
                <w:color w:val="16211F"/>
                <w:sz w:val="19"/>
              </w:rPr>
              <w:t>sale_id</w:t>
            </w:r>
          </w:p>
        </w:tc>
        <w:tc>
          <w:tcPr>
            <w:tcW w:type="dxa" w:w="4608"/>
          </w:tcPr>
          <w:p>
            <w:pPr>
              <w:spacing w:line="276" w:lineRule="auto" w:after="0"/>
            </w:pPr>
            <w:r>
              <w:rPr>
                <w:rFonts w:ascii="Calibri" w:hAnsi="Calibri" w:cs="Calibri"/>
                <w:b w:val="0"/>
                <w:color w:val="16211F"/>
                <w:sz w:val="19"/>
              </w:rPr>
              <w:t>One transaction line: a product sold to a customer through a channel at a time</w:t>
            </w:r>
          </w:p>
        </w:tc>
        <w:tc>
          <w:tcPr>
            <w:tcW w:type="dxa" w:w="4752"/>
          </w:tcPr>
          <w:p>
            <w:pPr>
              <w:spacing w:line="276" w:lineRule="auto" w:after="0"/>
            </w:pPr>
            <w:r>
              <w:rPr>
                <w:rFonts w:ascii="Calibri" w:hAnsi="Calibri" w:cs="Calibri"/>
                <w:b w:val="0"/>
                <w:color w:val="16211F"/>
                <w:sz w:val="19"/>
              </w:rPr>
              <w:t>The raw fact from which most Phase 1 evidence is calculated</w:t>
            </w:r>
          </w:p>
        </w:tc>
      </w:tr>
      <w:tr>
        <w:trPr>
          <w:cantSplit w:val="true"/>
        </w:trPr>
        <w:tc>
          <w:tcPr>
            <w:tcW w:type="dxa" w:w="1656"/>
            <w:shd w:val="clear" w:color="auto" w:fill="F1F3F2"/>
          </w:tcPr>
          <w:p>
            <w:pPr>
              <w:spacing w:line="276" w:lineRule="auto" w:after="0"/>
            </w:pPr>
            <w:r>
              <w:rPr>
                <w:rFonts w:ascii="Calibri" w:hAnsi="Calibri" w:cs="Calibri"/>
                <w:b w:val="0"/>
                <w:color w:val="16211F"/>
                <w:sz w:val="19"/>
              </w:rPr>
              <w:t>Customer</w:t>
            </w:r>
          </w:p>
        </w:tc>
        <w:tc>
          <w:tcPr>
            <w:tcW w:type="dxa" w:w="1008"/>
            <w:shd w:val="clear" w:color="auto" w:fill="F1F3F2"/>
          </w:tcPr>
          <w:p>
            <w:pPr>
              <w:spacing w:line="276" w:lineRule="auto" w:after="0"/>
            </w:pPr>
            <w:r>
              <w:rPr>
                <w:rFonts w:ascii="Calibri" w:hAnsi="Calibri" w:cs="Calibri"/>
                <w:b w:val="0"/>
                <w:color w:val="16211F"/>
                <w:sz w:val="19"/>
              </w:rPr>
              <w:t>entity</w:t>
            </w:r>
          </w:p>
        </w:tc>
        <w:tc>
          <w:tcPr>
            <w:tcW w:type="dxa" w:w="2016"/>
            <w:shd w:val="clear" w:color="auto" w:fill="F1F3F2"/>
          </w:tcPr>
          <w:p>
            <w:pPr>
              <w:spacing w:line="276" w:lineRule="auto" w:after="0"/>
            </w:pPr>
            <w:r>
              <w:rPr>
                <w:rFonts w:ascii="Consolas" w:hAnsi="Consolas" w:cs="Consolas"/>
                <w:b w:val="0"/>
                <w:color w:val="16211F"/>
                <w:sz w:val="19"/>
              </w:rPr>
              <w:t>customer_id</w:t>
            </w:r>
          </w:p>
        </w:tc>
        <w:tc>
          <w:tcPr>
            <w:tcW w:type="dxa" w:w="4608"/>
            <w:shd w:val="clear" w:color="auto" w:fill="F1F3F2"/>
          </w:tcPr>
          <w:p>
            <w:pPr>
              <w:spacing w:line="276" w:lineRule="auto" w:after="0"/>
            </w:pPr>
            <w:r>
              <w:rPr>
                <w:rFonts w:ascii="Calibri" w:hAnsi="Calibri" w:cs="Calibri"/>
                <w:b w:val="0"/>
                <w:color w:val="16211F"/>
                <w:sz w:val="19"/>
              </w:rPr>
              <w:t>A buyer, grouped into acquisition cohorts</w:t>
            </w:r>
          </w:p>
        </w:tc>
        <w:tc>
          <w:tcPr>
            <w:tcW w:type="dxa" w:w="4752"/>
            <w:shd w:val="clear" w:color="auto" w:fill="F1F3F2"/>
          </w:tcPr>
          <w:p>
            <w:pPr>
              <w:spacing w:line="276" w:lineRule="auto" w:after="0"/>
            </w:pPr>
            <w:r>
              <w:rPr>
                <w:rFonts w:ascii="Calibri" w:hAnsi="Calibri" w:cs="Calibri"/>
                <w:b w:val="0"/>
                <w:color w:val="16211F"/>
                <w:sz w:val="19"/>
              </w:rPr>
              <w:t>Retention, churn, CLV and CAC are meaningless without a stable buyer identity</w:t>
            </w:r>
          </w:p>
        </w:tc>
      </w:tr>
      <w:tr>
        <w:trPr>
          <w:cantSplit w:val="true"/>
        </w:trPr>
        <w:tc>
          <w:tcPr>
            <w:tcW w:type="dxa" w:w="1656"/>
          </w:tcPr>
          <w:p>
            <w:pPr>
              <w:spacing w:line="276" w:lineRule="auto" w:after="0"/>
            </w:pPr>
            <w:r>
              <w:rPr>
                <w:rFonts w:ascii="Calibri" w:hAnsi="Calibri" w:cs="Calibri"/>
                <w:b w:val="0"/>
                <w:color w:val="16211F"/>
                <w:sz w:val="19"/>
              </w:rPr>
              <w:t>Inventory</w:t>
            </w:r>
          </w:p>
        </w:tc>
        <w:tc>
          <w:tcPr>
            <w:tcW w:type="dxa" w:w="1008"/>
          </w:tcPr>
          <w:p>
            <w:pPr>
              <w:spacing w:line="276" w:lineRule="auto" w:after="0"/>
            </w:pPr>
            <w:r>
              <w:rPr>
                <w:rFonts w:ascii="Calibri" w:hAnsi="Calibri" w:cs="Calibri"/>
                <w:b w:val="0"/>
                <w:color w:val="16211F"/>
                <w:sz w:val="19"/>
              </w:rPr>
              <w:t>entity</w:t>
            </w:r>
          </w:p>
        </w:tc>
        <w:tc>
          <w:tcPr>
            <w:tcW w:type="dxa" w:w="2016"/>
          </w:tcPr>
          <w:p>
            <w:pPr>
              <w:spacing w:line="276" w:lineRule="auto" w:after="0"/>
            </w:pPr>
            <w:r>
              <w:rPr>
                <w:rFonts w:ascii="Consolas" w:hAnsi="Consolas" w:cs="Consolas"/>
                <w:b w:val="0"/>
                <w:color w:val="16211F"/>
                <w:sz w:val="19"/>
              </w:rPr>
              <w:t>inventory_id</w:t>
            </w:r>
          </w:p>
        </w:tc>
        <w:tc>
          <w:tcPr>
            <w:tcW w:type="dxa" w:w="4608"/>
          </w:tcPr>
          <w:p>
            <w:pPr>
              <w:spacing w:line="276" w:lineRule="auto" w:after="0"/>
            </w:pPr>
            <w:r>
              <w:rPr>
                <w:rFonts w:ascii="Calibri" w:hAnsi="Calibri" w:cs="Calibri"/>
                <w:b w:val="0"/>
                <w:color w:val="16211F"/>
                <w:sz w:val="19"/>
              </w:rPr>
              <w:t>A stock holding of a product at a location as of a date</w:t>
            </w:r>
          </w:p>
        </w:tc>
        <w:tc>
          <w:tcPr>
            <w:tcW w:type="dxa" w:w="4752"/>
          </w:tcPr>
          <w:p>
            <w:pPr>
              <w:spacing w:line="276" w:lineRule="auto" w:after="0"/>
            </w:pPr>
            <w:r>
              <w:rPr>
                <w:rFonts w:ascii="Calibri" w:hAnsi="Calibri" w:cs="Calibri"/>
                <w:b w:val="0"/>
                <w:color w:val="16211F"/>
                <w:sz w:val="19"/>
              </w:rPr>
              <w:t>Turnover, ageing and stockouts are operational bottlenecks the sales ledger cannot show</w:t>
            </w:r>
          </w:p>
        </w:tc>
      </w:tr>
      <w:tr>
        <w:trPr>
          <w:cantSplit w:val="true"/>
        </w:trPr>
        <w:tc>
          <w:tcPr>
            <w:tcW w:type="dxa" w:w="1656"/>
            <w:shd w:val="clear" w:color="auto" w:fill="F1F3F2"/>
          </w:tcPr>
          <w:p>
            <w:pPr>
              <w:spacing w:line="276" w:lineRule="auto" w:after="0"/>
            </w:pPr>
            <w:r>
              <w:rPr>
                <w:rFonts w:ascii="Calibri" w:hAnsi="Calibri" w:cs="Calibri"/>
                <w:b w:val="0"/>
                <w:color w:val="16211F"/>
                <w:sz w:val="19"/>
              </w:rPr>
              <w:t>Evidence</w:t>
            </w:r>
          </w:p>
        </w:tc>
        <w:tc>
          <w:tcPr>
            <w:tcW w:type="dxa" w:w="1008"/>
            <w:shd w:val="clear" w:color="auto" w:fill="F1F3F2"/>
          </w:tcPr>
          <w:p>
            <w:pPr>
              <w:spacing w:line="276" w:lineRule="auto" w:after="0"/>
            </w:pPr>
            <w:r>
              <w:rPr>
                <w:rFonts w:ascii="Calibri" w:hAnsi="Calibri" w:cs="Calibri"/>
                <w:b w:val="0"/>
                <w:color w:val="16211F"/>
                <w:sz w:val="19"/>
              </w:rPr>
              <w:t>event</w:t>
            </w:r>
          </w:p>
        </w:tc>
        <w:tc>
          <w:tcPr>
            <w:tcW w:type="dxa" w:w="2016"/>
            <w:shd w:val="clear" w:color="auto" w:fill="F1F3F2"/>
          </w:tcPr>
          <w:p>
            <w:pPr>
              <w:spacing w:line="276" w:lineRule="auto" w:after="0"/>
            </w:pPr>
            <w:r>
              <w:rPr>
                <w:rFonts w:ascii="Consolas" w:hAnsi="Consolas" w:cs="Consolas"/>
                <w:b w:val="0"/>
                <w:color w:val="16211F"/>
                <w:sz w:val="19"/>
              </w:rPr>
              <w:t>evidence_id</w:t>
            </w:r>
          </w:p>
        </w:tc>
        <w:tc>
          <w:tcPr>
            <w:tcW w:type="dxa" w:w="4608"/>
            <w:shd w:val="clear" w:color="auto" w:fill="F1F3F2"/>
          </w:tcPr>
          <w:p>
            <w:pPr>
              <w:spacing w:line="276" w:lineRule="auto" w:after="0"/>
            </w:pPr>
            <w:r>
              <w:rPr>
                <w:rFonts w:ascii="Calibri" w:hAnsi="Calibri" w:cs="Calibri"/>
                <w:b w:val="0"/>
                <w:color w:val="16211F"/>
                <w:sz w:val="19"/>
              </w:rPr>
              <w:t>A sourced statement about a subject: revenue, churn, margin, benchmark, etc.</w:t>
            </w:r>
          </w:p>
        </w:tc>
        <w:tc>
          <w:tcPr>
            <w:tcW w:type="dxa" w:w="4752"/>
            <w:shd w:val="clear" w:color="auto" w:fill="F1F3F2"/>
          </w:tcPr>
          <w:p>
            <w:pPr>
              <w:spacing w:line="276" w:lineRule="auto" w:after="0"/>
            </w:pPr>
            <w:r>
              <w:rPr>
                <w:rFonts w:ascii="Calibri" w:hAnsi="Calibri" w:cs="Calibri"/>
                <w:b w:val="0"/>
                <w:color w:val="16211F"/>
                <w:sz w:val="19"/>
              </w:rPr>
              <w:t>Decisions read evidence, not tables. Separating the two makes provenance and versioning explicit</w:t>
            </w:r>
          </w:p>
        </w:tc>
      </w:tr>
      <w:tr>
        <w:trPr>
          <w:cantSplit w:val="true"/>
        </w:trPr>
        <w:tc>
          <w:tcPr>
            <w:tcW w:type="dxa" w:w="1656"/>
          </w:tcPr>
          <w:p>
            <w:pPr>
              <w:spacing w:line="276" w:lineRule="auto" w:after="0"/>
            </w:pPr>
            <w:r>
              <w:rPr>
                <w:rFonts w:ascii="Calibri" w:hAnsi="Calibri" w:cs="Calibri"/>
                <w:b w:val="0"/>
                <w:color w:val="16211F"/>
                <w:sz w:val="19"/>
              </w:rPr>
              <w:t>Bottleneck</w:t>
            </w:r>
          </w:p>
        </w:tc>
        <w:tc>
          <w:tcPr>
            <w:tcW w:type="dxa" w:w="1008"/>
          </w:tcPr>
          <w:p>
            <w:pPr>
              <w:spacing w:line="276" w:lineRule="auto" w:after="0"/>
            </w:pPr>
            <w:r>
              <w:rPr>
                <w:rFonts w:ascii="Calibri" w:hAnsi="Calibri" w:cs="Calibri"/>
                <w:b w:val="0"/>
                <w:color w:val="16211F"/>
                <w:sz w:val="19"/>
              </w:rPr>
              <w:t>entity</w:t>
            </w:r>
          </w:p>
        </w:tc>
        <w:tc>
          <w:tcPr>
            <w:tcW w:type="dxa" w:w="2016"/>
          </w:tcPr>
          <w:p>
            <w:pPr>
              <w:spacing w:line="276" w:lineRule="auto" w:after="0"/>
            </w:pPr>
            <w:r>
              <w:rPr>
                <w:rFonts w:ascii="Consolas" w:hAnsi="Consolas" w:cs="Consolas"/>
                <w:b w:val="0"/>
                <w:color w:val="16211F"/>
                <w:sz w:val="19"/>
              </w:rPr>
              <w:t>bottleneck_id</w:t>
            </w:r>
          </w:p>
        </w:tc>
        <w:tc>
          <w:tcPr>
            <w:tcW w:type="dxa" w:w="4608"/>
          </w:tcPr>
          <w:p>
            <w:pPr>
              <w:spacing w:line="276" w:lineRule="auto" w:after="0"/>
            </w:pPr>
            <w:r>
              <w:rPr>
                <w:rFonts w:ascii="Calibri" w:hAnsi="Calibri" w:cs="Calibri"/>
                <w:b w:val="0"/>
                <w:color w:val="16211F"/>
                <w:sz w:val="19"/>
              </w:rPr>
              <w:t>The diagnosed #1 growth constraint for a business</w:t>
            </w:r>
          </w:p>
        </w:tc>
        <w:tc>
          <w:tcPr>
            <w:tcW w:type="dxa" w:w="4752"/>
          </w:tcPr>
          <w:p>
            <w:pPr>
              <w:spacing w:line="276" w:lineRule="auto" w:after="0"/>
            </w:pPr>
            <w:r>
              <w:rPr>
                <w:rFonts w:ascii="Calibri" w:hAnsi="Calibri" w:cs="Calibri"/>
                <w:b w:val="0"/>
                <w:color w:val="16211F"/>
                <w:sz w:val="19"/>
              </w:rPr>
              <w:t>Names the single thing to fix first; the subject RECOMMENDATION_ASSESSMENT works on</w:t>
            </w:r>
          </w:p>
        </w:tc>
      </w:tr>
      <w:tr>
        <w:trPr>
          <w:cantSplit w:val="true"/>
        </w:trPr>
        <w:tc>
          <w:tcPr>
            <w:tcW w:type="dxa" w:w="1656"/>
            <w:shd w:val="clear" w:color="auto" w:fill="F1F3F2"/>
          </w:tcPr>
          <w:p>
            <w:pPr>
              <w:spacing w:line="276" w:lineRule="auto" w:after="0"/>
            </w:pPr>
            <w:r>
              <w:rPr>
                <w:rFonts w:ascii="Calibri" w:hAnsi="Calibri" w:cs="Calibri"/>
                <w:b w:val="0"/>
                <w:color w:val="16211F"/>
                <w:sz w:val="19"/>
              </w:rPr>
              <w:t>Recommendation</w:t>
            </w:r>
          </w:p>
        </w:tc>
        <w:tc>
          <w:tcPr>
            <w:tcW w:type="dxa" w:w="1008"/>
            <w:shd w:val="clear" w:color="auto" w:fill="F1F3F2"/>
          </w:tcPr>
          <w:p>
            <w:pPr>
              <w:spacing w:line="276" w:lineRule="auto" w:after="0"/>
            </w:pPr>
            <w:r>
              <w:rPr>
                <w:rFonts w:ascii="Calibri" w:hAnsi="Calibri" w:cs="Calibri"/>
                <w:b w:val="0"/>
                <w:color w:val="16211F"/>
                <w:sz w:val="19"/>
              </w:rPr>
              <w:t>entity</w:t>
            </w:r>
          </w:p>
        </w:tc>
        <w:tc>
          <w:tcPr>
            <w:tcW w:type="dxa" w:w="2016"/>
            <w:shd w:val="clear" w:color="auto" w:fill="F1F3F2"/>
          </w:tcPr>
          <w:p>
            <w:pPr>
              <w:spacing w:line="276" w:lineRule="auto" w:after="0"/>
            </w:pPr>
            <w:r>
              <w:rPr>
                <w:rFonts w:ascii="Consolas" w:hAnsi="Consolas" w:cs="Consolas"/>
                <w:b w:val="0"/>
                <w:color w:val="16211F"/>
                <w:sz w:val="19"/>
              </w:rPr>
              <w:t>recommendation_id</w:t>
            </w:r>
          </w:p>
        </w:tc>
        <w:tc>
          <w:tcPr>
            <w:tcW w:type="dxa" w:w="4608"/>
            <w:shd w:val="clear" w:color="auto" w:fill="F1F3F2"/>
          </w:tcPr>
          <w:p>
            <w:pPr>
              <w:spacing w:line="276" w:lineRule="auto" w:after="0"/>
            </w:pPr>
            <w:r>
              <w:rPr>
                <w:rFonts w:ascii="Calibri" w:hAnsi="Calibri" w:cs="Calibri"/>
                <w:b w:val="0"/>
                <w:color w:val="16211F"/>
                <w:sz w:val="19"/>
              </w:rPr>
              <w:t>A proposed action against a bottleneck, with investment, impact and payback</w:t>
            </w:r>
          </w:p>
        </w:tc>
        <w:tc>
          <w:tcPr>
            <w:tcW w:type="dxa" w:w="4752"/>
            <w:shd w:val="clear" w:color="auto" w:fill="F1F3F2"/>
          </w:tcPr>
          <w:p>
            <w:pPr>
              <w:spacing w:line="276" w:lineRule="auto" w:after="0"/>
            </w:pPr>
            <w:r>
              <w:rPr>
                <w:rFonts w:ascii="Calibri" w:hAnsi="Calibri" w:cs="Calibri"/>
                <w:b w:val="0"/>
                <w:color w:val="16211F"/>
                <w:sz w:val="19"/>
              </w:rPr>
              <w:t>The unit the owner reads and ranks. Exists apart from Action so proposals can be declined</w:t>
            </w:r>
          </w:p>
        </w:tc>
      </w:tr>
      <w:tr>
        <w:trPr>
          <w:cantSplit w:val="true"/>
        </w:trPr>
        <w:tc>
          <w:tcPr>
            <w:tcW w:type="dxa" w:w="1656"/>
          </w:tcPr>
          <w:p>
            <w:pPr>
              <w:keepNext/>
              <w:spacing w:line="276" w:lineRule="auto" w:after="0"/>
            </w:pPr>
            <w:r>
              <w:rPr>
                <w:rFonts w:ascii="Calibri" w:hAnsi="Calibri" w:cs="Calibri"/>
                <w:b w:val="0"/>
                <w:color w:val="16211F"/>
                <w:sz w:val="19"/>
              </w:rPr>
              <w:t>Decision</w:t>
            </w:r>
          </w:p>
        </w:tc>
        <w:tc>
          <w:tcPr>
            <w:tcW w:type="dxa" w:w="1008"/>
          </w:tcPr>
          <w:p>
            <w:pPr>
              <w:keepNext/>
              <w:spacing w:line="276" w:lineRule="auto" w:after="0"/>
            </w:pPr>
            <w:r>
              <w:rPr>
                <w:rFonts w:ascii="Calibri" w:hAnsi="Calibri" w:cs="Calibri"/>
                <w:b w:val="0"/>
                <w:color w:val="16211F"/>
                <w:sz w:val="19"/>
              </w:rPr>
              <w:t>system</w:t>
            </w:r>
          </w:p>
        </w:tc>
        <w:tc>
          <w:tcPr>
            <w:tcW w:type="dxa" w:w="2016"/>
          </w:tcPr>
          <w:p>
            <w:pPr>
              <w:keepNext/>
              <w:spacing w:line="276" w:lineRule="auto" w:after="0"/>
            </w:pPr>
            <w:r>
              <w:rPr>
                <w:rFonts w:ascii="Consolas" w:hAnsi="Consolas" w:cs="Consolas"/>
                <w:b w:val="0"/>
                <w:color w:val="16211F"/>
                <w:sz w:val="19"/>
              </w:rPr>
              <w:t>decision_id</w:t>
            </w:r>
          </w:p>
        </w:tc>
        <w:tc>
          <w:tcPr>
            <w:tcW w:type="dxa" w:w="4608"/>
          </w:tcPr>
          <w:p>
            <w:pPr>
              <w:keepNext/>
              <w:spacing w:line="276" w:lineRule="auto" w:after="0"/>
            </w:pPr>
            <w:r>
              <w:rPr>
                <w:rFonts w:ascii="Calibri" w:hAnsi="Calibri" w:cs="Calibri"/>
                <w:b w:val="0"/>
                <w:color w:val="16211F"/>
                <w:sz w:val="19"/>
              </w:rPr>
              <w:t>An auditable conclusion: BOTTLENECK_DIAGNOSIS or RECOMMENDATION_ASSESSMENT</w:t>
            </w:r>
          </w:p>
        </w:tc>
        <w:tc>
          <w:tcPr>
            <w:tcW w:type="dxa" w:w="4752"/>
          </w:tcPr>
          <w:p>
            <w:pPr>
              <w:keepNext/>
              <w:spacing w:line="276" w:lineRule="auto" w:after="0"/>
            </w:pPr>
            <w:r>
              <w:rPr>
                <w:rFonts w:ascii="Calibri" w:hAnsi="Calibri" w:cs="Calibri"/>
                <w:b w:val="0"/>
                <w:color w:val="16211F"/>
                <w:sz w:val="19"/>
              </w:rPr>
              <w:t>Carries inputs, digest and reasoning. Without it there is no audit trail and no replay</w:t>
            </w:r>
          </w:p>
        </w:tc>
      </w:tr>
      <w:tr>
        <w:trPr>
          <w:cantSplit w:val="true"/>
        </w:trPr>
        <w:tc>
          <w:tcPr>
            <w:tcW w:type="dxa" w:w="1656"/>
            <w:shd w:val="clear" w:color="auto" w:fill="F1F3F2"/>
          </w:tcPr>
          <w:p>
            <w:pPr>
              <w:spacing w:line="276" w:lineRule="auto" w:after="0"/>
            </w:pPr>
            <w:r>
              <w:rPr>
                <w:rFonts w:ascii="Calibri" w:hAnsi="Calibri" w:cs="Calibri"/>
                <w:b w:val="0"/>
                <w:color w:val="16211F"/>
                <w:sz w:val="19"/>
              </w:rPr>
              <w:t>Action</w:t>
            </w:r>
          </w:p>
        </w:tc>
        <w:tc>
          <w:tcPr>
            <w:tcW w:type="dxa" w:w="1008"/>
            <w:shd w:val="clear" w:color="auto" w:fill="F1F3F2"/>
          </w:tcPr>
          <w:p>
            <w:pPr>
              <w:spacing w:line="276" w:lineRule="auto" w:after="0"/>
            </w:pPr>
            <w:r>
              <w:rPr>
                <w:rFonts w:ascii="Calibri" w:hAnsi="Calibri" w:cs="Calibri"/>
                <w:b w:val="0"/>
                <w:color w:val="16211F"/>
                <w:sz w:val="19"/>
              </w:rPr>
              <w:t>system</w:t>
            </w:r>
          </w:p>
        </w:tc>
        <w:tc>
          <w:tcPr>
            <w:tcW w:type="dxa" w:w="2016"/>
            <w:shd w:val="clear" w:color="auto" w:fill="F1F3F2"/>
          </w:tcPr>
          <w:p>
            <w:pPr>
              <w:spacing w:line="276" w:lineRule="auto" w:after="0"/>
            </w:pPr>
            <w:r>
              <w:rPr>
                <w:rFonts w:ascii="Consolas" w:hAnsi="Consolas" w:cs="Consolas"/>
                <w:b w:val="0"/>
                <w:color w:val="16211F"/>
                <w:sz w:val="19"/>
              </w:rPr>
              <w:t>action_id</w:t>
            </w:r>
          </w:p>
        </w:tc>
        <w:tc>
          <w:tcPr>
            <w:tcW w:type="dxa" w:w="4608"/>
            <w:shd w:val="clear" w:color="auto" w:fill="F1F3F2"/>
          </w:tcPr>
          <w:p>
            <w:pPr>
              <w:spacing w:line="276" w:lineRule="auto" w:after="0"/>
            </w:pPr>
            <w:r>
              <w:rPr>
                <w:rFonts w:ascii="Calibri" w:hAnsi="Calibri" w:cs="Calibri"/>
                <w:b w:val="0"/>
                <w:color w:val="16211F"/>
                <w:sz w:val="19"/>
              </w:rPr>
              <w:t>What the business actually does in response to a decision</w:t>
            </w:r>
          </w:p>
        </w:tc>
        <w:tc>
          <w:tcPr>
            <w:tcW w:type="dxa" w:w="4752"/>
            <w:shd w:val="clear" w:color="auto" w:fill="F1F3F2"/>
          </w:tcPr>
          <w:p>
            <w:pPr>
              <w:spacing w:line="276" w:lineRule="auto" w:after="0"/>
            </w:pPr>
            <w:r>
              <w:rPr>
                <w:rFonts w:ascii="Calibri" w:hAnsi="Calibri" w:cs="Calibri"/>
                <w:b w:val="0"/>
                <w:color w:val="16211F"/>
                <w:sz w:val="19"/>
              </w:rPr>
              <w:t>Closes the loop: an action is authorised by a decision and produces new evidence</w:t>
            </w:r>
          </w:p>
        </w:tc>
      </w:tr>
    </w:tbl>
    <w:p>
      <w:pPr>
        <w:spacing w:after="40"/>
      </w:pPr>
    </w:p>
    <w:p>
      <w:pPr>
        <w:pStyle w:val="Heading2"/>
      </w:pPr>
      <w:r>
        <w:t>Properties</w:t>
      </w:r>
    </w:p>
    <w:p>
      <w:pPr>
        <w:keepNext w:val="0"/>
        <w:spacing w:after="0" w:line="360" w:lineRule="auto"/>
      </w:pPr>
      <w:r>
        <w:rPr>
          <w:rFonts w:ascii="Calibri" w:hAnsi="Calibri" w:cs="Calibri"/>
          <w:b w:val="0"/>
          <w:color w:val="5E6B68"/>
          <w:sz w:val="21"/>
        </w:rPr>
        <w:t xml:space="preserve">Every object carries </w:t>
      </w:r>
      <w:r>
        <w:rPr>
          <w:rFonts w:ascii="Consolas" w:hAnsi="Consolas" w:cs="Consolas"/>
          <w:b w:val="0"/>
          <w:color w:val="5E6B68"/>
          <w:sz w:val="21"/>
        </w:rPr>
        <w:t>business_id</w:t>
      </w:r>
      <w:r>
        <w:rPr>
          <w:rFonts w:ascii="Calibri" w:hAnsi="Calibri" w:cs="Calibri"/>
          <w:b w:val="0"/>
          <w:color w:val="5E6B68"/>
          <w:sz w:val="21"/>
        </w:rPr>
        <w:t xml:space="preserve"> (tenant scope), </w:t>
      </w:r>
      <w:r>
        <w:rPr>
          <w:rFonts w:ascii="Consolas" w:hAnsi="Consolas" w:cs="Consolas"/>
          <w:b w:val="0"/>
          <w:color w:val="5E6B68"/>
          <w:sz w:val="21"/>
        </w:rPr>
        <w:t>created_at</w:t>
      </w:r>
      <w:r>
        <w:rPr>
          <w:rFonts w:ascii="Calibri" w:hAnsi="Calibri" w:cs="Calibri"/>
          <w:b w:val="0"/>
          <w:color w:val="5E6B68"/>
          <w:sz w:val="21"/>
        </w:rPr>
        <w:t xml:space="preserve"> and </w:t>
      </w:r>
      <w:r>
        <w:rPr>
          <w:rFonts w:ascii="Consolas" w:hAnsi="Consolas" w:cs="Consolas"/>
          <w:b w:val="0"/>
          <w:color w:val="5E6B68"/>
          <w:sz w:val="21"/>
        </w:rPr>
        <w:t>updated_at</w:t>
      </w:r>
      <w:r>
        <w:rPr>
          <w:rFonts w:ascii="Calibri" w:hAnsi="Calibri" w:cs="Calibri"/>
          <w:b w:val="0"/>
          <w:color w:val="5E6B68"/>
          <w:sz w:val="21"/>
        </w:rPr>
        <w:t xml:space="preserve">. Listed once here; omitted from the rows below except for Business itself. Array-valued properties are shown with </w:t>
      </w:r>
      <w:r>
        <w:rPr>
          <w:rFonts w:ascii="Consolas" w:hAnsi="Consolas" w:cs="Consolas"/>
          <w:b w:val="0"/>
          <w:color w:val="5E6B68"/>
          <w:sz w:val="21"/>
        </w:rPr>
        <w:t>[]</w:t>
      </w:r>
      <w:r>
        <w:rPr>
          <w:rFonts w:ascii="Calibri" w:hAnsi="Calibri" w:cs="Calibri"/>
          <w:b w:val="0"/>
          <w:color w:val="5E6B68"/>
          <w:sz w:val="21"/>
        </w:rPr>
        <w:t xml:space="preserve">; structured properties with </w:t>
      </w:r>
      <w:r>
        <w:rPr>
          <w:rFonts w:ascii="Consolas" w:hAnsi="Consolas" w:cs="Consolas"/>
          <w:b w:val="0"/>
          <w:color w:val="5E6B68"/>
          <w:sz w:val="21"/>
        </w:rPr>
        <w:t>{}</w:t>
      </w:r>
      <w:r>
        <w:rPr>
          <w:rFonts w:ascii="Calibri" w:hAnsi="Calibri" w:cs="Calibri"/>
          <w:b w:val="0"/>
          <w:color w:val="5E6B68"/>
          <w:sz w:val="21"/>
        </w:rPr>
        <w:t>.</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7020"/>
        <w:gridCol w:w="7020"/>
      </w:tblGrid>
      <w:tr>
        <w:trPr>
          <w:tblHeader w:val="true"/>
          <w:cantSplit w:val="true"/>
        </w:trPr>
        <w:tc>
          <w:tcPr>
            <w:tcW w:type="dxa" w:w="1872"/>
            <w:shd w:val="clear" w:color="auto" w:fill="1C3A36"/>
          </w:tcPr>
          <w:p>
            <w:pPr>
              <w:keepNext/>
              <w:spacing w:line="276" w:lineRule="auto" w:after="0"/>
            </w:pPr>
            <w:r>
              <w:rPr>
                <w:rFonts w:ascii="Calibri" w:hAnsi="Calibri" w:cs="Calibri"/>
                <w:b/>
                <w:color w:val="FFFFFF"/>
                <w:sz w:val="19"/>
              </w:rPr>
              <w:t>Object</w:t>
            </w:r>
          </w:p>
        </w:tc>
        <w:tc>
          <w:tcPr>
            <w:tcW w:type="dxa" w:w="12168"/>
            <w:shd w:val="clear" w:color="auto" w:fill="1C3A36"/>
          </w:tcPr>
          <w:p>
            <w:pPr>
              <w:keepNext/>
              <w:spacing w:line="276" w:lineRule="auto" w:after="0"/>
            </w:pPr>
            <w:r>
              <w:rPr>
                <w:rFonts w:ascii="Calibri" w:hAnsi="Calibri" w:cs="Calibri"/>
                <w:b/>
                <w:color w:val="FFFFFF"/>
                <w:sz w:val="19"/>
              </w:rPr>
              <w:t>Properties</w:t>
            </w:r>
          </w:p>
        </w:tc>
      </w:tr>
      <w:tr>
        <w:trPr>
          <w:cantSplit w:val="true"/>
        </w:trPr>
        <w:tc>
          <w:tcPr>
            <w:tcW w:type="dxa" w:w="1872"/>
          </w:tcPr>
          <w:p>
            <w:pPr>
              <w:keepNext/>
              <w:spacing w:line="276" w:lineRule="auto" w:after="0"/>
            </w:pPr>
            <w:r>
              <w:rPr>
                <w:rFonts w:ascii="Calibri" w:hAnsi="Calibri" w:cs="Calibri"/>
                <w:b w:val="0"/>
                <w:color w:val="16211F"/>
                <w:sz w:val="19"/>
              </w:rPr>
              <w:t>Business</w:t>
            </w:r>
          </w:p>
        </w:tc>
        <w:tc>
          <w:tcPr>
            <w:tcW w:type="dxa" w:w="12168"/>
          </w:tcPr>
          <w:p>
            <w:pPr>
              <w:keepNext/>
              <w:spacing w:line="276" w:lineRule="auto" w:after="0"/>
            </w:pPr>
            <w:r>
              <w:rPr>
                <w:rFonts w:ascii="Consolas" w:hAnsi="Consolas" w:cs="Consolas"/>
                <w:b w:val="0"/>
                <w:color w:val="16211F"/>
                <w:sz w:val="19"/>
              </w:rPr>
              <w:t>business_id, name, revenue_monthly, channels[] (online | in_store | marketplace | wholesale), cogs_method (standard | fifo | average | unknown), goals{} (target_growth_pct, target_margin_pct, horizon_months), fiscal_year_start, currency, industry_segment, created_at, updated_at</w:t>
            </w:r>
          </w:p>
        </w:tc>
      </w:tr>
      <w:tr>
        <w:trPr>
          <w:cantSplit w:val="true"/>
        </w:trPr>
        <w:tc>
          <w:tcPr>
            <w:tcW w:type="dxa" w:w="1872"/>
            <w:shd w:val="clear" w:color="auto" w:fill="F1F3F2"/>
          </w:tcPr>
          <w:p>
            <w:pPr>
              <w:spacing w:line="276" w:lineRule="auto" w:after="0"/>
            </w:pPr>
            <w:r>
              <w:rPr>
                <w:rFonts w:ascii="Calibri" w:hAnsi="Calibri" w:cs="Calibri"/>
                <w:b w:val="0"/>
                <w:color w:val="16211F"/>
                <w:sz w:val="19"/>
              </w:rPr>
              <w:t>Product</w:t>
            </w:r>
          </w:p>
        </w:tc>
        <w:tc>
          <w:tcPr>
            <w:tcW w:type="dxa" w:w="12168"/>
            <w:shd w:val="clear" w:color="auto" w:fill="F1F3F2"/>
          </w:tcPr>
          <w:p>
            <w:pPr>
              <w:spacing w:line="276" w:lineRule="auto" w:after="0"/>
            </w:pPr>
            <w:r>
              <w:rPr>
                <w:rFonts w:ascii="Consolas" w:hAnsi="Consolas" w:cs="Consolas"/>
                <w:b w:val="0"/>
                <w:color w:val="16211F"/>
                <w:sz w:val="19"/>
              </w:rPr>
              <w:t>product_id, sku, name, category, unit_price, unit_cost, status (active | discontinued), launched_at, discontinued_at</w:t>
            </w:r>
          </w:p>
        </w:tc>
      </w:tr>
      <w:tr>
        <w:trPr>
          <w:cantSplit w:val="true"/>
        </w:trPr>
        <w:tc>
          <w:tcPr>
            <w:tcW w:type="dxa" w:w="1872"/>
          </w:tcPr>
          <w:p>
            <w:pPr>
              <w:spacing w:line="276" w:lineRule="auto" w:after="0"/>
            </w:pPr>
            <w:r>
              <w:rPr>
                <w:rFonts w:ascii="Calibri" w:hAnsi="Calibri" w:cs="Calibri"/>
                <w:b w:val="0"/>
                <w:color w:val="16211F"/>
                <w:sz w:val="19"/>
              </w:rPr>
              <w:t>Sale</w:t>
            </w:r>
          </w:p>
        </w:tc>
        <w:tc>
          <w:tcPr>
            <w:tcW w:type="dxa" w:w="12168"/>
          </w:tcPr>
          <w:p>
            <w:pPr>
              <w:spacing w:line="276" w:lineRule="auto" w:after="0"/>
            </w:pPr>
            <w:r>
              <w:rPr>
                <w:rFonts w:ascii="Consolas" w:hAnsi="Consolas" w:cs="Consolas"/>
                <w:b w:val="0"/>
                <w:color w:val="16211F"/>
                <w:sz w:val="19"/>
              </w:rPr>
              <w:t>sale_id, product_id, customer_id, channel, sold_at, quantity, gross_revenue, discount, net_revenue, cogs, returned (bool), returned_at, source (form | csv | shopify | woocommerce | square), ingested_at</w:t>
            </w:r>
          </w:p>
        </w:tc>
      </w:tr>
      <w:tr>
        <w:trPr>
          <w:cantSplit w:val="true"/>
        </w:trPr>
        <w:tc>
          <w:tcPr>
            <w:tcW w:type="dxa" w:w="1872"/>
            <w:shd w:val="clear" w:color="auto" w:fill="F1F3F2"/>
          </w:tcPr>
          <w:p>
            <w:pPr>
              <w:spacing w:line="276" w:lineRule="auto" w:after="0"/>
            </w:pPr>
            <w:r>
              <w:rPr>
                <w:rFonts w:ascii="Calibri" w:hAnsi="Calibri" w:cs="Calibri"/>
                <w:b w:val="0"/>
                <w:color w:val="16211F"/>
                <w:sz w:val="19"/>
              </w:rPr>
              <w:t>Customer</w:t>
            </w:r>
          </w:p>
        </w:tc>
        <w:tc>
          <w:tcPr>
            <w:tcW w:type="dxa" w:w="12168"/>
            <w:shd w:val="clear" w:color="auto" w:fill="F1F3F2"/>
          </w:tcPr>
          <w:p>
            <w:pPr>
              <w:spacing w:line="276" w:lineRule="auto" w:after="0"/>
            </w:pPr>
            <w:r>
              <w:rPr>
                <w:rFonts w:ascii="Consolas" w:hAnsi="Consolas" w:cs="Consolas"/>
                <w:b w:val="0"/>
                <w:color w:val="16211F"/>
                <w:sz w:val="19"/>
              </w:rPr>
              <w:t>customer_id, cohort (acquisition month, YYYY-MM), acquisition_channel, first_purchase_at, last_purchase_at, order_count, lifetime_revenue, status (active | lapsed | churned), external_ref (hashed)</w:t>
            </w:r>
          </w:p>
        </w:tc>
      </w:tr>
      <w:tr>
        <w:trPr>
          <w:cantSplit w:val="true"/>
        </w:trPr>
        <w:tc>
          <w:tcPr>
            <w:tcW w:type="dxa" w:w="1872"/>
          </w:tcPr>
          <w:p>
            <w:pPr>
              <w:spacing w:line="276" w:lineRule="auto" w:after="0"/>
            </w:pPr>
            <w:r>
              <w:rPr>
                <w:rFonts w:ascii="Calibri" w:hAnsi="Calibri" w:cs="Calibri"/>
                <w:b w:val="0"/>
                <w:color w:val="16211F"/>
                <w:sz w:val="19"/>
              </w:rPr>
              <w:t>Inventory</w:t>
            </w:r>
          </w:p>
        </w:tc>
        <w:tc>
          <w:tcPr>
            <w:tcW w:type="dxa" w:w="12168"/>
          </w:tcPr>
          <w:p>
            <w:pPr>
              <w:spacing w:line="276" w:lineRule="auto" w:after="0"/>
            </w:pPr>
            <w:r>
              <w:rPr>
                <w:rFonts w:ascii="Consolas" w:hAnsi="Consolas" w:cs="Consolas"/>
                <w:b w:val="0"/>
                <w:color w:val="16211F"/>
                <w:sz w:val="19"/>
              </w:rPr>
              <w:t>inventory_id, product_id, location, on_hand_qty, unit_cost, received_at, age_days, last_sold_at, as_of</w:t>
            </w:r>
          </w:p>
        </w:tc>
      </w:tr>
      <w:tr>
        <w:trPr>
          <w:cantSplit w:val="true"/>
        </w:trPr>
        <w:tc>
          <w:tcPr>
            <w:tcW w:type="dxa" w:w="1872"/>
            <w:shd w:val="clear" w:color="auto" w:fill="F1F3F2"/>
          </w:tcPr>
          <w:p>
            <w:pPr>
              <w:spacing w:line="276" w:lineRule="auto" w:after="0"/>
            </w:pPr>
            <w:r>
              <w:rPr>
                <w:rFonts w:ascii="Calibri" w:hAnsi="Calibri" w:cs="Calibri"/>
                <w:b w:val="0"/>
                <w:color w:val="16211F"/>
                <w:sz w:val="19"/>
              </w:rPr>
              <w:t>Evidence</w:t>
            </w:r>
          </w:p>
        </w:tc>
        <w:tc>
          <w:tcPr>
            <w:tcW w:type="dxa" w:w="12168"/>
            <w:shd w:val="clear" w:color="auto" w:fill="F1F3F2"/>
          </w:tcPr>
          <w:p>
            <w:pPr>
              <w:spacing w:line="276" w:lineRule="auto" w:after="0"/>
            </w:pPr>
            <w:r>
              <w:rPr>
                <w:rFonts w:ascii="Consolas" w:hAnsi="Consolas" w:cs="Consolas"/>
                <w:b w:val="0"/>
                <w:color w:val="16211F"/>
                <w:sz w:val="19"/>
              </w:rPr>
              <w:t>evidence_id, evidence_type (EV-01 … EV-20), subject_type (Business | Product | Customer | Inventory), subject_id, value, unit, period_start, period_end, state (present | absent | contradicted), provenance (observed | derived | asserted), source, asserted_by, version, asserted_at, contradiction_ref</w:t>
            </w:r>
          </w:p>
        </w:tc>
      </w:tr>
      <w:tr>
        <w:trPr>
          <w:cantSplit w:val="true"/>
        </w:trPr>
        <w:tc>
          <w:tcPr>
            <w:tcW w:type="dxa" w:w="1872"/>
          </w:tcPr>
          <w:p>
            <w:pPr>
              <w:spacing w:line="276" w:lineRule="auto" w:after="0"/>
            </w:pPr>
            <w:r>
              <w:rPr>
                <w:rFonts w:ascii="Calibri" w:hAnsi="Calibri" w:cs="Calibri"/>
                <w:b w:val="0"/>
                <w:color w:val="16211F"/>
                <w:sz w:val="19"/>
              </w:rPr>
              <w:t>Bottleneck</w:t>
            </w:r>
          </w:p>
        </w:tc>
        <w:tc>
          <w:tcPr>
            <w:tcW w:type="dxa" w:w="12168"/>
          </w:tcPr>
          <w:p>
            <w:pPr>
              <w:spacing w:line="276" w:lineRule="auto" w:after="0"/>
            </w:pPr>
            <w:r>
              <w:rPr>
                <w:rFonts w:ascii="Consolas" w:hAnsi="Consolas" w:cs="Consolas"/>
                <w:b w:val="0"/>
                <w:color w:val="16211F"/>
                <w:sz w:val="19"/>
              </w:rPr>
              <w:t>bottleneck_id, decision_id, category (RETENTION | MARGIN | INVENTORY | CHANNEL_MIX | CONVERSION | PRICING | ACQUISITION), name, severity_score (0.0–1.0), annual_opportunity_usd, root_cause_narrative, status (open | addressed | superseded), identified_at</w:t>
            </w:r>
          </w:p>
        </w:tc>
      </w:tr>
      <w:tr>
        <w:trPr>
          <w:cantSplit w:val="true"/>
        </w:trPr>
        <w:tc>
          <w:tcPr>
            <w:tcW w:type="dxa" w:w="1872"/>
            <w:shd w:val="clear" w:color="auto" w:fill="F1F3F2"/>
          </w:tcPr>
          <w:p>
            <w:pPr>
              <w:spacing w:line="276" w:lineRule="auto" w:after="0"/>
            </w:pPr>
            <w:r>
              <w:rPr>
                <w:rFonts w:ascii="Calibri" w:hAnsi="Calibri" w:cs="Calibri"/>
                <w:b w:val="0"/>
                <w:color w:val="16211F"/>
                <w:sz w:val="19"/>
              </w:rPr>
              <w:t>Recommendation</w:t>
            </w:r>
          </w:p>
        </w:tc>
        <w:tc>
          <w:tcPr>
            <w:tcW w:type="dxa" w:w="12168"/>
            <w:shd w:val="clear" w:color="auto" w:fill="F1F3F2"/>
          </w:tcPr>
          <w:p>
            <w:pPr>
              <w:spacing w:line="276" w:lineRule="auto" w:after="0"/>
            </w:pPr>
            <w:r>
              <w:rPr>
                <w:rFonts w:ascii="Consolas" w:hAnsi="Consolas" w:cs="Consolas"/>
                <w:b w:val="0"/>
                <w:color w:val="16211F"/>
                <w:sz w:val="19"/>
              </w:rPr>
              <w:t>recommendation_id, bottleneck_id, decision_id, rank (1–3), title, description, investment_usd, expected_impact_usd, payback_weeks, roi_score, prerequisites[], measurement_framework{} (metric, baseline, target, review_at), status (proposed | accepted | declined)</w:t>
            </w:r>
          </w:p>
        </w:tc>
      </w:tr>
      <w:tr>
        <w:trPr>
          <w:cantSplit w:val="true"/>
        </w:trPr>
        <w:tc>
          <w:tcPr>
            <w:tcW w:type="dxa" w:w="1872"/>
          </w:tcPr>
          <w:p>
            <w:pPr>
              <w:keepNext/>
              <w:spacing w:line="276" w:lineRule="auto" w:after="0"/>
            </w:pPr>
            <w:r>
              <w:rPr>
                <w:rFonts w:ascii="Calibri" w:hAnsi="Calibri" w:cs="Calibri"/>
                <w:b w:val="0"/>
                <w:color w:val="16211F"/>
                <w:sz w:val="19"/>
              </w:rPr>
              <w:t>Decision</w:t>
            </w:r>
          </w:p>
        </w:tc>
        <w:tc>
          <w:tcPr>
            <w:tcW w:type="dxa" w:w="12168"/>
          </w:tcPr>
          <w:p>
            <w:pPr>
              <w:keepNext/>
              <w:spacing w:line="276" w:lineRule="auto" w:after="0"/>
            </w:pPr>
            <w:r>
              <w:rPr>
                <w:rFonts w:ascii="Consolas" w:hAnsi="Consolas" w:cs="Consolas"/>
                <w:b w:val="0"/>
                <w:color w:val="16211F"/>
                <w:sz w:val="19"/>
              </w:rPr>
              <w:t>decision_id, decision_type, subject_type, subject_id, outcome, input_evidence{} (evidence_type → version), input_digest (SHA-256), reasoning{} (detector_scores, thresholds, root_cause_analysis), confidence_score (0.0–1.0), missing_evidence[], ontology_version, concluded_at</w:t>
            </w:r>
          </w:p>
        </w:tc>
      </w:tr>
      <w:tr>
        <w:trPr>
          <w:cantSplit w:val="true"/>
        </w:trPr>
        <w:tc>
          <w:tcPr>
            <w:tcW w:type="dxa" w:w="1872"/>
            <w:shd w:val="clear" w:color="auto" w:fill="F1F3F2"/>
          </w:tcPr>
          <w:p>
            <w:pPr>
              <w:spacing w:line="276" w:lineRule="auto" w:after="0"/>
            </w:pPr>
            <w:r>
              <w:rPr>
                <w:rFonts w:ascii="Calibri" w:hAnsi="Calibri" w:cs="Calibri"/>
                <w:b w:val="0"/>
                <w:color w:val="16211F"/>
                <w:sz w:val="19"/>
              </w:rPr>
              <w:t>Action</w:t>
            </w:r>
          </w:p>
        </w:tc>
        <w:tc>
          <w:tcPr>
            <w:tcW w:type="dxa" w:w="12168"/>
            <w:shd w:val="clear" w:color="auto" w:fill="F1F3F2"/>
          </w:tcPr>
          <w:p>
            <w:pPr>
              <w:spacing w:line="276" w:lineRule="auto" w:after="0"/>
            </w:pPr>
            <w:r>
              <w:rPr>
                <w:rFonts w:ascii="Consolas" w:hAnsi="Consolas" w:cs="Consolas"/>
                <w:b w:val="0"/>
                <w:color w:val="16211F"/>
                <w:sz w:val="19"/>
              </w:rPr>
              <w:t>action_id, decision_id, recommendation_id, action_type, description, status (planned | in_progress | done | abandoned), started_at, completed_at, recorded_by, outcome_evidence_ids[]</w:t>
            </w:r>
          </w:p>
        </w:tc>
      </w:tr>
    </w:tbl>
    <w:p>
      <w:pPr>
        <w:spacing w:after="40"/>
      </w:pPr>
    </w:p>
    <w:tbl>
      <w:tblPr>
        <w:tblW w:type="auto" w:w="0"/>
        <w:jc w:val="center"/>
        <w:tblLayout w:type="fixed"/>
        <w:tblLook w:firstColumn="1" w:firstRow="1" w:lastColumn="0" w:lastRow="0" w:noHBand="0" w:noVBand="1" w:val="04A0"/>
        <w:tblBorders>
          <w:top w:val="single" w:sz="2" w:color="DDEEEB"/>
          <w:left w:val="single" w:sz="18" w:color="1C8C7D"/>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8C7D"/>
                <w:sz w:val="20"/>
              </w:rPr>
              <w:t>PROPERTY, NOT OBJECT</w:t>
            </w:r>
          </w:p>
          <w:p>
            <w:pPr>
              <w:spacing w:line="276" w:lineRule="auto" w:after="60"/>
            </w:pPr>
            <w:r>
              <w:rPr>
                <w:rFonts w:ascii="Calibri" w:hAnsi="Calibri" w:cs="Calibri"/>
                <w:b w:val="0"/>
                <w:color w:val="16211F"/>
                <w:sz w:val="20"/>
              </w:rPr>
              <w:t>Channel, cohort and category are properties, not objects. A channel is a value on Sale; a cohort is a value on Customer; a category is a value on Product. They become dimensions of evidence (revenue by channel, churn by cohort) without needing identity of their own. If Phase 2 shows a channel needs its own lifecycle — fees, connectors, status — it is promoted to an object then. See §8.</w:t>
            </w:r>
          </w:p>
        </w:tc>
      </w:tr>
    </w:tbl>
    <w:p>
      <w:pPr>
        <w:spacing w:after="40"/>
      </w:pPr>
    </w:p>
    <w:p>
      <w:pPr>
        <w:pStyle w:val="Heading1"/>
        <w:spacing w:before="600"/>
        <w:pBdr>
          <w:top w:val="single" w:sz="12" w:space="10" w:color="1C8C7D"/>
        </w:pBdr>
      </w:pPr>
      <w:r>
        <w:t>3.  Links</w:t>
      </w:r>
    </w:p>
    <w:p>
      <w:pPr>
        <w:keepNext w:val="0"/>
        <w:spacing w:after="0" w:line="360" w:lineRule="auto"/>
      </w:pPr>
      <w:r>
        <w:rPr>
          <w:rFonts w:ascii="Calibri" w:hAnsi="Calibri" w:cs="Calibri"/>
          <w:b w:val="0"/>
          <w:color w:val="16211F"/>
          <w:sz w:val="22"/>
        </w:rPr>
        <w:t>Relations are first-class because the diagnosis is relational: a margin problem is a Product-to-Sale question, a retention problem is a Customer-to-Sale question. Each link states what it enforces, so the schema and the engine agree on what must be true before a decision can run.</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1656"/>
            <w:shd w:val="clear" w:color="auto" w:fill="1C3A36"/>
          </w:tcPr>
          <w:p>
            <w:pPr>
              <w:keepNext/>
              <w:spacing w:line="276" w:lineRule="auto" w:after="0"/>
            </w:pPr>
            <w:r>
              <w:rPr>
                <w:rFonts w:ascii="Calibri" w:hAnsi="Calibri" w:cs="Calibri"/>
                <w:b/>
                <w:color w:val="FFFFFF"/>
                <w:sz w:val="19"/>
              </w:rPr>
              <w:t>Link</w:t>
            </w:r>
          </w:p>
        </w:tc>
        <w:tc>
          <w:tcPr>
            <w:tcW w:type="dxa" w:w="1440"/>
            <w:shd w:val="clear" w:color="auto" w:fill="1C3A36"/>
          </w:tcPr>
          <w:p>
            <w:pPr>
              <w:keepNext/>
              <w:spacing w:line="276" w:lineRule="auto" w:after="0"/>
            </w:pPr>
            <w:r>
              <w:rPr>
                <w:rFonts w:ascii="Calibri" w:hAnsi="Calibri" w:cs="Calibri"/>
                <w:b/>
                <w:color w:val="FFFFFF"/>
                <w:sz w:val="19"/>
              </w:rPr>
              <w:t>From</w:t>
            </w:r>
          </w:p>
        </w:tc>
        <w:tc>
          <w:tcPr>
            <w:tcW w:type="dxa" w:w="2304"/>
            <w:shd w:val="clear" w:color="auto" w:fill="1C3A36"/>
          </w:tcPr>
          <w:p>
            <w:pPr>
              <w:keepNext/>
              <w:spacing w:line="276" w:lineRule="auto" w:after="0"/>
            </w:pPr>
            <w:r>
              <w:rPr>
                <w:rFonts w:ascii="Calibri" w:hAnsi="Calibri" w:cs="Calibri"/>
                <w:b/>
                <w:color w:val="FFFFFF"/>
                <w:sz w:val="19"/>
              </w:rPr>
              <w:t>To</w:t>
            </w:r>
          </w:p>
        </w:tc>
        <w:tc>
          <w:tcPr>
            <w:tcW w:type="dxa" w:w="792"/>
            <w:shd w:val="clear" w:color="auto" w:fill="1C3A36"/>
          </w:tcPr>
          <w:p>
            <w:pPr>
              <w:keepNext/>
              <w:spacing w:line="276" w:lineRule="auto" w:after="0"/>
            </w:pPr>
            <w:r>
              <w:rPr>
                <w:rFonts w:ascii="Calibri" w:hAnsi="Calibri" w:cs="Calibri"/>
                <w:b/>
                <w:color w:val="FFFFFF"/>
                <w:sz w:val="19"/>
              </w:rPr>
              <w:t>Card.</w:t>
            </w:r>
          </w:p>
        </w:tc>
        <w:tc>
          <w:tcPr>
            <w:tcW w:type="dxa" w:w="3456"/>
            <w:shd w:val="clear" w:color="auto" w:fill="1C3A36"/>
          </w:tcPr>
          <w:p>
            <w:pPr>
              <w:keepNext/>
              <w:spacing w:line="276" w:lineRule="auto" w:after="0"/>
            </w:pPr>
            <w:r>
              <w:rPr>
                <w:rFonts w:ascii="Calibri" w:hAnsi="Calibri" w:cs="Calibri"/>
                <w:b/>
                <w:color w:val="FFFFFF"/>
                <w:sz w:val="19"/>
              </w:rPr>
              <w:t>Meaning</w:t>
            </w:r>
          </w:p>
        </w:tc>
        <w:tc>
          <w:tcPr>
            <w:tcW w:type="dxa" w:w="4392"/>
            <w:shd w:val="clear" w:color="auto" w:fill="1C3A36"/>
          </w:tcPr>
          <w:p>
            <w:pPr>
              <w:keepNext/>
              <w:spacing w:line="276" w:lineRule="auto" w:after="0"/>
            </w:pPr>
            <w:r>
              <w:rPr>
                <w:rFonts w:ascii="Calibri" w:hAnsi="Calibri" w:cs="Calibri"/>
                <w:b/>
                <w:color w:val="FFFFFF"/>
                <w:sz w:val="19"/>
              </w:rPr>
              <w:t>What it enforces</w:t>
            </w:r>
          </w:p>
        </w:tc>
      </w:tr>
      <w:tr>
        <w:trPr>
          <w:cantSplit w:val="true"/>
        </w:trPr>
        <w:tc>
          <w:tcPr>
            <w:tcW w:type="dxa" w:w="1656"/>
          </w:tcPr>
          <w:p>
            <w:pPr>
              <w:keepNext/>
              <w:spacing w:line="276" w:lineRule="auto" w:after="0"/>
            </w:pPr>
            <w:r>
              <w:rPr>
                <w:rFonts w:ascii="Consolas" w:hAnsi="Consolas" w:cs="Consolas"/>
                <w:b w:val="0"/>
                <w:color w:val="16211F"/>
                <w:sz w:val="19"/>
              </w:rPr>
              <w:t>has_sales</w:t>
            </w:r>
          </w:p>
        </w:tc>
        <w:tc>
          <w:tcPr>
            <w:tcW w:type="dxa" w:w="1440"/>
          </w:tcPr>
          <w:p>
            <w:pPr>
              <w:keepNext/>
              <w:spacing w:line="276" w:lineRule="auto" w:after="0"/>
            </w:pPr>
            <w:r>
              <w:rPr>
                <w:rFonts w:ascii="Calibri" w:hAnsi="Calibri" w:cs="Calibri"/>
                <w:b w:val="0"/>
                <w:color w:val="16211F"/>
                <w:sz w:val="19"/>
              </w:rPr>
              <w:t>Business</w:t>
            </w:r>
          </w:p>
        </w:tc>
        <w:tc>
          <w:tcPr>
            <w:tcW w:type="dxa" w:w="2304"/>
          </w:tcPr>
          <w:p>
            <w:pPr>
              <w:keepNext/>
              <w:spacing w:line="276" w:lineRule="auto" w:after="0"/>
            </w:pPr>
            <w:r>
              <w:rPr>
                <w:rFonts w:ascii="Calibri" w:hAnsi="Calibri" w:cs="Calibri"/>
                <w:b w:val="0"/>
                <w:color w:val="16211F"/>
                <w:sz w:val="19"/>
              </w:rPr>
              <w:t>Sale</w:t>
            </w:r>
          </w:p>
        </w:tc>
        <w:tc>
          <w:tcPr>
            <w:tcW w:type="dxa" w:w="792"/>
          </w:tcPr>
          <w:p>
            <w:pPr>
              <w:keepNext/>
              <w:spacing w:line="276" w:lineRule="auto" w:after="0"/>
            </w:pPr>
            <w:r>
              <w:rPr>
                <w:rFonts w:ascii="Calibri" w:hAnsi="Calibri" w:cs="Calibri"/>
                <w:b w:val="0"/>
                <w:color w:val="16211F"/>
                <w:sz w:val="19"/>
              </w:rPr>
              <w:t>1..n</w:t>
            </w:r>
          </w:p>
        </w:tc>
        <w:tc>
          <w:tcPr>
            <w:tcW w:type="dxa" w:w="3456"/>
          </w:tcPr>
          <w:p>
            <w:pPr>
              <w:keepNext/>
              <w:spacing w:line="276" w:lineRule="auto" w:after="0"/>
            </w:pPr>
            <w:r>
              <w:rPr>
                <w:rFonts w:ascii="Calibri" w:hAnsi="Calibri" w:cs="Calibri"/>
                <w:b w:val="0"/>
                <w:color w:val="16211F"/>
                <w:sz w:val="19"/>
              </w:rPr>
              <w:t>A business has many transactions</w:t>
            </w:r>
          </w:p>
        </w:tc>
        <w:tc>
          <w:tcPr>
            <w:tcW w:type="dxa" w:w="4392"/>
          </w:tcPr>
          <w:p>
            <w:pPr>
              <w:keepNext/>
              <w:spacing w:line="276" w:lineRule="auto" w:after="0"/>
            </w:pPr>
            <w:r>
              <w:rPr>
                <w:rFonts w:ascii="Calibri" w:hAnsi="Calibri" w:cs="Calibri"/>
                <w:b w:val="0"/>
                <w:color w:val="16211F"/>
                <w:sz w:val="19"/>
              </w:rPr>
              <w:t>No Sale without a Business. Diagnosis needs ≥ 3 months of sales (§8) or returns CANNOT_DECIDE</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owns_products</w:t>
            </w:r>
          </w:p>
        </w:tc>
        <w:tc>
          <w:tcPr>
            <w:tcW w:type="dxa" w:w="1440"/>
            <w:shd w:val="clear" w:color="auto" w:fill="F1F3F2"/>
          </w:tcPr>
          <w:p>
            <w:pPr>
              <w:spacing w:line="276" w:lineRule="auto" w:after="0"/>
            </w:pPr>
            <w:r>
              <w:rPr>
                <w:rFonts w:ascii="Calibri" w:hAnsi="Calibri" w:cs="Calibri"/>
                <w:b w:val="0"/>
                <w:color w:val="16211F"/>
                <w:sz w:val="19"/>
              </w:rPr>
              <w:t>Business</w:t>
            </w:r>
          </w:p>
        </w:tc>
        <w:tc>
          <w:tcPr>
            <w:tcW w:type="dxa" w:w="2304"/>
            <w:shd w:val="clear" w:color="auto" w:fill="F1F3F2"/>
          </w:tcPr>
          <w:p>
            <w:pPr>
              <w:spacing w:line="276" w:lineRule="auto" w:after="0"/>
            </w:pPr>
            <w:r>
              <w:rPr>
                <w:rFonts w:ascii="Calibri" w:hAnsi="Calibri" w:cs="Calibri"/>
                <w:b w:val="0"/>
                <w:color w:val="16211F"/>
                <w:sz w:val="19"/>
              </w:rPr>
              <w:t>Product</w:t>
            </w:r>
          </w:p>
        </w:tc>
        <w:tc>
          <w:tcPr>
            <w:tcW w:type="dxa" w:w="792"/>
            <w:shd w:val="clear" w:color="auto" w:fill="F1F3F2"/>
          </w:tcPr>
          <w:p>
            <w:pPr>
              <w:spacing w:line="276" w:lineRule="auto" w:after="0"/>
            </w:pPr>
            <w:r>
              <w:rPr>
                <w:rFonts w:ascii="Calibri" w:hAnsi="Calibri" w:cs="Calibri"/>
                <w:b w:val="0"/>
                <w:color w:val="16211F"/>
                <w:sz w:val="19"/>
              </w:rPr>
              <w:t>1..n</w:t>
            </w:r>
          </w:p>
        </w:tc>
        <w:tc>
          <w:tcPr>
            <w:tcW w:type="dxa" w:w="3456"/>
            <w:shd w:val="clear" w:color="auto" w:fill="F1F3F2"/>
          </w:tcPr>
          <w:p>
            <w:pPr>
              <w:spacing w:line="276" w:lineRule="auto" w:after="0"/>
            </w:pPr>
            <w:r>
              <w:rPr>
                <w:rFonts w:ascii="Calibri" w:hAnsi="Calibri" w:cs="Calibri"/>
                <w:b w:val="0"/>
                <w:color w:val="16211F"/>
                <w:sz w:val="19"/>
              </w:rPr>
              <w:t>A business sells products</w:t>
            </w:r>
          </w:p>
        </w:tc>
        <w:tc>
          <w:tcPr>
            <w:tcW w:type="dxa" w:w="4392"/>
            <w:shd w:val="clear" w:color="auto" w:fill="F1F3F2"/>
          </w:tcPr>
          <w:p>
            <w:pPr>
              <w:spacing w:line="276" w:lineRule="auto" w:after="0"/>
            </w:pPr>
            <w:r>
              <w:rPr>
                <w:rFonts w:ascii="Calibri" w:hAnsi="Calibri" w:cs="Calibri"/>
                <w:b w:val="0"/>
                <w:color w:val="16211F"/>
                <w:sz w:val="19"/>
              </w:rPr>
              <w:t>Product identity is scoped to one business; the same SKU in two businesses is two Products</w:t>
            </w:r>
          </w:p>
        </w:tc>
      </w:tr>
      <w:tr>
        <w:trPr>
          <w:cantSplit w:val="true"/>
        </w:trPr>
        <w:tc>
          <w:tcPr>
            <w:tcW w:type="dxa" w:w="1656"/>
          </w:tcPr>
          <w:p>
            <w:pPr>
              <w:spacing w:line="276" w:lineRule="auto" w:after="0"/>
            </w:pPr>
            <w:r>
              <w:rPr>
                <w:rFonts w:ascii="Consolas" w:hAnsi="Consolas" w:cs="Consolas"/>
                <w:b w:val="0"/>
                <w:color w:val="16211F"/>
                <w:sz w:val="19"/>
              </w:rPr>
              <w:t>holds_inventory</w:t>
            </w:r>
          </w:p>
        </w:tc>
        <w:tc>
          <w:tcPr>
            <w:tcW w:type="dxa" w:w="1440"/>
          </w:tcPr>
          <w:p>
            <w:pPr>
              <w:spacing w:line="276" w:lineRule="auto" w:after="0"/>
            </w:pPr>
            <w:r>
              <w:rPr>
                <w:rFonts w:ascii="Calibri" w:hAnsi="Calibri" w:cs="Calibri"/>
                <w:b w:val="0"/>
                <w:color w:val="16211F"/>
                <w:sz w:val="19"/>
              </w:rPr>
              <w:t>Business</w:t>
            </w:r>
          </w:p>
        </w:tc>
        <w:tc>
          <w:tcPr>
            <w:tcW w:type="dxa" w:w="2304"/>
          </w:tcPr>
          <w:p>
            <w:pPr>
              <w:spacing w:line="276" w:lineRule="auto" w:after="0"/>
            </w:pPr>
            <w:r>
              <w:rPr>
                <w:rFonts w:ascii="Calibri" w:hAnsi="Calibri" w:cs="Calibri"/>
                <w:b w:val="0"/>
                <w:color w:val="16211F"/>
                <w:sz w:val="19"/>
              </w:rPr>
              <w:t>Inventory</w:t>
            </w:r>
          </w:p>
        </w:tc>
        <w:tc>
          <w:tcPr>
            <w:tcW w:type="dxa" w:w="792"/>
          </w:tcPr>
          <w:p>
            <w:pPr>
              <w:spacing w:line="276" w:lineRule="auto" w:after="0"/>
            </w:pPr>
            <w:r>
              <w:rPr>
                <w:rFonts w:ascii="Calibri" w:hAnsi="Calibri" w:cs="Calibri"/>
                <w:b w:val="0"/>
                <w:color w:val="16211F"/>
                <w:sz w:val="19"/>
              </w:rPr>
              <w:t>1..n</w:t>
            </w:r>
          </w:p>
        </w:tc>
        <w:tc>
          <w:tcPr>
            <w:tcW w:type="dxa" w:w="3456"/>
          </w:tcPr>
          <w:p>
            <w:pPr>
              <w:spacing w:line="276" w:lineRule="auto" w:after="0"/>
            </w:pPr>
            <w:r>
              <w:rPr>
                <w:rFonts w:ascii="Calibri" w:hAnsi="Calibri" w:cs="Calibri"/>
                <w:b w:val="0"/>
                <w:color w:val="16211F"/>
                <w:sz w:val="19"/>
              </w:rPr>
              <w:t>A business holds stock</w:t>
            </w:r>
          </w:p>
        </w:tc>
        <w:tc>
          <w:tcPr>
            <w:tcW w:type="dxa" w:w="4392"/>
          </w:tcPr>
          <w:p>
            <w:pPr>
              <w:spacing w:line="276" w:lineRule="auto" w:after="0"/>
            </w:pPr>
            <w:r>
              <w:rPr>
                <w:rFonts w:ascii="Calibri" w:hAnsi="Calibri" w:cs="Calibri"/>
                <w:b w:val="0"/>
                <w:color w:val="16211F"/>
                <w:sz w:val="19"/>
              </w:rPr>
              <w:t xml:space="preserve">Inventory is optional in Phase 1; absence makes operational evidence </w:t>
            </w:r>
            <w:r>
              <w:rPr>
                <w:rFonts w:ascii="Consolas" w:hAnsi="Consolas" w:cs="Consolas"/>
                <w:b w:val="0"/>
                <w:color w:val="16211F"/>
                <w:sz w:val="19"/>
              </w:rPr>
              <w:t>absent</w:t>
            </w:r>
            <w:r>
              <w:rPr>
                <w:rFonts w:ascii="Calibri" w:hAnsi="Calibri" w:cs="Calibri"/>
                <w:b w:val="0"/>
                <w:color w:val="16211F"/>
                <w:sz w:val="19"/>
              </w:rPr>
              <w:t>, not zero</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of_product</w:t>
            </w:r>
          </w:p>
        </w:tc>
        <w:tc>
          <w:tcPr>
            <w:tcW w:type="dxa" w:w="1440"/>
            <w:shd w:val="clear" w:color="auto" w:fill="F1F3F2"/>
          </w:tcPr>
          <w:p>
            <w:pPr>
              <w:spacing w:line="276" w:lineRule="auto" w:after="0"/>
            </w:pPr>
            <w:r>
              <w:rPr>
                <w:rFonts w:ascii="Calibri" w:hAnsi="Calibri" w:cs="Calibri"/>
                <w:b w:val="0"/>
                <w:color w:val="16211F"/>
                <w:sz w:val="19"/>
              </w:rPr>
              <w:t>Sale</w:t>
            </w:r>
          </w:p>
        </w:tc>
        <w:tc>
          <w:tcPr>
            <w:tcW w:type="dxa" w:w="2304"/>
            <w:shd w:val="clear" w:color="auto" w:fill="F1F3F2"/>
          </w:tcPr>
          <w:p>
            <w:pPr>
              <w:spacing w:line="276" w:lineRule="auto" w:after="0"/>
            </w:pPr>
            <w:r>
              <w:rPr>
                <w:rFonts w:ascii="Calibri" w:hAnsi="Calibri" w:cs="Calibri"/>
                <w:b w:val="0"/>
                <w:color w:val="16211F"/>
                <w:sz w:val="19"/>
              </w:rPr>
              <w:t>Product</w:t>
            </w:r>
          </w:p>
        </w:tc>
        <w:tc>
          <w:tcPr>
            <w:tcW w:type="dxa" w:w="792"/>
            <w:shd w:val="clear" w:color="auto" w:fill="F1F3F2"/>
          </w:tcPr>
          <w:p>
            <w:pPr>
              <w:spacing w:line="276" w:lineRule="auto" w:after="0"/>
            </w:pPr>
            <w:r>
              <w:rPr>
                <w:rFonts w:ascii="Calibri" w:hAnsi="Calibri" w:cs="Calibri"/>
                <w:b w:val="0"/>
                <w:color w:val="16211F"/>
                <w:sz w:val="19"/>
              </w:rPr>
              <w:t>n..1</w:t>
            </w:r>
          </w:p>
        </w:tc>
        <w:tc>
          <w:tcPr>
            <w:tcW w:type="dxa" w:w="3456"/>
            <w:shd w:val="clear" w:color="auto" w:fill="F1F3F2"/>
          </w:tcPr>
          <w:p>
            <w:pPr>
              <w:spacing w:line="276" w:lineRule="auto" w:after="0"/>
            </w:pPr>
            <w:r>
              <w:rPr>
                <w:rFonts w:ascii="Calibri" w:hAnsi="Calibri" w:cs="Calibri"/>
                <w:b w:val="0"/>
                <w:color w:val="16211F"/>
                <w:sz w:val="19"/>
              </w:rPr>
              <w:t>Each sale line is of exactly one product</w:t>
            </w:r>
          </w:p>
        </w:tc>
        <w:tc>
          <w:tcPr>
            <w:tcW w:type="dxa" w:w="4392"/>
            <w:shd w:val="clear" w:color="auto" w:fill="F1F3F2"/>
          </w:tcPr>
          <w:p>
            <w:pPr>
              <w:spacing w:line="276" w:lineRule="auto" w:after="0"/>
            </w:pPr>
            <w:r>
              <w:rPr>
                <w:rFonts w:ascii="Calibri" w:hAnsi="Calibri" w:cs="Calibri"/>
                <w:b w:val="0"/>
                <w:color w:val="16211F"/>
                <w:sz w:val="19"/>
              </w:rPr>
              <w:t>A CSV row that cannot be matched to a Product is rejected at SUBMIT_DATA, not silently dropped</w:t>
            </w:r>
          </w:p>
        </w:tc>
      </w:tr>
      <w:tr>
        <w:trPr>
          <w:cantSplit w:val="true"/>
        </w:trPr>
        <w:tc>
          <w:tcPr>
            <w:tcW w:type="dxa" w:w="1656"/>
          </w:tcPr>
          <w:p>
            <w:pPr>
              <w:spacing w:line="276" w:lineRule="auto" w:after="0"/>
            </w:pPr>
            <w:r>
              <w:rPr>
                <w:rFonts w:ascii="Consolas" w:hAnsi="Consolas" w:cs="Consolas"/>
                <w:b w:val="0"/>
                <w:color w:val="16211F"/>
                <w:sz w:val="19"/>
              </w:rPr>
              <w:t>of_customer</w:t>
            </w:r>
          </w:p>
        </w:tc>
        <w:tc>
          <w:tcPr>
            <w:tcW w:type="dxa" w:w="1440"/>
          </w:tcPr>
          <w:p>
            <w:pPr>
              <w:spacing w:line="276" w:lineRule="auto" w:after="0"/>
            </w:pPr>
            <w:r>
              <w:rPr>
                <w:rFonts w:ascii="Calibri" w:hAnsi="Calibri" w:cs="Calibri"/>
                <w:b w:val="0"/>
                <w:color w:val="16211F"/>
                <w:sz w:val="19"/>
              </w:rPr>
              <w:t>Sale</w:t>
            </w:r>
          </w:p>
        </w:tc>
        <w:tc>
          <w:tcPr>
            <w:tcW w:type="dxa" w:w="2304"/>
          </w:tcPr>
          <w:p>
            <w:pPr>
              <w:spacing w:line="276" w:lineRule="auto" w:after="0"/>
            </w:pPr>
            <w:r>
              <w:rPr>
                <w:rFonts w:ascii="Calibri" w:hAnsi="Calibri" w:cs="Calibri"/>
                <w:b w:val="0"/>
                <w:color w:val="16211F"/>
                <w:sz w:val="19"/>
              </w:rPr>
              <w:t>Customer</w:t>
            </w:r>
          </w:p>
        </w:tc>
        <w:tc>
          <w:tcPr>
            <w:tcW w:type="dxa" w:w="792"/>
          </w:tcPr>
          <w:p>
            <w:pPr>
              <w:spacing w:line="276" w:lineRule="auto" w:after="0"/>
            </w:pPr>
            <w:r>
              <w:rPr>
                <w:rFonts w:ascii="Calibri" w:hAnsi="Calibri" w:cs="Calibri"/>
                <w:b w:val="0"/>
                <w:color w:val="16211F"/>
                <w:sz w:val="19"/>
              </w:rPr>
              <w:t>n..1</w:t>
            </w:r>
          </w:p>
        </w:tc>
        <w:tc>
          <w:tcPr>
            <w:tcW w:type="dxa" w:w="3456"/>
          </w:tcPr>
          <w:p>
            <w:pPr>
              <w:spacing w:line="276" w:lineRule="auto" w:after="0"/>
            </w:pPr>
            <w:r>
              <w:rPr>
                <w:rFonts w:ascii="Calibri" w:hAnsi="Calibri" w:cs="Calibri"/>
                <w:b w:val="0"/>
                <w:color w:val="16211F"/>
                <w:sz w:val="19"/>
              </w:rPr>
              <w:t>Each sale is to one customer</w:t>
            </w:r>
          </w:p>
        </w:tc>
        <w:tc>
          <w:tcPr>
            <w:tcW w:type="dxa" w:w="4392"/>
          </w:tcPr>
          <w:p>
            <w:pPr>
              <w:spacing w:line="276" w:lineRule="auto" w:after="0"/>
            </w:pPr>
            <w:r>
              <w:rPr>
                <w:rFonts w:ascii="Calibri" w:hAnsi="Calibri" w:cs="Calibri"/>
                <w:b w:val="0"/>
                <w:color w:val="16211F"/>
                <w:sz w:val="19"/>
              </w:rPr>
              <w:t xml:space="preserve">Anonymous sales are allowed but attach to a sentinel </w:t>
            </w:r>
            <w:r>
              <w:rPr>
                <w:rFonts w:ascii="Consolas" w:hAnsi="Consolas" w:cs="Consolas"/>
                <w:b w:val="0"/>
                <w:color w:val="16211F"/>
                <w:sz w:val="19"/>
              </w:rPr>
              <w:t>customer_id = anonymous</w:t>
            </w:r>
            <w:r>
              <w:rPr>
                <w:rFonts w:ascii="Calibri" w:hAnsi="Calibri" w:cs="Calibri"/>
                <w:b w:val="0"/>
                <w:color w:val="16211F"/>
                <w:sz w:val="19"/>
              </w:rPr>
              <w:t>; they count for revenue, not retention</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about</w:t>
            </w:r>
          </w:p>
        </w:tc>
        <w:tc>
          <w:tcPr>
            <w:tcW w:type="dxa" w:w="1440"/>
            <w:shd w:val="clear" w:color="auto" w:fill="F1F3F2"/>
          </w:tcPr>
          <w:p>
            <w:pPr>
              <w:spacing w:line="276" w:lineRule="auto" w:after="0"/>
            </w:pPr>
            <w:r>
              <w:rPr>
                <w:rFonts w:ascii="Calibri" w:hAnsi="Calibri" w:cs="Calibri"/>
                <w:b w:val="0"/>
                <w:color w:val="16211F"/>
                <w:sz w:val="19"/>
              </w:rPr>
              <w:t>Evidence</w:t>
            </w:r>
          </w:p>
        </w:tc>
        <w:tc>
          <w:tcPr>
            <w:tcW w:type="dxa" w:w="2304"/>
            <w:shd w:val="clear" w:color="auto" w:fill="F1F3F2"/>
          </w:tcPr>
          <w:p>
            <w:pPr>
              <w:spacing w:line="276" w:lineRule="auto" w:after="0"/>
            </w:pPr>
            <w:r>
              <w:rPr>
                <w:rFonts w:ascii="Calibri" w:hAnsi="Calibri" w:cs="Calibri"/>
                <w:b w:val="0"/>
                <w:color w:val="16211F"/>
                <w:sz w:val="19"/>
              </w:rPr>
              <w:t>Business | Product | Customer | Inventory</w:t>
            </w:r>
          </w:p>
        </w:tc>
        <w:tc>
          <w:tcPr>
            <w:tcW w:type="dxa" w:w="792"/>
            <w:shd w:val="clear" w:color="auto" w:fill="F1F3F2"/>
          </w:tcPr>
          <w:p>
            <w:pPr>
              <w:spacing w:line="276" w:lineRule="auto" w:after="0"/>
            </w:pPr>
            <w:r>
              <w:rPr>
                <w:rFonts w:ascii="Calibri" w:hAnsi="Calibri" w:cs="Calibri"/>
                <w:b w:val="0"/>
                <w:color w:val="16211F"/>
                <w:sz w:val="19"/>
              </w:rPr>
              <w:t>n..1</w:t>
            </w:r>
          </w:p>
        </w:tc>
        <w:tc>
          <w:tcPr>
            <w:tcW w:type="dxa" w:w="3456"/>
            <w:shd w:val="clear" w:color="auto" w:fill="F1F3F2"/>
          </w:tcPr>
          <w:p>
            <w:pPr>
              <w:spacing w:line="276" w:lineRule="auto" w:after="0"/>
            </w:pPr>
            <w:r>
              <w:rPr>
                <w:rFonts w:ascii="Calibri" w:hAnsi="Calibri" w:cs="Calibri"/>
                <w:b w:val="0"/>
                <w:color w:val="16211F"/>
                <w:sz w:val="19"/>
              </w:rPr>
              <w:t>Evidence is always scoped to one subject</w:t>
            </w:r>
          </w:p>
        </w:tc>
        <w:tc>
          <w:tcPr>
            <w:tcW w:type="dxa" w:w="4392"/>
            <w:shd w:val="clear" w:color="auto" w:fill="F1F3F2"/>
          </w:tcPr>
          <w:p>
            <w:pPr>
              <w:spacing w:line="276" w:lineRule="auto" w:after="0"/>
            </w:pPr>
            <w:r>
              <w:rPr>
                <w:rFonts w:ascii="Calibri" w:hAnsi="Calibri" w:cs="Calibri"/>
                <w:b w:val="0"/>
                <w:color w:val="16211F"/>
                <w:sz w:val="19"/>
              </w:rPr>
              <w:t>No free-floating numbers. Every evidence row names what it is a statement about</w:t>
            </w:r>
          </w:p>
        </w:tc>
      </w:tr>
      <w:tr>
        <w:trPr>
          <w:cantSplit w:val="true"/>
        </w:trPr>
        <w:tc>
          <w:tcPr>
            <w:tcW w:type="dxa" w:w="1656"/>
          </w:tcPr>
          <w:p>
            <w:pPr>
              <w:spacing w:line="276" w:lineRule="auto" w:after="0"/>
            </w:pPr>
            <w:r>
              <w:rPr>
                <w:rFonts w:ascii="Consolas" w:hAnsi="Consolas" w:cs="Consolas"/>
                <w:b w:val="0"/>
                <w:color w:val="16211F"/>
                <w:sz w:val="19"/>
              </w:rPr>
              <w:t>supports</w:t>
            </w:r>
          </w:p>
        </w:tc>
        <w:tc>
          <w:tcPr>
            <w:tcW w:type="dxa" w:w="1440"/>
          </w:tcPr>
          <w:p>
            <w:pPr>
              <w:spacing w:line="276" w:lineRule="auto" w:after="0"/>
            </w:pPr>
            <w:r>
              <w:rPr>
                <w:rFonts w:ascii="Calibri" w:hAnsi="Calibri" w:cs="Calibri"/>
                <w:b w:val="0"/>
                <w:color w:val="16211F"/>
                <w:sz w:val="19"/>
              </w:rPr>
              <w:t>Decision</w:t>
            </w:r>
          </w:p>
        </w:tc>
        <w:tc>
          <w:tcPr>
            <w:tcW w:type="dxa" w:w="2304"/>
          </w:tcPr>
          <w:p>
            <w:pPr>
              <w:spacing w:line="276" w:lineRule="auto" w:after="0"/>
            </w:pPr>
            <w:r>
              <w:rPr>
                <w:rFonts w:ascii="Calibri" w:hAnsi="Calibri" w:cs="Calibri"/>
                <w:b w:val="0"/>
                <w:color w:val="16211F"/>
                <w:sz w:val="19"/>
              </w:rPr>
              <w:t>Evidence</w:t>
            </w:r>
          </w:p>
        </w:tc>
        <w:tc>
          <w:tcPr>
            <w:tcW w:type="dxa" w:w="792"/>
          </w:tcPr>
          <w:p>
            <w:pPr>
              <w:spacing w:line="276" w:lineRule="auto" w:after="0"/>
            </w:pPr>
            <w:r>
              <w:rPr>
                <w:rFonts w:ascii="Calibri" w:hAnsi="Calibri" w:cs="Calibri"/>
                <w:b w:val="0"/>
                <w:color w:val="16211F"/>
                <w:sz w:val="19"/>
              </w:rPr>
              <w:t>m..n</w:t>
            </w:r>
          </w:p>
        </w:tc>
        <w:tc>
          <w:tcPr>
            <w:tcW w:type="dxa" w:w="3456"/>
          </w:tcPr>
          <w:p>
            <w:pPr>
              <w:spacing w:line="276" w:lineRule="auto" w:after="0"/>
            </w:pPr>
            <w:r>
              <w:rPr>
                <w:rFonts w:ascii="Calibri" w:hAnsi="Calibri" w:cs="Calibri"/>
                <w:b w:val="0"/>
                <w:color w:val="16211F"/>
                <w:sz w:val="19"/>
              </w:rPr>
              <w:t>A decision reads multiple evidence types at specific versions</w:t>
            </w:r>
          </w:p>
        </w:tc>
        <w:tc>
          <w:tcPr>
            <w:tcW w:type="dxa" w:w="4392"/>
          </w:tcPr>
          <w:p>
            <w:pPr>
              <w:spacing w:line="276" w:lineRule="auto" w:after="0"/>
            </w:pPr>
            <w:r>
              <w:rPr>
                <w:rFonts w:ascii="Calibri" w:hAnsi="Calibri" w:cs="Calibri"/>
                <w:b w:val="0"/>
                <w:color w:val="16211F"/>
                <w:sz w:val="19"/>
              </w:rPr>
              <w:t xml:space="preserve">Recorded in </w:t>
            </w:r>
            <w:r>
              <w:rPr>
                <w:rFonts w:ascii="Consolas" w:hAnsi="Consolas" w:cs="Consolas"/>
                <w:b w:val="0"/>
                <w:color w:val="16211F"/>
                <w:sz w:val="19"/>
              </w:rPr>
              <w:t>input_evidence{}</w:t>
            </w:r>
            <w:r>
              <w:rPr>
                <w:rFonts w:ascii="Calibri" w:hAnsi="Calibri" w:cs="Calibri"/>
                <w:b w:val="0"/>
                <w:color w:val="16211F"/>
                <w:sz w:val="19"/>
              </w:rPr>
              <w:t xml:space="preserve">. A decision cannot cite evidence newer than its </w:t>
            </w:r>
            <w:r>
              <w:rPr>
                <w:rFonts w:ascii="Consolas" w:hAnsi="Consolas" w:cs="Consolas"/>
                <w:b w:val="0"/>
                <w:color w:val="16211F"/>
                <w:sz w:val="19"/>
              </w:rPr>
              <w:t>concluded_at</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diagnoses</w:t>
            </w:r>
          </w:p>
        </w:tc>
        <w:tc>
          <w:tcPr>
            <w:tcW w:type="dxa" w:w="1440"/>
            <w:shd w:val="clear" w:color="auto" w:fill="F1F3F2"/>
          </w:tcPr>
          <w:p>
            <w:pPr>
              <w:spacing w:line="276" w:lineRule="auto" w:after="0"/>
            </w:pPr>
            <w:r>
              <w:rPr>
                <w:rFonts w:ascii="Calibri" w:hAnsi="Calibri" w:cs="Calibri"/>
                <w:b w:val="0"/>
                <w:color w:val="16211F"/>
                <w:sz w:val="19"/>
              </w:rPr>
              <w:t>Bottleneck</w:t>
            </w:r>
          </w:p>
        </w:tc>
        <w:tc>
          <w:tcPr>
            <w:tcW w:type="dxa" w:w="2304"/>
            <w:shd w:val="clear" w:color="auto" w:fill="F1F3F2"/>
          </w:tcPr>
          <w:p>
            <w:pPr>
              <w:spacing w:line="276" w:lineRule="auto" w:after="0"/>
            </w:pPr>
            <w:r>
              <w:rPr>
                <w:rFonts w:ascii="Calibri" w:hAnsi="Calibri" w:cs="Calibri"/>
                <w:b w:val="0"/>
                <w:color w:val="16211F"/>
                <w:sz w:val="19"/>
              </w:rPr>
              <w:t>Business</w:t>
            </w:r>
          </w:p>
        </w:tc>
        <w:tc>
          <w:tcPr>
            <w:tcW w:type="dxa" w:w="792"/>
            <w:shd w:val="clear" w:color="auto" w:fill="F1F3F2"/>
          </w:tcPr>
          <w:p>
            <w:pPr>
              <w:spacing w:line="276" w:lineRule="auto" w:after="0"/>
            </w:pPr>
            <w:r>
              <w:rPr>
                <w:rFonts w:ascii="Calibri" w:hAnsi="Calibri" w:cs="Calibri"/>
                <w:b w:val="0"/>
                <w:color w:val="16211F"/>
                <w:sz w:val="19"/>
              </w:rPr>
              <w:t>n..1</w:t>
            </w:r>
          </w:p>
        </w:tc>
        <w:tc>
          <w:tcPr>
            <w:tcW w:type="dxa" w:w="3456"/>
            <w:shd w:val="clear" w:color="auto" w:fill="F1F3F2"/>
          </w:tcPr>
          <w:p>
            <w:pPr>
              <w:spacing w:line="276" w:lineRule="auto" w:after="0"/>
            </w:pPr>
            <w:r>
              <w:rPr>
                <w:rFonts w:ascii="Calibri" w:hAnsi="Calibri" w:cs="Calibri"/>
                <w:b w:val="0"/>
                <w:color w:val="16211F"/>
                <w:sz w:val="19"/>
              </w:rPr>
              <w:t>A bottleneck applies to one business</w:t>
            </w:r>
          </w:p>
        </w:tc>
        <w:tc>
          <w:tcPr>
            <w:tcW w:type="dxa" w:w="4392"/>
            <w:shd w:val="clear" w:color="auto" w:fill="F1F3F2"/>
          </w:tcPr>
          <w:p>
            <w:pPr>
              <w:spacing w:line="276" w:lineRule="auto" w:after="0"/>
            </w:pPr>
            <w:r>
              <w:rPr>
                <w:rFonts w:ascii="Calibri" w:hAnsi="Calibri" w:cs="Calibri"/>
                <w:b w:val="0"/>
                <w:color w:val="16211F"/>
                <w:sz w:val="19"/>
              </w:rPr>
              <w:t xml:space="preserve">One </w:t>
            </w:r>
            <w:r>
              <w:rPr>
                <w:rFonts w:ascii="Consolas" w:hAnsi="Consolas" w:cs="Consolas"/>
                <w:b w:val="0"/>
                <w:color w:val="16211F"/>
                <w:sz w:val="19"/>
              </w:rPr>
              <w:t>open</w:t>
            </w:r>
            <w:r>
              <w:rPr>
                <w:rFonts w:ascii="Calibri" w:hAnsi="Calibri" w:cs="Calibri"/>
                <w:b w:val="0"/>
                <w:color w:val="16211F"/>
                <w:sz w:val="19"/>
              </w:rPr>
              <w:t xml:space="preserve"> bottleneck per business at a time; a new diagnosis supersedes the old one</w:t>
            </w:r>
          </w:p>
        </w:tc>
      </w:tr>
      <w:tr>
        <w:trPr>
          <w:cantSplit w:val="true"/>
        </w:trPr>
        <w:tc>
          <w:tcPr>
            <w:tcW w:type="dxa" w:w="1656"/>
          </w:tcPr>
          <w:p>
            <w:pPr>
              <w:spacing w:line="276" w:lineRule="auto" w:after="0"/>
            </w:pPr>
            <w:r>
              <w:rPr>
                <w:rFonts w:ascii="Consolas" w:hAnsi="Consolas" w:cs="Consolas"/>
                <w:b w:val="0"/>
                <w:color w:val="16211F"/>
                <w:sz w:val="19"/>
              </w:rPr>
              <w:t>concludes</w:t>
            </w:r>
          </w:p>
        </w:tc>
        <w:tc>
          <w:tcPr>
            <w:tcW w:type="dxa" w:w="1440"/>
          </w:tcPr>
          <w:p>
            <w:pPr>
              <w:spacing w:line="276" w:lineRule="auto" w:after="0"/>
            </w:pPr>
            <w:r>
              <w:rPr>
                <w:rFonts w:ascii="Calibri" w:hAnsi="Calibri" w:cs="Calibri"/>
                <w:b w:val="0"/>
                <w:color w:val="16211F"/>
                <w:sz w:val="19"/>
              </w:rPr>
              <w:t>Decision</w:t>
            </w:r>
          </w:p>
        </w:tc>
        <w:tc>
          <w:tcPr>
            <w:tcW w:type="dxa" w:w="2304"/>
          </w:tcPr>
          <w:p>
            <w:pPr>
              <w:spacing w:line="276" w:lineRule="auto" w:after="0"/>
            </w:pPr>
            <w:r>
              <w:rPr>
                <w:rFonts w:ascii="Calibri" w:hAnsi="Calibri" w:cs="Calibri"/>
                <w:b w:val="0"/>
                <w:color w:val="16211F"/>
                <w:sz w:val="19"/>
              </w:rPr>
              <w:t>Bottleneck | Recommendation</w:t>
            </w:r>
          </w:p>
        </w:tc>
        <w:tc>
          <w:tcPr>
            <w:tcW w:type="dxa" w:w="792"/>
          </w:tcPr>
          <w:p>
            <w:pPr>
              <w:spacing w:line="276" w:lineRule="auto" w:after="0"/>
            </w:pPr>
            <w:r>
              <w:rPr>
                <w:rFonts w:ascii="Calibri" w:hAnsi="Calibri" w:cs="Calibri"/>
                <w:b w:val="0"/>
                <w:color w:val="16211F"/>
                <w:sz w:val="19"/>
              </w:rPr>
              <w:t>1..n</w:t>
            </w:r>
          </w:p>
        </w:tc>
        <w:tc>
          <w:tcPr>
            <w:tcW w:type="dxa" w:w="3456"/>
          </w:tcPr>
          <w:p>
            <w:pPr>
              <w:spacing w:line="276" w:lineRule="auto" w:after="0"/>
            </w:pPr>
            <w:r>
              <w:rPr>
                <w:rFonts w:ascii="Calibri" w:hAnsi="Calibri" w:cs="Calibri"/>
                <w:b w:val="0"/>
                <w:color w:val="16211F"/>
                <w:sz w:val="19"/>
              </w:rPr>
              <w:t>A decision produces its conclusion objects</w:t>
            </w:r>
          </w:p>
        </w:tc>
        <w:tc>
          <w:tcPr>
            <w:tcW w:type="dxa" w:w="4392"/>
          </w:tcPr>
          <w:p>
            <w:pPr>
              <w:spacing w:line="276" w:lineRule="auto" w:after="0"/>
            </w:pPr>
            <w:r>
              <w:rPr>
                <w:rFonts w:ascii="Calibri" w:hAnsi="Calibri" w:cs="Calibri"/>
                <w:b w:val="0"/>
                <w:color w:val="16211F"/>
                <w:sz w:val="19"/>
              </w:rPr>
              <w:t>A Bottleneck or Recommendation cannot exist without the Decision that produced it</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addresses</w:t>
            </w:r>
          </w:p>
        </w:tc>
        <w:tc>
          <w:tcPr>
            <w:tcW w:type="dxa" w:w="1440"/>
            <w:shd w:val="clear" w:color="auto" w:fill="F1F3F2"/>
          </w:tcPr>
          <w:p>
            <w:pPr>
              <w:spacing w:line="276" w:lineRule="auto" w:after="0"/>
            </w:pPr>
            <w:r>
              <w:rPr>
                <w:rFonts w:ascii="Calibri" w:hAnsi="Calibri" w:cs="Calibri"/>
                <w:b w:val="0"/>
                <w:color w:val="16211F"/>
                <w:sz w:val="19"/>
              </w:rPr>
              <w:t>Recommendation</w:t>
            </w:r>
          </w:p>
        </w:tc>
        <w:tc>
          <w:tcPr>
            <w:tcW w:type="dxa" w:w="2304"/>
            <w:shd w:val="clear" w:color="auto" w:fill="F1F3F2"/>
          </w:tcPr>
          <w:p>
            <w:pPr>
              <w:spacing w:line="276" w:lineRule="auto" w:after="0"/>
            </w:pPr>
            <w:r>
              <w:rPr>
                <w:rFonts w:ascii="Calibri" w:hAnsi="Calibri" w:cs="Calibri"/>
                <w:b w:val="0"/>
                <w:color w:val="16211F"/>
                <w:sz w:val="19"/>
              </w:rPr>
              <w:t>Bottleneck</w:t>
            </w:r>
          </w:p>
        </w:tc>
        <w:tc>
          <w:tcPr>
            <w:tcW w:type="dxa" w:w="792"/>
            <w:shd w:val="clear" w:color="auto" w:fill="F1F3F2"/>
          </w:tcPr>
          <w:p>
            <w:pPr>
              <w:spacing w:line="276" w:lineRule="auto" w:after="0"/>
            </w:pPr>
            <w:r>
              <w:rPr>
                <w:rFonts w:ascii="Calibri" w:hAnsi="Calibri" w:cs="Calibri"/>
                <w:b w:val="0"/>
                <w:color w:val="16211F"/>
                <w:sz w:val="19"/>
              </w:rPr>
              <w:t>n..1</w:t>
            </w:r>
          </w:p>
        </w:tc>
        <w:tc>
          <w:tcPr>
            <w:tcW w:type="dxa" w:w="3456"/>
            <w:shd w:val="clear" w:color="auto" w:fill="F1F3F2"/>
          </w:tcPr>
          <w:p>
            <w:pPr>
              <w:spacing w:line="276" w:lineRule="auto" w:after="0"/>
            </w:pPr>
            <w:r>
              <w:rPr>
                <w:rFonts w:ascii="Calibri" w:hAnsi="Calibri" w:cs="Calibri"/>
                <w:b w:val="0"/>
                <w:color w:val="16211F"/>
                <w:sz w:val="19"/>
              </w:rPr>
              <w:t>A recommendation targets one bottleneck</w:t>
            </w:r>
          </w:p>
        </w:tc>
        <w:tc>
          <w:tcPr>
            <w:tcW w:type="dxa" w:w="4392"/>
            <w:shd w:val="clear" w:color="auto" w:fill="F1F3F2"/>
          </w:tcPr>
          <w:p>
            <w:pPr>
              <w:spacing w:line="276" w:lineRule="auto" w:after="0"/>
            </w:pPr>
            <w:r>
              <w:rPr>
                <w:rFonts w:ascii="Calibri" w:hAnsi="Calibri" w:cs="Calibri"/>
                <w:b w:val="0"/>
                <w:color w:val="16211F"/>
                <w:sz w:val="19"/>
              </w:rPr>
              <w:t xml:space="preserve">Recommendations are re-ranked when the bottleneck changes; stale ones are marked </w:t>
            </w:r>
            <w:r>
              <w:rPr>
                <w:rFonts w:ascii="Consolas" w:hAnsi="Consolas" w:cs="Consolas"/>
                <w:b w:val="0"/>
                <w:color w:val="16211F"/>
                <w:sz w:val="19"/>
              </w:rPr>
              <w:t>superseded</w:t>
            </w:r>
          </w:p>
        </w:tc>
      </w:tr>
      <w:tr>
        <w:trPr>
          <w:cantSplit w:val="true"/>
        </w:trPr>
        <w:tc>
          <w:tcPr>
            <w:tcW w:type="dxa" w:w="1656"/>
          </w:tcPr>
          <w:p>
            <w:pPr>
              <w:keepNext/>
              <w:spacing w:line="276" w:lineRule="auto" w:after="0"/>
            </w:pPr>
            <w:r>
              <w:rPr>
                <w:rFonts w:ascii="Consolas" w:hAnsi="Consolas" w:cs="Consolas"/>
                <w:b w:val="0"/>
                <w:color w:val="16211F"/>
                <w:sz w:val="19"/>
              </w:rPr>
              <w:t>authorizes</w:t>
            </w:r>
          </w:p>
        </w:tc>
        <w:tc>
          <w:tcPr>
            <w:tcW w:type="dxa" w:w="1440"/>
          </w:tcPr>
          <w:p>
            <w:pPr>
              <w:keepNext/>
              <w:spacing w:line="276" w:lineRule="auto" w:after="0"/>
            </w:pPr>
            <w:r>
              <w:rPr>
                <w:rFonts w:ascii="Calibri" w:hAnsi="Calibri" w:cs="Calibri"/>
                <w:b w:val="0"/>
                <w:color w:val="16211F"/>
                <w:sz w:val="19"/>
              </w:rPr>
              <w:t>Decision</w:t>
            </w:r>
          </w:p>
        </w:tc>
        <w:tc>
          <w:tcPr>
            <w:tcW w:type="dxa" w:w="2304"/>
          </w:tcPr>
          <w:p>
            <w:pPr>
              <w:keepNext/>
              <w:spacing w:line="276" w:lineRule="auto" w:after="0"/>
            </w:pPr>
            <w:r>
              <w:rPr>
                <w:rFonts w:ascii="Calibri" w:hAnsi="Calibri" w:cs="Calibri"/>
                <w:b w:val="0"/>
                <w:color w:val="16211F"/>
                <w:sz w:val="19"/>
              </w:rPr>
              <w:t>Action</w:t>
            </w:r>
          </w:p>
        </w:tc>
        <w:tc>
          <w:tcPr>
            <w:tcW w:type="dxa" w:w="792"/>
          </w:tcPr>
          <w:p>
            <w:pPr>
              <w:keepNext/>
              <w:spacing w:line="276" w:lineRule="auto" w:after="0"/>
            </w:pPr>
            <w:r>
              <w:rPr>
                <w:rFonts w:ascii="Calibri" w:hAnsi="Calibri" w:cs="Calibri"/>
                <w:b w:val="0"/>
                <w:color w:val="16211F"/>
                <w:sz w:val="19"/>
              </w:rPr>
              <w:t>n..1</w:t>
            </w:r>
          </w:p>
        </w:tc>
        <w:tc>
          <w:tcPr>
            <w:tcW w:type="dxa" w:w="3456"/>
          </w:tcPr>
          <w:p>
            <w:pPr>
              <w:keepNext/>
              <w:spacing w:line="276" w:lineRule="auto" w:after="0"/>
            </w:pPr>
            <w:r>
              <w:rPr>
                <w:rFonts w:ascii="Calibri" w:hAnsi="Calibri" w:cs="Calibri"/>
                <w:b w:val="0"/>
                <w:color w:val="16211F"/>
                <w:sz w:val="19"/>
              </w:rPr>
              <w:t>An action requires a decision outcome</w:t>
            </w:r>
          </w:p>
        </w:tc>
        <w:tc>
          <w:tcPr>
            <w:tcW w:type="dxa" w:w="4392"/>
          </w:tcPr>
          <w:p>
            <w:pPr>
              <w:keepNext/>
              <w:spacing w:line="276" w:lineRule="auto" w:after="0"/>
            </w:pPr>
            <w:r>
              <w:rPr>
                <w:rFonts w:ascii="Calibri" w:hAnsi="Calibri" w:cs="Calibri"/>
                <w:b w:val="0"/>
                <w:color w:val="16211F"/>
                <w:sz w:val="19"/>
              </w:rPr>
              <w:t>EXECUTE_ACTION is refused unless the referenced decision outcome is ASSESSED (§4, §7)</w:t>
            </w:r>
          </w:p>
        </w:tc>
      </w:tr>
      <w:tr>
        <w:trPr>
          <w:cantSplit w:val="true"/>
        </w:trPr>
        <w:tc>
          <w:tcPr>
            <w:tcW w:type="dxa" w:w="1656"/>
            <w:shd w:val="clear" w:color="auto" w:fill="F1F3F2"/>
          </w:tcPr>
          <w:p>
            <w:pPr>
              <w:spacing w:line="276" w:lineRule="auto" w:after="0"/>
            </w:pPr>
            <w:r>
              <w:rPr>
                <w:rFonts w:ascii="Consolas" w:hAnsi="Consolas" w:cs="Consolas"/>
                <w:b w:val="0"/>
                <w:color w:val="16211F"/>
                <w:sz w:val="19"/>
              </w:rPr>
              <w:t>produces</w:t>
            </w:r>
          </w:p>
        </w:tc>
        <w:tc>
          <w:tcPr>
            <w:tcW w:type="dxa" w:w="1440"/>
            <w:shd w:val="clear" w:color="auto" w:fill="F1F3F2"/>
          </w:tcPr>
          <w:p>
            <w:pPr>
              <w:spacing w:line="276" w:lineRule="auto" w:after="0"/>
            </w:pPr>
            <w:r>
              <w:rPr>
                <w:rFonts w:ascii="Calibri" w:hAnsi="Calibri" w:cs="Calibri"/>
                <w:b w:val="0"/>
                <w:color w:val="16211F"/>
                <w:sz w:val="19"/>
              </w:rPr>
              <w:t>Action</w:t>
            </w:r>
          </w:p>
        </w:tc>
        <w:tc>
          <w:tcPr>
            <w:tcW w:type="dxa" w:w="2304"/>
            <w:shd w:val="clear" w:color="auto" w:fill="F1F3F2"/>
          </w:tcPr>
          <w:p>
            <w:pPr>
              <w:spacing w:line="276" w:lineRule="auto" w:after="0"/>
            </w:pPr>
            <w:r>
              <w:rPr>
                <w:rFonts w:ascii="Calibri" w:hAnsi="Calibri" w:cs="Calibri"/>
                <w:b w:val="0"/>
                <w:color w:val="16211F"/>
                <w:sz w:val="19"/>
              </w:rPr>
              <w:t>Evidence</w:t>
            </w:r>
          </w:p>
        </w:tc>
        <w:tc>
          <w:tcPr>
            <w:tcW w:type="dxa" w:w="792"/>
            <w:shd w:val="clear" w:color="auto" w:fill="F1F3F2"/>
          </w:tcPr>
          <w:p>
            <w:pPr>
              <w:spacing w:line="276" w:lineRule="auto" w:after="0"/>
            </w:pPr>
            <w:r>
              <w:rPr>
                <w:rFonts w:ascii="Calibri" w:hAnsi="Calibri" w:cs="Calibri"/>
                <w:b w:val="0"/>
                <w:color w:val="16211F"/>
                <w:sz w:val="19"/>
              </w:rPr>
              <w:t>m..n</w:t>
            </w:r>
          </w:p>
        </w:tc>
        <w:tc>
          <w:tcPr>
            <w:tcW w:type="dxa" w:w="3456"/>
            <w:shd w:val="clear" w:color="auto" w:fill="F1F3F2"/>
          </w:tcPr>
          <w:p>
            <w:pPr>
              <w:spacing w:line="276" w:lineRule="auto" w:after="0"/>
            </w:pPr>
            <w:r>
              <w:rPr>
                <w:rFonts w:ascii="Calibri" w:hAnsi="Calibri" w:cs="Calibri"/>
                <w:b w:val="0"/>
                <w:color w:val="16211F"/>
                <w:sz w:val="19"/>
              </w:rPr>
              <w:t>An action creates new evidence (results)</w:t>
            </w:r>
          </w:p>
        </w:tc>
        <w:tc>
          <w:tcPr>
            <w:tcW w:type="dxa" w:w="4392"/>
            <w:shd w:val="clear" w:color="auto" w:fill="F1F3F2"/>
          </w:tcPr>
          <w:p>
            <w:pPr>
              <w:spacing w:line="276" w:lineRule="auto" w:after="0"/>
            </w:pPr>
            <w:r>
              <w:rPr>
                <w:rFonts w:ascii="Calibri" w:hAnsi="Calibri" w:cs="Calibri"/>
                <w:b w:val="0"/>
                <w:color w:val="16211F"/>
                <w:sz w:val="19"/>
              </w:rPr>
              <w:t xml:space="preserve">RECORD_OUTCOME writes Evidence with </w:t>
            </w:r>
            <w:r>
              <w:rPr>
                <w:rFonts w:ascii="Consolas" w:hAnsi="Consolas" w:cs="Consolas"/>
                <w:b w:val="0"/>
                <w:color w:val="16211F"/>
                <w:sz w:val="19"/>
              </w:rPr>
              <w:t>provenance = asserted</w:t>
            </w:r>
            <w:r>
              <w:rPr>
                <w:rFonts w:ascii="Calibri" w:hAnsi="Calibri" w:cs="Calibri"/>
                <w:b w:val="0"/>
                <w:color w:val="16211F"/>
                <w:sz w:val="19"/>
              </w:rPr>
              <w:t xml:space="preserve"> and links it back via </w:t>
            </w:r>
            <w:r>
              <w:rPr>
                <w:rFonts w:ascii="Consolas" w:hAnsi="Consolas" w:cs="Consolas"/>
                <w:b w:val="0"/>
                <w:color w:val="16211F"/>
                <w:sz w:val="19"/>
              </w:rPr>
              <w:t>outcome_evidence_ids[]</w:t>
            </w:r>
          </w:p>
        </w:tc>
      </w:tr>
    </w:tbl>
    <w:p>
      <w:pPr>
        <w:spacing w:after="40"/>
      </w:pPr>
    </w:p>
    <w:p>
      <w:pPr>
        <w:pStyle w:val="Heading1"/>
        <w:spacing w:before="600"/>
        <w:pBdr>
          <w:top w:val="single" w:sz="12" w:space="10" w:color="1C8C7D"/>
        </w:pBdr>
      </w:pPr>
      <w:r>
        <w:t>4.  Verbs</w:t>
      </w:r>
    </w:p>
    <w:p>
      <w:pPr>
        <w:keepNext w:val="0"/>
        <w:spacing w:after="0" w:line="360" w:lineRule="auto"/>
      </w:pPr>
      <w:r>
        <w:rPr>
          <w:rFonts w:ascii="Calibri" w:hAnsi="Calibri" w:cs="Calibri"/>
          <w:b w:val="0"/>
          <w:color w:val="16211F"/>
          <w:sz w:val="22"/>
        </w:rPr>
        <w:t>What may be done, what it changes, who does it, and what entitles it. A role permits participation; only a decision outcome entitles a verb that changes the business. Phase 1 verbs are all low-risk because nothing leaves the platform. Phase 2 introduces the first verbs that touch external systems or the owner's operations.</w:t>
      </w:r>
    </w:p>
    <w:p>
      <w:pPr>
        <w:pStyle w:val="Heading2"/>
      </w:pPr>
      <w:r>
        <w:t>Phase 1 — manual intake and diagnosis</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006"/>
        <w:gridCol w:w="2006"/>
        <w:gridCol w:w="2006"/>
        <w:gridCol w:w="2006"/>
        <w:gridCol w:w="2006"/>
        <w:gridCol w:w="2006"/>
        <w:gridCol w:w="2006"/>
      </w:tblGrid>
      <w:tr>
        <w:trPr>
          <w:tblHeader w:val="true"/>
          <w:cantSplit w:val="true"/>
        </w:trPr>
        <w:tc>
          <w:tcPr>
            <w:tcW w:type="dxa" w:w="1944"/>
            <w:shd w:val="clear" w:color="auto" w:fill="1C3A36"/>
          </w:tcPr>
          <w:p>
            <w:pPr>
              <w:keepNext/>
              <w:spacing w:line="276" w:lineRule="auto" w:after="0"/>
            </w:pPr>
            <w:r>
              <w:rPr>
                <w:rFonts w:ascii="Calibri" w:hAnsi="Calibri" w:cs="Calibri"/>
                <w:b/>
                <w:color w:val="FFFFFF"/>
                <w:sz w:val="19"/>
              </w:rPr>
              <w:t>Verb</w:t>
            </w:r>
          </w:p>
        </w:tc>
        <w:tc>
          <w:tcPr>
            <w:tcW w:type="dxa" w:w="2952"/>
            <w:shd w:val="clear" w:color="auto" w:fill="1C3A36"/>
          </w:tcPr>
          <w:p>
            <w:pPr>
              <w:keepNext/>
              <w:spacing w:line="276" w:lineRule="auto" w:after="0"/>
            </w:pPr>
            <w:r>
              <w:rPr>
                <w:rFonts w:ascii="Calibri" w:hAnsi="Calibri" w:cs="Calibri"/>
                <w:b/>
                <w:color w:val="FFFFFF"/>
                <w:sz w:val="19"/>
              </w:rPr>
              <w:t>Label</w:t>
            </w:r>
          </w:p>
        </w:tc>
        <w:tc>
          <w:tcPr>
            <w:tcW w:type="dxa" w:w="2304"/>
            <w:shd w:val="clear" w:color="auto" w:fill="1C3A36"/>
          </w:tcPr>
          <w:p>
            <w:pPr>
              <w:keepNext/>
              <w:spacing w:line="276" w:lineRule="auto" w:after="0"/>
            </w:pPr>
            <w:r>
              <w:rPr>
                <w:rFonts w:ascii="Calibri" w:hAnsi="Calibri" w:cs="Calibri"/>
                <w:b/>
                <w:color w:val="FFFFFF"/>
                <w:sz w:val="19"/>
              </w:rPr>
              <w:t>Mutates</w:t>
            </w:r>
          </w:p>
        </w:tc>
        <w:tc>
          <w:tcPr>
            <w:tcW w:type="dxa" w:w="1584"/>
            <w:shd w:val="clear" w:color="auto" w:fill="1C3A36"/>
          </w:tcPr>
          <w:p>
            <w:pPr>
              <w:keepNext/>
              <w:spacing w:line="276" w:lineRule="auto" w:after="0"/>
            </w:pPr>
            <w:r>
              <w:rPr>
                <w:rFonts w:ascii="Calibri" w:hAnsi="Calibri" w:cs="Calibri"/>
                <w:b/>
                <w:color w:val="FFFFFF"/>
                <w:sz w:val="19"/>
              </w:rPr>
              <w:t>Performed by</w:t>
            </w:r>
          </w:p>
        </w:tc>
        <w:tc>
          <w:tcPr>
            <w:tcW w:type="dxa" w:w="3312"/>
            <w:shd w:val="clear" w:color="auto" w:fill="1C3A36"/>
          </w:tcPr>
          <w:p>
            <w:pPr>
              <w:keepNext/>
              <w:spacing w:line="276" w:lineRule="auto" w:after="0"/>
            </w:pPr>
            <w:r>
              <w:rPr>
                <w:rFonts w:ascii="Calibri" w:hAnsi="Calibri" w:cs="Calibri"/>
                <w:b/>
                <w:color w:val="FFFFFF"/>
                <w:sz w:val="19"/>
              </w:rPr>
              <w:t>Entitled by</w:t>
            </w:r>
          </w:p>
        </w:tc>
        <w:tc>
          <w:tcPr>
            <w:tcW w:type="dxa" w:w="1008"/>
            <w:shd w:val="clear" w:color="auto" w:fill="1C3A36"/>
          </w:tcPr>
          <w:p>
            <w:pPr>
              <w:keepNext/>
              <w:spacing w:line="276" w:lineRule="auto" w:after="0"/>
            </w:pPr>
            <w:r>
              <w:rPr>
                <w:rFonts w:ascii="Calibri" w:hAnsi="Calibri" w:cs="Calibri"/>
                <w:b/>
                <w:color w:val="FFFFFF"/>
                <w:sz w:val="19"/>
              </w:rPr>
              <w:t>Risk</w:t>
            </w:r>
          </w:p>
        </w:tc>
        <w:tc>
          <w:tcPr>
            <w:tcW w:type="dxa" w:w="792"/>
            <w:shd w:val="clear" w:color="auto" w:fill="1C3A36"/>
          </w:tcPr>
          <w:p>
            <w:pPr>
              <w:keepNext/>
              <w:spacing w:line="276" w:lineRule="auto" w:after="0"/>
            </w:pPr>
            <w:r>
              <w:rPr>
                <w:rFonts w:ascii="Calibri" w:hAnsi="Calibri" w:cs="Calibri"/>
                <w:b/>
                <w:color w:val="FFFFFF"/>
                <w:sz w:val="19"/>
              </w:rPr>
              <w:t>Phase</w:t>
            </w:r>
          </w:p>
        </w:tc>
      </w:tr>
      <w:tr>
        <w:trPr>
          <w:cantSplit w:val="true"/>
        </w:trPr>
        <w:tc>
          <w:tcPr>
            <w:tcW w:type="dxa" w:w="1944"/>
          </w:tcPr>
          <w:p>
            <w:pPr>
              <w:keepNext/>
              <w:spacing w:line="276" w:lineRule="auto" w:after="0"/>
            </w:pPr>
            <w:r>
              <w:rPr>
                <w:rFonts w:ascii="Consolas" w:hAnsi="Consolas" w:cs="Consolas"/>
                <w:b w:val="0"/>
                <w:color w:val="16211F"/>
                <w:sz w:val="19"/>
              </w:rPr>
              <w:t>SUBMIT_DATA</w:t>
            </w:r>
          </w:p>
        </w:tc>
        <w:tc>
          <w:tcPr>
            <w:tcW w:type="dxa" w:w="2952"/>
          </w:tcPr>
          <w:p>
            <w:pPr>
              <w:keepNext/>
              <w:spacing w:line="276" w:lineRule="auto" w:after="0"/>
            </w:pPr>
            <w:r>
              <w:rPr>
                <w:rFonts w:ascii="Calibri" w:hAnsi="Calibri" w:cs="Calibri"/>
                <w:b w:val="0"/>
                <w:color w:val="16211F"/>
                <w:sz w:val="19"/>
              </w:rPr>
              <w:t>Business enters form data or uploads CSV</w:t>
            </w:r>
          </w:p>
        </w:tc>
        <w:tc>
          <w:tcPr>
            <w:tcW w:type="dxa" w:w="2304"/>
          </w:tcPr>
          <w:p>
            <w:pPr>
              <w:keepNext/>
              <w:spacing w:line="276" w:lineRule="auto" w:after="0"/>
            </w:pPr>
            <w:r>
              <w:rPr>
                <w:rFonts w:ascii="Calibri" w:hAnsi="Calibri" w:cs="Calibri"/>
                <w:b w:val="0"/>
                <w:color w:val="16211F"/>
                <w:sz w:val="19"/>
              </w:rPr>
              <w:t>Sale, Product, Customer, Inventory → Evidence</w:t>
            </w:r>
          </w:p>
        </w:tc>
        <w:tc>
          <w:tcPr>
            <w:tcW w:type="dxa" w:w="1584"/>
          </w:tcPr>
          <w:p>
            <w:pPr>
              <w:keepNext/>
              <w:spacing w:line="276" w:lineRule="auto" w:after="0"/>
            </w:pPr>
            <w:r>
              <w:rPr>
                <w:rFonts w:ascii="Calibri" w:hAnsi="Calibri" w:cs="Calibri"/>
                <w:b w:val="0"/>
                <w:color w:val="16211F"/>
                <w:sz w:val="19"/>
              </w:rPr>
              <w:t>Business owner</w:t>
            </w:r>
          </w:p>
        </w:tc>
        <w:tc>
          <w:tcPr>
            <w:tcW w:type="dxa" w:w="3312"/>
          </w:tcPr>
          <w:p>
            <w:pPr>
              <w:keepNext/>
              <w:spacing w:line="276" w:lineRule="auto" w:after="0"/>
            </w:pPr>
            <w:r>
              <w:rPr>
                <w:rFonts w:ascii="Calibri" w:hAnsi="Calibri" w:cs="Calibri"/>
                <w:b w:val="0"/>
                <w:color w:val="16211F"/>
                <w:sz w:val="19"/>
              </w:rPr>
              <w:t>Role only (owner)</w:t>
            </w:r>
          </w:p>
        </w:tc>
        <w:tc>
          <w:tcPr>
            <w:tcW w:type="dxa" w:w="1008"/>
          </w:tcPr>
          <w:p>
            <w:pPr>
              <w:keepNext/>
              <w:spacing w:line="276" w:lineRule="auto" w:after="0"/>
            </w:pPr>
            <w:r>
              <w:rPr>
                <w:rFonts w:ascii="Calibri" w:hAnsi="Calibri" w:cs="Calibri"/>
                <w:b w:val="0"/>
                <w:color w:val="16211F"/>
                <w:sz w:val="19"/>
              </w:rPr>
              <w:t>low</w:t>
            </w:r>
          </w:p>
        </w:tc>
        <w:tc>
          <w:tcPr>
            <w:tcW w:type="dxa" w:w="792"/>
          </w:tcPr>
          <w:p>
            <w:pPr>
              <w:keepNext/>
              <w:spacing w:line="276" w:lineRule="auto" w:after="0"/>
            </w:pPr>
            <w:r>
              <w:rPr>
                <w:rFonts w:ascii="Calibri" w:hAnsi="Calibri" w:cs="Calibri"/>
                <w:b w:val="0"/>
                <w:color w:val="16211F"/>
                <w:sz w:val="19"/>
              </w:rPr>
              <w:t>P1</w:t>
            </w:r>
          </w:p>
        </w:tc>
      </w:tr>
      <w:tr>
        <w:trPr>
          <w:cantSplit w:val="true"/>
        </w:trPr>
        <w:tc>
          <w:tcPr>
            <w:tcW w:type="dxa" w:w="1944"/>
            <w:shd w:val="clear" w:color="auto" w:fill="F1F3F2"/>
          </w:tcPr>
          <w:p>
            <w:pPr>
              <w:keepNext/>
              <w:spacing w:line="276" w:lineRule="auto" w:after="0"/>
            </w:pPr>
            <w:r>
              <w:rPr>
                <w:rFonts w:ascii="Consolas" w:hAnsi="Consolas" w:cs="Consolas"/>
                <w:b w:val="0"/>
                <w:color w:val="16211F"/>
                <w:sz w:val="19"/>
              </w:rPr>
              <w:t>ANALYZE</w:t>
            </w:r>
          </w:p>
        </w:tc>
        <w:tc>
          <w:tcPr>
            <w:tcW w:type="dxa" w:w="2952"/>
            <w:shd w:val="clear" w:color="auto" w:fill="F1F3F2"/>
          </w:tcPr>
          <w:p>
            <w:pPr>
              <w:keepNext/>
              <w:spacing w:line="276" w:lineRule="auto" w:after="0"/>
            </w:pPr>
            <w:r>
              <w:rPr>
                <w:rFonts w:ascii="Calibri" w:hAnsi="Calibri" w:cs="Calibri"/>
                <w:b w:val="0"/>
                <w:color w:val="16211F"/>
                <w:sz w:val="19"/>
              </w:rPr>
              <w:t>Platform reads Evidence and runs BOTTLENECK_DIAGNOSIS</w:t>
            </w:r>
          </w:p>
        </w:tc>
        <w:tc>
          <w:tcPr>
            <w:tcW w:type="dxa" w:w="2304"/>
            <w:shd w:val="clear" w:color="auto" w:fill="F1F3F2"/>
          </w:tcPr>
          <w:p>
            <w:pPr>
              <w:keepNext/>
              <w:spacing w:line="276" w:lineRule="auto" w:after="0"/>
            </w:pPr>
            <w:r>
              <w:rPr>
                <w:rFonts w:ascii="Calibri" w:hAnsi="Calibri" w:cs="Calibri"/>
                <w:b w:val="0"/>
                <w:color w:val="16211F"/>
                <w:sz w:val="19"/>
              </w:rPr>
              <w:t>Decision, Bottleneck</w:t>
            </w:r>
          </w:p>
        </w:tc>
        <w:tc>
          <w:tcPr>
            <w:tcW w:type="dxa" w:w="1584"/>
            <w:shd w:val="clear" w:color="auto" w:fill="F1F3F2"/>
          </w:tcPr>
          <w:p>
            <w:pPr>
              <w:keepNext/>
              <w:spacing w:line="276" w:lineRule="auto" w:after="0"/>
            </w:pPr>
            <w:r>
              <w:rPr>
                <w:rFonts w:ascii="Calibri" w:hAnsi="Calibri" w:cs="Calibri"/>
                <w:b w:val="0"/>
                <w:color w:val="16211F"/>
                <w:sz w:val="19"/>
              </w:rPr>
              <w:t>Platform (async)</w:t>
            </w:r>
          </w:p>
        </w:tc>
        <w:tc>
          <w:tcPr>
            <w:tcW w:type="dxa" w:w="3312"/>
            <w:shd w:val="clear" w:color="auto" w:fill="F1F3F2"/>
          </w:tcPr>
          <w:p>
            <w:pPr>
              <w:keepNext/>
              <w:spacing w:line="276" w:lineRule="auto" w:after="0"/>
            </w:pPr>
            <w:r>
              <w:rPr>
                <w:rFonts w:ascii="Calibri" w:hAnsi="Calibri" w:cs="Calibri"/>
                <w:b w:val="0"/>
                <w:color w:val="16211F"/>
                <w:sz w:val="19"/>
              </w:rPr>
              <w:t>Role only (system); requires minimum data threshold (§8)</w:t>
            </w:r>
          </w:p>
        </w:tc>
        <w:tc>
          <w:tcPr>
            <w:tcW w:type="dxa" w:w="1008"/>
            <w:shd w:val="clear" w:color="auto" w:fill="F1F3F2"/>
          </w:tcPr>
          <w:p>
            <w:pPr>
              <w:keepNext/>
              <w:spacing w:line="276" w:lineRule="auto" w:after="0"/>
            </w:pPr>
            <w:r>
              <w:rPr>
                <w:rFonts w:ascii="Calibri" w:hAnsi="Calibri" w:cs="Calibri"/>
                <w:b w:val="0"/>
                <w:color w:val="16211F"/>
                <w:sz w:val="19"/>
              </w:rPr>
              <w:t>low</w:t>
            </w:r>
          </w:p>
        </w:tc>
        <w:tc>
          <w:tcPr>
            <w:tcW w:type="dxa" w:w="792"/>
            <w:shd w:val="clear" w:color="auto" w:fill="F1F3F2"/>
          </w:tcPr>
          <w:p>
            <w:pPr>
              <w:keepNext/>
              <w:spacing w:line="276" w:lineRule="auto" w:after="0"/>
            </w:pPr>
            <w:r>
              <w:rPr>
                <w:rFonts w:ascii="Calibri" w:hAnsi="Calibri" w:cs="Calibri"/>
                <w:b w:val="0"/>
                <w:color w:val="16211F"/>
                <w:sz w:val="19"/>
              </w:rPr>
              <w:t>P1</w:t>
            </w:r>
          </w:p>
        </w:tc>
      </w:tr>
      <w:tr>
        <w:trPr>
          <w:cantSplit w:val="true"/>
        </w:trPr>
        <w:tc>
          <w:tcPr>
            <w:tcW w:type="dxa" w:w="1944"/>
          </w:tcPr>
          <w:p>
            <w:pPr>
              <w:keepNext/>
              <w:spacing w:line="276" w:lineRule="auto" w:after="0"/>
            </w:pPr>
            <w:r>
              <w:rPr>
                <w:rFonts w:ascii="Consolas" w:hAnsi="Consolas" w:cs="Consolas"/>
                <w:b w:val="0"/>
                <w:color w:val="16211F"/>
                <w:sz w:val="19"/>
              </w:rPr>
              <w:t>PROPOSE_ACTIONS</w:t>
            </w:r>
          </w:p>
        </w:tc>
        <w:tc>
          <w:tcPr>
            <w:tcW w:type="dxa" w:w="2952"/>
          </w:tcPr>
          <w:p>
            <w:pPr>
              <w:keepNext/>
              <w:spacing w:line="276" w:lineRule="auto" w:after="0"/>
            </w:pPr>
            <w:r>
              <w:rPr>
                <w:rFonts w:ascii="Calibri" w:hAnsi="Calibri" w:cs="Calibri"/>
                <w:b w:val="0"/>
                <w:color w:val="16211F"/>
                <w:sz w:val="19"/>
              </w:rPr>
              <w:t>Platform runs RECOMMENDATION_ASSESSMENT and generates top 3</w:t>
            </w:r>
          </w:p>
        </w:tc>
        <w:tc>
          <w:tcPr>
            <w:tcW w:type="dxa" w:w="2304"/>
          </w:tcPr>
          <w:p>
            <w:pPr>
              <w:keepNext/>
              <w:spacing w:line="276" w:lineRule="auto" w:after="0"/>
            </w:pPr>
            <w:r>
              <w:rPr>
                <w:rFonts w:ascii="Calibri" w:hAnsi="Calibri" w:cs="Calibri"/>
                <w:b w:val="0"/>
                <w:color w:val="16211F"/>
                <w:sz w:val="19"/>
              </w:rPr>
              <w:t>Decision, Recommendation</w:t>
            </w:r>
          </w:p>
        </w:tc>
        <w:tc>
          <w:tcPr>
            <w:tcW w:type="dxa" w:w="1584"/>
          </w:tcPr>
          <w:p>
            <w:pPr>
              <w:keepNext/>
              <w:spacing w:line="276" w:lineRule="auto" w:after="0"/>
            </w:pPr>
            <w:r>
              <w:rPr>
                <w:rFonts w:ascii="Calibri" w:hAnsi="Calibri" w:cs="Calibri"/>
                <w:b w:val="0"/>
                <w:color w:val="16211F"/>
                <w:sz w:val="19"/>
              </w:rPr>
              <w:t>Platform</w:t>
            </w:r>
          </w:p>
        </w:tc>
        <w:tc>
          <w:tcPr>
            <w:tcW w:type="dxa" w:w="3312"/>
          </w:tcPr>
          <w:p>
            <w:pPr>
              <w:keepNext/>
              <w:spacing w:line="276" w:lineRule="auto" w:after="0"/>
            </w:pPr>
            <w:r>
              <w:rPr>
                <w:rFonts w:ascii="Calibri" w:hAnsi="Calibri" w:cs="Calibri"/>
                <w:b w:val="0"/>
                <w:color w:val="16211F"/>
                <w:sz w:val="19"/>
              </w:rPr>
              <w:t>Decision outcome: BOTTLENECK_DIAGNOSIS = IDENTIFIED</w:t>
            </w:r>
          </w:p>
        </w:tc>
        <w:tc>
          <w:tcPr>
            <w:tcW w:type="dxa" w:w="1008"/>
          </w:tcPr>
          <w:p>
            <w:pPr>
              <w:keepNext/>
              <w:spacing w:line="276" w:lineRule="auto" w:after="0"/>
            </w:pPr>
            <w:r>
              <w:rPr>
                <w:rFonts w:ascii="Calibri" w:hAnsi="Calibri" w:cs="Calibri"/>
                <w:b w:val="0"/>
                <w:color w:val="16211F"/>
                <w:sz w:val="19"/>
              </w:rPr>
              <w:t>low</w:t>
            </w:r>
          </w:p>
        </w:tc>
        <w:tc>
          <w:tcPr>
            <w:tcW w:type="dxa" w:w="792"/>
          </w:tcPr>
          <w:p>
            <w:pPr>
              <w:keepNext/>
              <w:spacing w:line="276" w:lineRule="auto" w:after="0"/>
            </w:pPr>
            <w:r>
              <w:rPr>
                <w:rFonts w:ascii="Calibri" w:hAnsi="Calibri" w:cs="Calibri"/>
                <w:b w:val="0"/>
                <w:color w:val="16211F"/>
                <w:sz w:val="19"/>
              </w:rPr>
              <w:t>P1</w:t>
            </w:r>
          </w:p>
        </w:tc>
      </w:tr>
      <w:tr>
        <w:trPr>
          <w:cantSplit w:val="true"/>
        </w:trPr>
        <w:tc>
          <w:tcPr>
            <w:tcW w:type="dxa" w:w="1944"/>
            <w:shd w:val="clear" w:color="auto" w:fill="F1F3F2"/>
          </w:tcPr>
          <w:p>
            <w:pPr>
              <w:spacing w:line="276" w:lineRule="auto" w:after="0"/>
            </w:pPr>
            <w:r>
              <w:rPr>
                <w:rFonts w:ascii="Consolas" w:hAnsi="Consolas" w:cs="Consolas"/>
                <w:b w:val="0"/>
                <w:color w:val="16211F"/>
                <w:sz w:val="19"/>
              </w:rPr>
              <w:t>PUBLISH_REPORT</w:t>
            </w:r>
          </w:p>
        </w:tc>
        <w:tc>
          <w:tcPr>
            <w:tcW w:type="dxa" w:w="2952"/>
            <w:shd w:val="clear" w:color="auto" w:fill="F1F3F2"/>
          </w:tcPr>
          <w:p>
            <w:pPr>
              <w:spacing w:line="276" w:lineRule="auto" w:after="0"/>
            </w:pPr>
            <w:r>
              <w:rPr>
                <w:rFonts w:ascii="Calibri" w:hAnsi="Calibri" w:cs="Calibri"/>
                <w:b w:val="0"/>
                <w:color w:val="16211F"/>
                <w:sz w:val="19"/>
              </w:rPr>
              <w:t>Platform generates and sends the monthly report</w:t>
            </w:r>
          </w:p>
        </w:tc>
        <w:tc>
          <w:tcPr>
            <w:tcW w:type="dxa" w:w="2304"/>
            <w:shd w:val="clear" w:color="auto" w:fill="F1F3F2"/>
          </w:tcPr>
          <w:p>
            <w:pPr>
              <w:spacing w:line="276" w:lineRule="auto" w:after="0"/>
            </w:pPr>
            <w:r>
              <w:rPr>
                <w:rFonts w:ascii="Calibri" w:hAnsi="Calibri" w:cs="Calibri"/>
                <w:b w:val="0"/>
                <w:color w:val="16211F"/>
                <w:sz w:val="19"/>
              </w:rPr>
              <w:t>none (read-only)</w:t>
            </w:r>
          </w:p>
        </w:tc>
        <w:tc>
          <w:tcPr>
            <w:tcW w:type="dxa" w:w="1584"/>
            <w:shd w:val="clear" w:color="auto" w:fill="F1F3F2"/>
          </w:tcPr>
          <w:p>
            <w:pPr>
              <w:spacing w:line="276" w:lineRule="auto" w:after="0"/>
            </w:pPr>
            <w:r>
              <w:rPr>
                <w:rFonts w:ascii="Calibri" w:hAnsi="Calibri" w:cs="Calibri"/>
                <w:b w:val="0"/>
                <w:color w:val="16211F"/>
                <w:sz w:val="19"/>
              </w:rPr>
              <w:t>Platform</w:t>
            </w:r>
          </w:p>
        </w:tc>
        <w:tc>
          <w:tcPr>
            <w:tcW w:type="dxa" w:w="3312"/>
            <w:shd w:val="clear" w:color="auto" w:fill="F1F3F2"/>
          </w:tcPr>
          <w:p>
            <w:pPr>
              <w:spacing w:line="276" w:lineRule="auto" w:after="0"/>
            </w:pPr>
            <w:r>
              <w:rPr>
                <w:rFonts w:ascii="Calibri" w:hAnsi="Calibri" w:cs="Calibri"/>
                <w:b w:val="0"/>
                <w:color w:val="16211F"/>
                <w:sz w:val="19"/>
              </w:rPr>
              <w:t>Role only (system); requires ≥ 1 concluded Decision</w:t>
            </w:r>
          </w:p>
        </w:tc>
        <w:tc>
          <w:tcPr>
            <w:tcW w:type="dxa" w:w="1008"/>
            <w:shd w:val="clear" w:color="auto" w:fill="F1F3F2"/>
          </w:tcPr>
          <w:p>
            <w:pPr>
              <w:spacing w:line="276" w:lineRule="auto" w:after="0"/>
            </w:pPr>
            <w:r>
              <w:rPr>
                <w:rFonts w:ascii="Calibri" w:hAnsi="Calibri" w:cs="Calibri"/>
                <w:b w:val="0"/>
                <w:color w:val="16211F"/>
                <w:sz w:val="19"/>
              </w:rPr>
              <w:t>low</w:t>
            </w:r>
          </w:p>
        </w:tc>
        <w:tc>
          <w:tcPr>
            <w:tcW w:type="dxa" w:w="792"/>
            <w:shd w:val="clear" w:color="auto" w:fill="F1F3F2"/>
          </w:tcPr>
          <w:p>
            <w:pPr>
              <w:spacing w:line="276" w:lineRule="auto" w:after="0"/>
            </w:pPr>
            <w:r>
              <w:rPr>
                <w:rFonts w:ascii="Calibri" w:hAnsi="Calibri" w:cs="Calibri"/>
                <w:b w:val="0"/>
                <w:color w:val="16211F"/>
                <w:sz w:val="19"/>
              </w:rPr>
              <w:t>P1</w:t>
            </w:r>
          </w:p>
        </w:tc>
      </w:tr>
    </w:tbl>
    <w:p>
      <w:pPr>
        <w:spacing w:after="40"/>
      </w:pPr>
    </w:p>
    <w:p>
      <w:pPr>
        <w:pStyle w:val="Heading2"/>
      </w:pPr>
      <w:r>
        <w:t>Phase 2 — live data and closed loop</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006"/>
        <w:gridCol w:w="2006"/>
        <w:gridCol w:w="2006"/>
        <w:gridCol w:w="2006"/>
        <w:gridCol w:w="2006"/>
        <w:gridCol w:w="2006"/>
        <w:gridCol w:w="2006"/>
      </w:tblGrid>
      <w:tr>
        <w:trPr>
          <w:tblHeader w:val="true"/>
          <w:cantSplit w:val="true"/>
        </w:trPr>
        <w:tc>
          <w:tcPr>
            <w:tcW w:type="dxa" w:w="1944"/>
            <w:shd w:val="clear" w:color="auto" w:fill="1C3A36"/>
          </w:tcPr>
          <w:p>
            <w:pPr>
              <w:keepNext/>
              <w:spacing w:line="276" w:lineRule="auto" w:after="0"/>
            </w:pPr>
            <w:r>
              <w:rPr>
                <w:rFonts w:ascii="Calibri" w:hAnsi="Calibri" w:cs="Calibri"/>
                <w:b/>
                <w:color w:val="FFFFFF"/>
                <w:sz w:val="19"/>
              </w:rPr>
              <w:t>Verb</w:t>
            </w:r>
          </w:p>
        </w:tc>
        <w:tc>
          <w:tcPr>
            <w:tcW w:type="dxa" w:w="2952"/>
            <w:shd w:val="clear" w:color="auto" w:fill="1C3A36"/>
          </w:tcPr>
          <w:p>
            <w:pPr>
              <w:keepNext/>
              <w:spacing w:line="276" w:lineRule="auto" w:after="0"/>
            </w:pPr>
            <w:r>
              <w:rPr>
                <w:rFonts w:ascii="Calibri" w:hAnsi="Calibri" w:cs="Calibri"/>
                <w:b/>
                <w:color w:val="FFFFFF"/>
                <w:sz w:val="19"/>
              </w:rPr>
              <w:t>Label</w:t>
            </w:r>
          </w:p>
        </w:tc>
        <w:tc>
          <w:tcPr>
            <w:tcW w:type="dxa" w:w="2304"/>
            <w:shd w:val="clear" w:color="auto" w:fill="1C3A36"/>
          </w:tcPr>
          <w:p>
            <w:pPr>
              <w:keepNext/>
              <w:spacing w:line="276" w:lineRule="auto" w:after="0"/>
            </w:pPr>
            <w:r>
              <w:rPr>
                <w:rFonts w:ascii="Calibri" w:hAnsi="Calibri" w:cs="Calibri"/>
                <w:b/>
                <w:color w:val="FFFFFF"/>
                <w:sz w:val="19"/>
              </w:rPr>
              <w:t>Mutates</w:t>
            </w:r>
          </w:p>
        </w:tc>
        <w:tc>
          <w:tcPr>
            <w:tcW w:type="dxa" w:w="1584"/>
            <w:shd w:val="clear" w:color="auto" w:fill="1C3A36"/>
          </w:tcPr>
          <w:p>
            <w:pPr>
              <w:keepNext/>
              <w:spacing w:line="276" w:lineRule="auto" w:after="0"/>
            </w:pPr>
            <w:r>
              <w:rPr>
                <w:rFonts w:ascii="Calibri" w:hAnsi="Calibri" w:cs="Calibri"/>
                <w:b/>
                <w:color w:val="FFFFFF"/>
                <w:sz w:val="19"/>
              </w:rPr>
              <w:t>Performed by</w:t>
            </w:r>
          </w:p>
        </w:tc>
        <w:tc>
          <w:tcPr>
            <w:tcW w:type="dxa" w:w="3312"/>
            <w:shd w:val="clear" w:color="auto" w:fill="1C3A36"/>
          </w:tcPr>
          <w:p>
            <w:pPr>
              <w:keepNext/>
              <w:spacing w:line="276" w:lineRule="auto" w:after="0"/>
            </w:pPr>
            <w:r>
              <w:rPr>
                <w:rFonts w:ascii="Calibri" w:hAnsi="Calibri" w:cs="Calibri"/>
                <w:b/>
                <w:color w:val="FFFFFF"/>
                <w:sz w:val="19"/>
              </w:rPr>
              <w:t>Entitled by</w:t>
            </w:r>
          </w:p>
        </w:tc>
        <w:tc>
          <w:tcPr>
            <w:tcW w:type="dxa" w:w="1008"/>
            <w:shd w:val="clear" w:color="auto" w:fill="1C3A36"/>
          </w:tcPr>
          <w:p>
            <w:pPr>
              <w:keepNext/>
              <w:spacing w:line="276" w:lineRule="auto" w:after="0"/>
            </w:pPr>
            <w:r>
              <w:rPr>
                <w:rFonts w:ascii="Calibri" w:hAnsi="Calibri" w:cs="Calibri"/>
                <w:b/>
                <w:color w:val="FFFFFF"/>
                <w:sz w:val="19"/>
              </w:rPr>
              <w:t>Risk</w:t>
            </w:r>
          </w:p>
        </w:tc>
        <w:tc>
          <w:tcPr>
            <w:tcW w:type="dxa" w:w="792"/>
            <w:shd w:val="clear" w:color="auto" w:fill="1C3A36"/>
          </w:tcPr>
          <w:p>
            <w:pPr>
              <w:keepNext/>
              <w:spacing w:line="276" w:lineRule="auto" w:after="0"/>
            </w:pPr>
            <w:r>
              <w:rPr>
                <w:rFonts w:ascii="Calibri" w:hAnsi="Calibri" w:cs="Calibri"/>
                <w:b/>
                <w:color w:val="FFFFFF"/>
                <w:sz w:val="19"/>
              </w:rPr>
              <w:t>Phase</w:t>
            </w:r>
          </w:p>
        </w:tc>
      </w:tr>
      <w:tr>
        <w:trPr>
          <w:cantSplit w:val="true"/>
        </w:trPr>
        <w:tc>
          <w:tcPr>
            <w:tcW w:type="dxa" w:w="1944"/>
          </w:tcPr>
          <w:p>
            <w:pPr>
              <w:keepNext/>
              <w:spacing w:line="276" w:lineRule="auto" w:after="0"/>
            </w:pPr>
            <w:r>
              <w:rPr>
                <w:rFonts w:ascii="Consolas" w:hAnsi="Consolas" w:cs="Consolas"/>
                <w:b w:val="0"/>
                <w:color w:val="16211F"/>
                <w:sz w:val="19"/>
              </w:rPr>
              <w:t>CONNECT_SHOPIFY</w:t>
            </w:r>
          </w:p>
        </w:tc>
        <w:tc>
          <w:tcPr>
            <w:tcW w:type="dxa" w:w="2952"/>
          </w:tcPr>
          <w:p>
            <w:pPr>
              <w:keepNext/>
              <w:spacing w:line="276" w:lineRule="auto" w:after="0"/>
            </w:pPr>
            <w:r>
              <w:rPr>
                <w:rFonts w:ascii="Calibri" w:hAnsi="Calibri" w:cs="Calibri"/>
                <w:b w:val="0"/>
                <w:color w:val="16211F"/>
                <w:sz w:val="19"/>
              </w:rPr>
              <w:t>Business grants OAuth permission to a store</w:t>
            </w:r>
          </w:p>
        </w:tc>
        <w:tc>
          <w:tcPr>
            <w:tcW w:type="dxa" w:w="2304"/>
          </w:tcPr>
          <w:p>
            <w:pPr>
              <w:keepNext/>
              <w:spacing w:line="276" w:lineRule="auto" w:after="0"/>
            </w:pPr>
            <w:r>
              <w:rPr>
                <w:rFonts w:ascii="Calibri" w:hAnsi="Calibri" w:cs="Calibri"/>
                <w:b w:val="0"/>
                <w:color w:val="16211F"/>
                <w:sz w:val="19"/>
              </w:rPr>
              <w:t>Business (channels[], connector credentials)</w:t>
            </w:r>
          </w:p>
        </w:tc>
        <w:tc>
          <w:tcPr>
            <w:tcW w:type="dxa" w:w="1584"/>
          </w:tcPr>
          <w:p>
            <w:pPr>
              <w:keepNext/>
              <w:spacing w:line="276" w:lineRule="auto" w:after="0"/>
            </w:pPr>
            <w:r>
              <w:rPr>
                <w:rFonts w:ascii="Calibri" w:hAnsi="Calibri" w:cs="Calibri"/>
                <w:b w:val="0"/>
                <w:color w:val="16211F"/>
                <w:sz w:val="19"/>
              </w:rPr>
              <w:t>Business owner</w:t>
            </w:r>
          </w:p>
        </w:tc>
        <w:tc>
          <w:tcPr>
            <w:tcW w:type="dxa" w:w="3312"/>
          </w:tcPr>
          <w:p>
            <w:pPr>
              <w:keepNext/>
              <w:spacing w:line="276" w:lineRule="auto" w:after="0"/>
            </w:pPr>
            <w:r>
              <w:rPr>
                <w:rFonts w:ascii="Calibri" w:hAnsi="Calibri" w:cs="Calibri"/>
                <w:b w:val="0"/>
                <w:color w:val="16211F"/>
                <w:sz w:val="19"/>
              </w:rPr>
              <w:t>OAuth flow completed; role = owner</w:t>
            </w:r>
          </w:p>
        </w:tc>
        <w:tc>
          <w:tcPr>
            <w:tcW w:type="dxa" w:w="1008"/>
          </w:tcPr>
          <w:p>
            <w:pPr>
              <w:keepNext/>
              <w:spacing w:line="276" w:lineRule="auto" w:after="0"/>
            </w:pPr>
            <w:r>
              <w:rPr>
                <w:rFonts w:ascii="Calibri" w:hAnsi="Calibri" w:cs="Calibri"/>
                <w:b w:val="0"/>
                <w:color w:val="16211F"/>
                <w:sz w:val="19"/>
              </w:rPr>
              <w:t>medium</w:t>
            </w:r>
          </w:p>
        </w:tc>
        <w:tc>
          <w:tcPr>
            <w:tcW w:type="dxa" w:w="792"/>
          </w:tcPr>
          <w:p>
            <w:pPr>
              <w:keepNext/>
              <w:spacing w:line="276" w:lineRule="auto" w:after="0"/>
            </w:pPr>
            <w:r>
              <w:rPr>
                <w:rFonts w:ascii="Calibri" w:hAnsi="Calibri" w:cs="Calibri"/>
                <w:b w:val="0"/>
                <w:color w:val="16211F"/>
                <w:sz w:val="19"/>
              </w:rPr>
              <w:t>P2</w:t>
            </w:r>
          </w:p>
        </w:tc>
      </w:tr>
      <w:tr>
        <w:trPr>
          <w:cantSplit w:val="true"/>
        </w:trPr>
        <w:tc>
          <w:tcPr>
            <w:tcW w:type="dxa" w:w="1944"/>
            <w:shd w:val="clear" w:color="auto" w:fill="F1F3F2"/>
          </w:tcPr>
          <w:p>
            <w:pPr>
              <w:keepNext/>
              <w:spacing w:line="276" w:lineRule="auto" w:after="0"/>
            </w:pPr>
            <w:r>
              <w:rPr>
                <w:rFonts w:ascii="Consolas" w:hAnsi="Consolas" w:cs="Consolas"/>
                <w:b w:val="0"/>
                <w:color w:val="16211F"/>
                <w:sz w:val="19"/>
              </w:rPr>
              <w:t>SYNC_DATA</w:t>
            </w:r>
          </w:p>
        </w:tc>
        <w:tc>
          <w:tcPr>
            <w:tcW w:type="dxa" w:w="2952"/>
            <w:shd w:val="clear" w:color="auto" w:fill="F1F3F2"/>
          </w:tcPr>
          <w:p>
            <w:pPr>
              <w:keepNext/>
              <w:spacing w:line="276" w:lineRule="auto" w:after="0"/>
            </w:pPr>
            <w:r>
              <w:rPr>
                <w:rFonts w:ascii="Calibri" w:hAnsi="Calibri" w:cs="Calibri"/>
                <w:b w:val="0"/>
                <w:color w:val="16211F"/>
                <w:sz w:val="19"/>
              </w:rPr>
              <w:t>Platform fetches sales, products, customers from the Shopify API</w:t>
            </w:r>
          </w:p>
        </w:tc>
        <w:tc>
          <w:tcPr>
            <w:tcW w:type="dxa" w:w="2304"/>
            <w:shd w:val="clear" w:color="auto" w:fill="F1F3F2"/>
          </w:tcPr>
          <w:p>
            <w:pPr>
              <w:keepNext/>
              <w:spacing w:line="276" w:lineRule="auto" w:after="0"/>
            </w:pPr>
            <w:r>
              <w:rPr>
                <w:rFonts w:ascii="Calibri" w:hAnsi="Calibri" w:cs="Calibri"/>
                <w:b w:val="0"/>
                <w:color w:val="16211F"/>
                <w:sz w:val="19"/>
              </w:rPr>
              <w:t>Sale, Product, Customer → Evidence</w:t>
            </w:r>
          </w:p>
        </w:tc>
        <w:tc>
          <w:tcPr>
            <w:tcW w:type="dxa" w:w="1584"/>
            <w:shd w:val="clear" w:color="auto" w:fill="F1F3F2"/>
          </w:tcPr>
          <w:p>
            <w:pPr>
              <w:keepNext/>
              <w:spacing w:line="276" w:lineRule="auto" w:after="0"/>
            </w:pPr>
            <w:r>
              <w:rPr>
                <w:rFonts w:ascii="Calibri" w:hAnsi="Calibri" w:cs="Calibri"/>
                <w:b w:val="0"/>
                <w:color w:val="16211F"/>
                <w:sz w:val="19"/>
              </w:rPr>
              <w:t>Platform (scheduled)</w:t>
            </w:r>
          </w:p>
        </w:tc>
        <w:tc>
          <w:tcPr>
            <w:tcW w:type="dxa" w:w="3312"/>
            <w:shd w:val="clear" w:color="auto" w:fill="F1F3F2"/>
          </w:tcPr>
          <w:p>
            <w:pPr>
              <w:keepNext/>
              <w:spacing w:line="276" w:lineRule="auto" w:after="0"/>
            </w:pPr>
            <w:r>
              <w:rPr>
                <w:rFonts w:ascii="Calibri" w:hAnsi="Calibri" w:cs="Calibri"/>
                <w:b w:val="0"/>
                <w:color w:val="16211F"/>
                <w:sz w:val="19"/>
              </w:rPr>
              <w:t>Role only (system); active connector</w:t>
            </w:r>
          </w:p>
        </w:tc>
        <w:tc>
          <w:tcPr>
            <w:tcW w:type="dxa" w:w="1008"/>
            <w:shd w:val="clear" w:color="auto" w:fill="F1F3F2"/>
          </w:tcPr>
          <w:p>
            <w:pPr>
              <w:keepNext/>
              <w:spacing w:line="276" w:lineRule="auto" w:after="0"/>
            </w:pPr>
            <w:r>
              <w:rPr>
                <w:rFonts w:ascii="Calibri" w:hAnsi="Calibri" w:cs="Calibri"/>
                <w:b w:val="0"/>
                <w:color w:val="16211F"/>
                <w:sz w:val="19"/>
              </w:rPr>
              <w:t>medium</w:t>
            </w:r>
          </w:p>
        </w:tc>
        <w:tc>
          <w:tcPr>
            <w:tcW w:type="dxa" w:w="792"/>
            <w:shd w:val="clear" w:color="auto" w:fill="F1F3F2"/>
          </w:tcPr>
          <w:p>
            <w:pPr>
              <w:keepNext/>
              <w:spacing w:line="276" w:lineRule="auto" w:after="0"/>
            </w:pPr>
            <w:r>
              <w:rPr>
                <w:rFonts w:ascii="Calibri" w:hAnsi="Calibri" w:cs="Calibri"/>
                <w:b w:val="0"/>
                <w:color w:val="16211F"/>
                <w:sz w:val="19"/>
              </w:rPr>
              <w:t>P2</w:t>
            </w:r>
          </w:p>
        </w:tc>
      </w:tr>
      <w:tr>
        <w:trPr>
          <w:cantSplit w:val="true"/>
        </w:trPr>
        <w:tc>
          <w:tcPr>
            <w:tcW w:type="dxa" w:w="1944"/>
          </w:tcPr>
          <w:p>
            <w:pPr>
              <w:keepNext/>
              <w:spacing w:line="276" w:lineRule="auto" w:after="0"/>
            </w:pPr>
            <w:r>
              <w:rPr>
                <w:rFonts w:ascii="Consolas" w:hAnsi="Consolas" w:cs="Consolas"/>
                <w:b w:val="0"/>
                <w:color w:val="16211F"/>
                <w:sz w:val="19"/>
              </w:rPr>
              <w:t>EXECUTE_ACTION</w:t>
            </w:r>
          </w:p>
        </w:tc>
        <w:tc>
          <w:tcPr>
            <w:tcW w:type="dxa" w:w="2952"/>
          </w:tcPr>
          <w:p>
            <w:pPr>
              <w:keepNext/>
              <w:spacing w:line="276" w:lineRule="auto" w:after="0"/>
            </w:pPr>
            <w:r>
              <w:rPr>
                <w:rFonts w:ascii="Calibri" w:hAnsi="Calibri" w:cs="Calibri"/>
                <w:b w:val="0"/>
                <w:color w:val="16211F"/>
                <w:sz w:val="19"/>
              </w:rPr>
              <w:t>Business takes an action (loyalty programme, price change, delisting, etc.)</w:t>
            </w:r>
          </w:p>
        </w:tc>
        <w:tc>
          <w:tcPr>
            <w:tcW w:type="dxa" w:w="2304"/>
          </w:tcPr>
          <w:p>
            <w:pPr>
              <w:keepNext/>
              <w:spacing w:line="276" w:lineRule="auto" w:after="0"/>
            </w:pPr>
            <w:r>
              <w:rPr>
                <w:rFonts w:ascii="Calibri" w:hAnsi="Calibri" w:cs="Calibri"/>
                <w:b w:val="0"/>
                <w:color w:val="16211F"/>
                <w:sz w:val="19"/>
              </w:rPr>
              <w:t>Action</w:t>
            </w:r>
          </w:p>
        </w:tc>
        <w:tc>
          <w:tcPr>
            <w:tcW w:type="dxa" w:w="1584"/>
          </w:tcPr>
          <w:p>
            <w:pPr>
              <w:keepNext/>
              <w:spacing w:line="276" w:lineRule="auto" w:after="0"/>
            </w:pPr>
            <w:r>
              <w:rPr>
                <w:rFonts w:ascii="Calibri" w:hAnsi="Calibri" w:cs="Calibri"/>
                <w:b w:val="0"/>
                <w:color w:val="16211F"/>
                <w:sz w:val="19"/>
              </w:rPr>
              <w:t>Business owner</w:t>
            </w:r>
          </w:p>
        </w:tc>
        <w:tc>
          <w:tcPr>
            <w:tcW w:type="dxa" w:w="3312"/>
          </w:tcPr>
          <w:p>
            <w:pPr>
              <w:keepNext/>
              <w:spacing w:line="276" w:lineRule="auto" w:after="0"/>
            </w:pPr>
            <w:r>
              <w:rPr>
                <w:rFonts w:ascii="Calibri" w:hAnsi="Calibri" w:cs="Calibri"/>
                <w:b w:val="0"/>
                <w:color w:val="16211F"/>
                <w:sz w:val="19"/>
              </w:rPr>
              <w:t xml:space="preserve">Decision outcome: RECOMMENDATION_ASSESSMENT = ASSESSED, and the Recommendation is </w:t>
            </w:r>
            <w:r>
              <w:rPr>
                <w:rFonts w:ascii="Consolas" w:hAnsi="Consolas" w:cs="Consolas"/>
                <w:b w:val="0"/>
                <w:color w:val="16211F"/>
                <w:sz w:val="19"/>
              </w:rPr>
              <w:t>accepted</w:t>
            </w:r>
          </w:p>
        </w:tc>
        <w:tc>
          <w:tcPr>
            <w:tcW w:type="dxa" w:w="1008"/>
          </w:tcPr>
          <w:p>
            <w:pPr>
              <w:keepNext/>
              <w:spacing w:line="276" w:lineRule="auto" w:after="0"/>
            </w:pPr>
            <w:r>
              <w:rPr>
                <w:rFonts w:ascii="Calibri" w:hAnsi="Calibri" w:cs="Calibri"/>
                <w:b w:val="0"/>
                <w:color w:val="16211F"/>
                <w:sz w:val="19"/>
              </w:rPr>
              <w:t>medium</w:t>
            </w:r>
          </w:p>
        </w:tc>
        <w:tc>
          <w:tcPr>
            <w:tcW w:type="dxa" w:w="792"/>
          </w:tcPr>
          <w:p>
            <w:pPr>
              <w:keepNext/>
              <w:spacing w:line="276" w:lineRule="auto" w:after="0"/>
            </w:pPr>
            <w:r>
              <w:rPr>
                <w:rFonts w:ascii="Calibri" w:hAnsi="Calibri" w:cs="Calibri"/>
                <w:b w:val="0"/>
                <w:color w:val="16211F"/>
                <w:sz w:val="19"/>
              </w:rPr>
              <w:t>P2</w:t>
            </w:r>
          </w:p>
        </w:tc>
      </w:tr>
      <w:tr>
        <w:trPr>
          <w:cantSplit w:val="true"/>
        </w:trPr>
        <w:tc>
          <w:tcPr>
            <w:tcW w:type="dxa" w:w="1944"/>
            <w:shd w:val="clear" w:color="auto" w:fill="F1F3F2"/>
          </w:tcPr>
          <w:p>
            <w:pPr>
              <w:spacing w:line="276" w:lineRule="auto" w:after="0"/>
            </w:pPr>
            <w:r>
              <w:rPr>
                <w:rFonts w:ascii="Consolas" w:hAnsi="Consolas" w:cs="Consolas"/>
                <w:b w:val="0"/>
                <w:color w:val="16211F"/>
                <w:sz w:val="19"/>
              </w:rPr>
              <w:t>RECORD_OUTCOME</w:t>
            </w:r>
          </w:p>
        </w:tc>
        <w:tc>
          <w:tcPr>
            <w:tcW w:type="dxa" w:w="2952"/>
            <w:shd w:val="clear" w:color="auto" w:fill="F1F3F2"/>
          </w:tcPr>
          <w:p>
            <w:pPr>
              <w:spacing w:line="276" w:lineRule="auto" w:after="0"/>
            </w:pPr>
            <w:r>
              <w:rPr>
                <w:rFonts w:ascii="Calibri" w:hAnsi="Calibri" w:cs="Calibri"/>
                <w:b w:val="0"/>
                <w:color w:val="16211F"/>
                <w:sz w:val="19"/>
              </w:rPr>
              <w:t>Business reports the results of an action</w:t>
            </w:r>
          </w:p>
        </w:tc>
        <w:tc>
          <w:tcPr>
            <w:tcW w:type="dxa" w:w="2304"/>
            <w:shd w:val="clear" w:color="auto" w:fill="F1F3F2"/>
          </w:tcPr>
          <w:p>
            <w:pPr>
              <w:spacing w:line="276" w:lineRule="auto" w:after="0"/>
            </w:pPr>
            <w:r>
              <w:rPr>
                <w:rFonts w:ascii="Calibri" w:hAnsi="Calibri" w:cs="Calibri"/>
                <w:b w:val="0"/>
                <w:color w:val="16211F"/>
                <w:sz w:val="19"/>
              </w:rPr>
              <w:t>Evidence (provenance = asserted)</w:t>
            </w:r>
          </w:p>
        </w:tc>
        <w:tc>
          <w:tcPr>
            <w:tcW w:type="dxa" w:w="1584"/>
            <w:shd w:val="clear" w:color="auto" w:fill="F1F3F2"/>
          </w:tcPr>
          <w:p>
            <w:pPr>
              <w:spacing w:line="276" w:lineRule="auto" w:after="0"/>
            </w:pPr>
            <w:r>
              <w:rPr>
                <w:rFonts w:ascii="Calibri" w:hAnsi="Calibri" w:cs="Calibri"/>
                <w:b w:val="0"/>
                <w:color w:val="16211F"/>
                <w:sz w:val="19"/>
              </w:rPr>
              <w:t>Business owner</w:t>
            </w:r>
          </w:p>
        </w:tc>
        <w:tc>
          <w:tcPr>
            <w:tcW w:type="dxa" w:w="3312"/>
            <w:shd w:val="clear" w:color="auto" w:fill="F1F3F2"/>
          </w:tcPr>
          <w:p>
            <w:pPr>
              <w:spacing w:line="276" w:lineRule="auto" w:after="0"/>
            </w:pPr>
            <w:r>
              <w:rPr>
                <w:rFonts w:ascii="Calibri" w:hAnsi="Calibri" w:cs="Calibri"/>
                <w:b w:val="0"/>
                <w:color w:val="16211F"/>
                <w:sz w:val="19"/>
              </w:rPr>
              <w:t>Role only (owner); Action status = done</w:t>
            </w:r>
          </w:p>
        </w:tc>
        <w:tc>
          <w:tcPr>
            <w:tcW w:type="dxa" w:w="1008"/>
            <w:shd w:val="clear" w:color="auto" w:fill="F1F3F2"/>
          </w:tcPr>
          <w:p>
            <w:pPr>
              <w:spacing w:line="276" w:lineRule="auto" w:after="0"/>
            </w:pPr>
            <w:r>
              <w:rPr>
                <w:rFonts w:ascii="Calibri" w:hAnsi="Calibri" w:cs="Calibri"/>
                <w:b w:val="0"/>
                <w:color w:val="16211F"/>
                <w:sz w:val="19"/>
              </w:rPr>
              <w:t>low</w:t>
            </w:r>
          </w:p>
        </w:tc>
        <w:tc>
          <w:tcPr>
            <w:tcW w:type="dxa" w:w="792"/>
            <w:shd w:val="clear" w:color="auto" w:fill="F1F3F2"/>
          </w:tcPr>
          <w:p>
            <w:pPr>
              <w:spacing w:line="276" w:lineRule="auto" w:after="0"/>
            </w:pPr>
            <w:r>
              <w:rPr>
                <w:rFonts w:ascii="Calibri" w:hAnsi="Calibri" w:cs="Calibri"/>
                <w:b w:val="0"/>
                <w:color w:val="16211F"/>
                <w:sz w:val="19"/>
              </w:rPr>
              <w:t>P2</w:t>
            </w:r>
          </w:p>
        </w:tc>
      </w:tr>
    </w:tbl>
    <w:p>
      <w:pPr>
        <w:spacing w:after="40"/>
      </w:pPr>
    </w:p>
    <w:tbl>
      <w:tblPr>
        <w:tblW w:type="auto" w:w="0"/>
        <w:jc w:val="center"/>
        <w:tblLayout w:type="fixed"/>
        <w:tblLook w:firstColumn="1" w:firstRow="1" w:lastColumn="0" w:lastRow="0" w:noHBand="0" w:noVBand="1" w:val="04A0"/>
        <w:tblBorders>
          <w:top w:val="single" w:sz="2" w:color="F4E2DD"/>
          <w:left w:val="single" w:sz="18" w:color="B03A22"/>
          <w:bottom w:val="single" w:sz="2" w:color="F4E2DD"/>
          <w:right w:val="single" w:sz="2" w:color="F4E2DD"/>
          <w:insideH w:val="single" w:sz="2" w:color="F4E2DD"/>
          <w:insideV w:val="single" w:sz="2" w:color="F4E2DD"/>
        </w:tblBorders>
        <w:tblCellMar>
          <w:top w:w="120" w:type="dxa"/>
          <w:left w:w="180" w:type="dxa"/>
          <w:bottom w:w="120" w:type="dxa"/>
          <w:right w:w="180" w:type="dxa"/>
        </w:tblCellMar>
      </w:tblPr>
      <w:tblGrid>
        <w:gridCol w:w="14040"/>
      </w:tblGrid>
      <w:tr>
        <w:trPr>
          <w:cantSplit w:val="true"/>
        </w:trPr>
        <w:tc>
          <w:tcPr>
            <w:tcW w:type="dxa" w:w="14040"/>
            <w:shd w:val="clear" w:color="auto" w:fill="F4E2DD"/>
          </w:tcPr>
          <w:p>
            <w:pPr>
              <w:spacing w:line="276" w:lineRule="auto" w:after="80"/>
            </w:pPr>
            <w:r>
              <w:rPr>
                <w:rFonts w:ascii="Calibri" w:hAnsi="Calibri" w:cs="Calibri"/>
                <w:b/>
                <w:color w:val="B03A22"/>
                <w:sz w:val="20"/>
              </w:rPr>
              <w:t>GOVERNANCE RULE</w:t>
            </w:r>
          </w:p>
          <w:p>
            <w:pPr>
              <w:spacing w:line="276" w:lineRule="auto" w:after="60"/>
            </w:pPr>
            <w:r>
              <w:rPr>
                <w:rFonts w:ascii="Calibri" w:hAnsi="Calibri" w:cs="Calibri"/>
                <w:b w:val="0"/>
                <w:color w:val="16211F"/>
                <w:sz w:val="20"/>
              </w:rPr>
              <w:t>Holding the owner role lets a user SUBMIT_DATA and RECORD_OUTCOME. It does not let them EXECUTE_ACTION against the platform's record: that verb is refused unless it references a Decision whose outcome is ASSESSED. The platform never blocks an owner from running their business — it blocks an action from being recorded as "recommended by Accord" when no decision said so.</w:t>
            </w:r>
          </w:p>
        </w:tc>
      </w:tr>
    </w:tbl>
    <w:p>
      <w:pPr>
        <w:spacing w:after="40"/>
      </w:pPr>
    </w:p>
    <w:p>
      <w:pPr>
        <w:pStyle w:val="Heading1"/>
        <w:spacing w:before="600"/>
        <w:pBdr>
          <w:top w:val="single" w:sz="12" w:space="10" w:color="1C8C7D"/>
        </w:pBdr>
      </w:pPr>
      <w:r>
        <w:t>5.  Evidence types</w:t>
      </w:r>
    </w:p>
    <w:p>
      <w:pPr>
        <w:keepNext w:val="0"/>
        <w:spacing w:after="0" w:line="360" w:lineRule="auto"/>
      </w:pPr>
      <w:r>
        <w:rPr>
          <w:rFonts w:ascii="Calibri" w:hAnsi="Calibri" w:cs="Calibri"/>
          <w:b w:val="0"/>
          <w:color w:val="16211F"/>
          <w:sz w:val="22"/>
        </w:rPr>
        <w:t>Twenty types in five categories. Each has one asserting party, one source, and one of three states: present, absent, or contradicted. Absent means the platform does not know — it is never coerced to zero. Contradicted means two sources disagree beyond tolerance and the disagreement is named. Phase 1 calculates fourteen types from the sales CSV and form; six depend on data the owner may not have and are expected to be absent for many beta businesses.</w:t>
      </w:r>
    </w:p>
    <w:p>
      <w:pPr>
        <w:pStyle w:val="Heading3"/>
      </w:pPr>
      <w:r>
        <w:t>Revenue &amp; Sales (5)</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864"/>
            <w:shd w:val="clear" w:color="auto" w:fill="1C3A36"/>
          </w:tcPr>
          <w:p>
            <w:pPr>
              <w:keepNext/>
              <w:spacing w:line="276" w:lineRule="auto" w:after="0"/>
            </w:pPr>
            <w:r>
              <w:rPr>
                <w:rFonts w:ascii="Calibri" w:hAnsi="Calibri" w:cs="Calibri"/>
                <w:b/>
                <w:color w:val="FFFFFF"/>
                <w:sz w:val="18"/>
              </w:rPr>
              <w:t>ID</w:t>
            </w:r>
          </w:p>
        </w:tc>
        <w:tc>
          <w:tcPr>
            <w:tcW w:type="dxa" w:w="2448"/>
            <w:shd w:val="clear" w:color="auto" w:fill="1C3A36"/>
          </w:tcPr>
          <w:p>
            <w:pPr>
              <w:keepNext/>
              <w:spacing w:line="276" w:lineRule="auto" w:after="0"/>
            </w:pPr>
            <w:r>
              <w:rPr>
                <w:rFonts w:ascii="Calibri" w:hAnsi="Calibri" w:cs="Calibri"/>
                <w:b/>
                <w:color w:val="FFFFFF"/>
                <w:sz w:val="18"/>
              </w:rPr>
              <w:t>Evidence type</w:t>
            </w:r>
          </w:p>
        </w:tc>
        <w:tc>
          <w:tcPr>
            <w:tcW w:type="dxa" w:w="1944"/>
            <w:shd w:val="clear" w:color="auto" w:fill="1C3A36"/>
          </w:tcPr>
          <w:p>
            <w:pPr>
              <w:keepNext/>
              <w:spacing w:line="276" w:lineRule="auto" w:after="0"/>
            </w:pPr>
            <w:r>
              <w:rPr>
                <w:rFonts w:ascii="Calibri" w:hAnsi="Calibri" w:cs="Calibri"/>
                <w:b/>
                <w:color w:val="FFFFFF"/>
                <w:sz w:val="18"/>
              </w:rPr>
              <w:t>Asserted by</w:t>
            </w:r>
          </w:p>
        </w:tc>
        <w:tc>
          <w:tcPr>
            <w:tcW w:type="dxa" w:w="3456"/>
            <w:shd w:val="clear" w:color="auto" w:fill="1C3A36"/>
          </w:tcPr>
          <w:p>
            <w:pPr>
              <w:keepNext/>
              <w:spacing w:line="276" w:lineRule="auto" w:after="0"/>
            </w:pPr>
            <w:r>
              <w:rPr>
                <w:rFonts w:ascii="Calibri" w:hAnsi="Calibri" w:cs="Calibri"/>
                <w:b/>
                <w:color w:val="FFFFFF"/>
                <w:sz w:val="18"/>
              </w:rPr>
              <w:t>Source</w:t>
            </w:r>
          </w:p>
        </w:tc>
        <w:tc>
          <w:tcPr>
            <w:tcW w:type="dxa" w:w="2448"/>
            <w:shd w:val="clear" w:color="auto" w:fill="1C3A36"/>
          </w:tcPr>
          <w:p>
            <w:pPr>
              <w:keepNext/>
              <w:spacing w:line="276" w:lineRule="auto" w:after="0"/>
            </w:pPr>
            <w:r>
              <w:rPr>
                <w:rFonts w:ascii="Calibri" w:hAnsi="Calibri" w:cs="Calibri"/>
                <w:b/>
                <w:color w:val="FFFFFF"/>
                <w:sz w:val="18"/>
              </w:rPr>
              <w:t>State in Phase 1</w:t>
            </w:r>
          </w:p>
        </w:tc>
        <w:tc>
          <w:tcPr>
            <w:tcW w:type="dxa" w:w="2880"/>
            <w:shd w:val="clear" w:color="auto" w:fill="1C3A36"/>
          </w:tcPr>
          <w:p>
            <w:pPr>
              <w:keepNext/>
              <w:spacing w:line="276" w:lineRule="auto" w:after="0"/>
            </w:pPr>
            <w:r>
              <w:rPr>
                <w:rFonts w:ascii="Calibri" w:hAnsi="Calibri" w:cs="Calibri"/>
                <w:b/>
                <w:color w:val="FFFFFF"/>
                <w:sz w:val="18"/>
              </w:rPr>
              <w:t>Role in diagnosis</w:t>
            </w:r>
          </w:p>
        </w:tc>
      </w:tr>
      <w:tr>
        <w:trPr>
          <w:cantSplit w:val="true"/>
        </w:trPr>
        <w:tc>
          <w:tcPr>
            <w:tcW w:type="dxa" w:w="864"/>
          </w:tcPr>
          <w:p>
            <w:pPr>
              <w:keepNext/>
              <w:spacing w:line="276" w:lineRule="auto" w:after="0"/>
            </w:pPr>
            <w:r>
              <w:rPr>
                <w:rFonts w:ascii="Consolas" w:hAnsi="Consolas" w:cs="Consolas"/>
                <w:b w:val="0"/>
                <w:color w:val="16211F"/>
                <w:sz w:val="18"/>
              </w:rPr>
              <w:t>EV-01</w:t>
            </w:r>
          </w:p>
        </w:tc>
        <w:tc>
          <w:tcPr>
            <w:tcW w:type="dxa" w:w="2448"/>
          </w:tcPr>
          <w:p>
            <w:pPr>
              <w:keepNext/>
              <w:spacing w:line="276" w:lineRule="auto" w:after="0"/>
            </w:pPr>
            <w:r>
              <w:rPr>
                <w:rFonts w:ascii="Calibri" w:hAnsi="Calibri" w:cs="Calibri"/>
                <w:b w:val="0"/>
                <w:color w:val="16211F"/>
                <w:sz w:val="18"/>
              </w:rPr>
              <w:t>Monthly revenue (business-wide)</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Sale — sum of net_revenue by month</w:t>
            </w:r>
          </w:p>
        </w:tc>
        <w:tc>
          <w:tcPr>
            <w:tcW w:type="dxa" w:w="2448"/>
          </w:tcPr>
          <w:p>
            <w:pPr>
              <w:keepNext/>
              <w:spacing w:line="276" w:lineRule="auto" w:after="0"/>
            </w:pPr>
            <w:r>
              <w:rPr>
                <w:rFonts w:ascii="Calibri" w:hAnsi="Calibri" w:cs="Calibri"/>
                <w:b w:val="0"/>
                <w:color w:val="16211F"/>
                <w:sz w:val="18"/>
              </w:rPr>
              <w:t>present — from sales CSV</w:t>
            </w:r>
          </w:p>
        </w:tc>
        <w:tc>
          <w:tcPr>
            <w:tcW w:type="dxa" w:w="2880"/>
          </w:tcPr>
          <w:p>
            <w:pPr>
              <w:keepNext/>
              <w:spacing w:line="276" w:lineRule="auto" w:after="0"/>
            </w:pPr>
            <w:r>
              <w:rPr>
                <w:rFonts w:ascii="Calibri" w:hAnsi="Calibri" w:cs="Calibri"/>
                <w:b w:val="0"/>
                <w:color w:val="16211F"/>
                <w:sz w:val="18"/>
              </w:rPr>
              <w:t>Baseline for every sizing; denominator for growth rate and opportunity</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EV-02</w:t>
            </w:r>
          </w:p>
        </w:tc>
        <w:tc>
          <w:tcPr>
            <w:tcW w:type="dxa" w:w="2448"/>
            <w:shd w:val="clear" w:color="auto" w:fill="F1F3F2"/>
          </w:tcPr>
          <w:p>
            <w:pPr>
              <w:keepNext/>
              <w:spacing w:line="276" w:lineRule="auto" w:after="0"/>
            </w:pPr>
            <w:r>
              <w:rPr>
                <w:rFonts w:ascii="Calibri" w:hAnsi="Calibri" w:cs="Calibri"/>
                <w:b w:val="0"/>
                <w:color w:val="16211F"/>
                <w:sz w:val="18"/>
              </w:rPr>
              <w:t>Revenue by product</w:t>
            </w:r>
          </w:p>
        </w:tc>
        <w:tc>
          <w:tcPr>
            <w:tcW w:type="dxa" w:w="1944"/>
            <w:shd w:val="clear" w:color="auto" w:fill="F1F3F2"/>
          </w:tcPr>
          <w:p>
            <w:pPr>
              <w:keepNext/>
              <w:spacing w:line="276" w:lineRule="auto" w:after="0"/>
            </w:pPr>
            <w:r>
              <w:rPr>
                <w:rFonts w:ascii="Calibri" w:hAnsi="Calibri" w:cs="Calibri"/>
                <w:b w:val="0"/>
                <w:color w:val="16211F"/>
                <w:sz w:val="18"/>
              </w:rPr>
              <w:t>Platform (derived)</w:t>
            </w:r>
          </w:p>
        </w:tc>
        <w:tc>
          <w:tcPr>
            <w:tcW w:type="dxa" w:w="3456"/>
            <w:shd w:val="clear" w:color="auto" w:fill="F1F3F2"/>
          </w:tcPr>
          <w:p>
            <w:pPr>
              <w:keepNext/>
              <w:spacing w:line="276" w:lineRule="auto" w:after="0"/>
            </w:pPr>
            <w:r>
              <w:rPr>
                <w:rFonts w:ascii="Calibri" w:hAnsi="Calibri" w:cs="Calibri"/>
                <w:b w:val="0"/>
                <w:color w:val="16211F"/>
                <w:sz w:val="18"/>
              </w:rPr>
              <w:t>Sale × Product</w:t>
            </w:r>
          </w:p>
        </w:tc>
        <w:tc>
          <w:tcPr>
            <w:tcW w:type="dxa" w:w="2448"/>
            <w:shd w:val="clear" w:color="auto" w:fill="F1F3F2"/>
          </w:tcPr>
          <w:p>
            <w:pPr>
              <w:keepNext/>
              <w:spacing w:line="276" w:lineRule="auto" w:after="0"/>
            </w:pPr>
            <w:r>
              <w:rPr>
                <w:rFonts w:ascii="Calibri" w:hAnsi="Calibri" w:cs="Calibri"/>
                <w:b w:val="0"/>
                <w:color w:val="16211F"/>
                <w:sz w:val="18"/>
              </w:rPr>
              <w:t>present — from sales CSV</w:t>
            </w:r>
          </w:p>
        </w:tc>
        <w:tc>
          <w:tcPr>
            <w:tcW w:type="dxa" w:w="2880"/>
            <w:shd w:val="clear" w:color="auto" w:fill="F1F3F2"/>
          </w:tcPr>
          <w:p>
            <w:pPr>
              <w:keepNext/>
              <w:spacing w:line="276" w:lineRule="auto" w:after="0"/>
            </w:pPr>
            <w:r>
              <w:rPr>
                <w:rFonts w:ascii="Calibri" w:hAnsi="Calibri" w:cs="Calibri"/>
                <w:b w:val="0"/>
                <w:color w:val="16211F"/>
                <w:sz w:val="18"/>
              </w:rPr>
              <w:t>Concentration risk; identifies low performers (MARGIN, INVENTORY)</w:t>
            </w:r>
          </w:p>
        </w:tc>
      </w:tr>
      <w:tr>
        <w:trPr>
          <w:cantSplit w:val="true"/>
        </w:trPr>
        <w:tc>
          <w:tcPr>
            <w:tcW w:type="dxa" w:w="864"/>
          </w:tcPr>
          <w:p>
            <w:pPr>
              <w:keepNext/>
              <w:spacing w:line="276" w:lineRule="auto" w:after="0"/>
            </w:pPr>
            <w:r>
              <w:rPr>
                <w:rFonts w:ascii="Consolas" w:hAnsi="Consolas" w:cs="Consolas"/>
                <w:b w:val="0"/>
                <w:color w:val="16211F"/>
                <w:sz w:val="18"/>
              </w:rPr>
              <w:t>EV-03</w:t>
            </w:r>
          </w:p>
        </w:tc>
        <w:tc>
          <w:tcPr>
            <w:tcW w:type="dxa" w:w="2448"/>
          </w:tcPr>
          <w:p>
            <w:pPr>
              <w:keepNext/>
              <w:spacing w:line="276" w:lineRule="auto" w:after="0"/>
            </w:pPr>
            <w:r>
              <w:rPr>
                <w:rFonts w:ascii="Calibri" w:hAnsi="Calibri" w:cs="Calibri"/>
                <w:b w:val="0"/>
                <w:color w:val="16211F"/>
                <w:sz w:val="18"/>
              </w:rPr>
              <w:t>Revenue by channel</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Sale.channel</w:t>
            </w:r>
          </w:p>
        </w:tc>
        <w:tc>
          <w:tcPr>
            <w:tcW w:type="dxa" w:w="2448"/>
          </w:tcPr>
          <w:p>
            <w:pPr>
              <w:keepNext/>
              <w:spacing w:line="276" w:lineRule="auto" w:after="0"/>
            </w:pPr>
            <w:r>
              <w:rPr>
                <w:rFonts w:ascii="Calibri" w:hAnsi="Calibri" w:cs="Calibri"/>
                <w:b w:val="0"/>
                <w:color w:val="16211F"/>
                <w:sz w:val="18"/>
              </w:rPr>
              <w:t>present if channel in CSV; else absent</w:t>
            </w:r>
          </w:p>
        </w:tc>
        <w:tc>
          <w:tcPr>
            <w:tcW w:type="dxa" w:w="2880"/>
          </w:tcPr>
          <w:p>
            <w:pPr>
              <w:keepNext/>
              <w:spacing w:line="276" w:lineRule="auto" w:after="0"/>
            </w:pPr>
            <w:r>
              <w:rPr>
                <w:rFonts w:ascii="Calibri" w:hAnsi="Calibri" w:cs="Calibri"/>
                <w:b w:val="0"/>
                <w:color w:val="16211F"/>
                <w:sz w:val="18"/>
              </w:rPr>
              <w:t>Channel dependence and underused channels (CHANNEL_MIX)</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EV-04</w:t>
            </w:r>
          </w:p>
        </w:tc>
        <w:tc>
          <w:tcPr>
            <w:tcW w:type="dxa" w:w="2448"/>
            <w:shd w:val="clear" w:color="auto" w:fill="F1F3F2"/>
          </w:tcPr>
          <w:p>
            <w:pPr>
              <w:keepNext/>
              <w:spacing w:line="276" w:lineRule="auto" w:after="0"/>
            </w:pPr>
            <w:r>
              <w:rPr>
                <w:rFonts w:ascii="Calibri" w:hAnsi="Calibri" w:cs="Calibri"/>
                <w:b w:val="0"/>
                <w:color w:val="16211F"/>
                <w:sz w:val="18"/>
              </w:rPr>
              <w:t>Revenue by customer cohort</w:t>
            </w:r>
          </w:p>
        </w:tc>
        <w:tc>
          <w:tcPr>
            <w:tcW w:type="dxa" w:w="1944"/>
            <w:shd w:val="clear" w:color="auto" w:fill="F1F3F2"/>
          </w:tcPr>
          <w:p>
            <w:pPr>
              <w:keepNext/>
              <w:spacing w:line="276" w:lineRule="auto" w:after="0"/>
            </w:pPr>
            <w:r>
              <w:rPr>
                <w:rFonts w:ascii="Calibri" w:hAnsi="Calibri" w:cs="Calibri"/>
                <w:b w:val="0"/>
                <w:color w:val="16211F"/>
                <w:sz w:val="18"/>
              </w:rPr>
              <w:t>Platform (derived)</w:t>
            </w:r>
          </w:p>
        </w:tc>
        <w:tc>
          <w:tcPr>
            <w:tcW w:type="dxa" w:w="3456"/>
            <w:shd w:val="clear" w:color="auto" w:fill="F1F3F2"/>
          </w:tcPr>
          <w:p>
            <w:pPr>
              <w:keepNext/>
              <w:spacing w:line="276" w:lineRule="auto" w:after="0"/>
            </w:pPr>
            <w:r>
              <w:rPr>
                <w:rFonts w:ascii="Calibri" w:hAnsi="Calibri" w:cs="Calibri"/>
                <w:b w:val="0"/>
                <w:color w:val="16211F"/>
                <w:sz w:val="18"/>
              </w:rPr>
              <w:t>Sale × Customer.cohort</w:t>
            </w:r>
          </w:p>
        </w:tc>
        <w:tc>
          <w:tcPr>
            <w:tcW w:type="dxa" w:w="2448"/>
            <w:shd w:val="clear" w:color="auto" w:fill="F1F3F2"/>
          </w:tcPr>
          <w:p>
            <w:pPr>
              <w:keepNext/>
              <w:spacing w:line="276" w:lineRule="auto" w:after="0"/>
            </w:pPr>
            <w:r>
              <w:rPr>
                <w:rFonts w:ascii="Calibri" w:hAnsi="Calibri" w:cs="Calibri"/>
                <w:b w:val="0"/>
                <w:color w:val="16211F"/>
                <w:sz w:val="18"/>
              </w:rPr>
              <w:t>present if customer_id in CSV; else absent</w:t>
            </w:r>
          </w:p>
        </w:tc>
        <w:tc>
          <w:tcPr>
            <w:tcW w:type="dxa" w:w="2880"/>
            <w:shd w:val="clear" w:color="auto" w:fill="F1F3F2"/>
          </w:tcPr>
          <w:p>
            <w:pPr>
              <w:keepNext/>
              <w:spacing w:line="276" w:lineRule="auto" w:after="0"/>
            </w:pPr>
            <w:r>
              <w:rPr>
                <w:rFonts w:ascii="Calibri" w:hAnsi="Calibri" w:cs="Calibri"/>
                <w:b w:val="0"/>
                <w:color w:val="16211F"/>
                <w:sz w:val="18"/>
              </w:rPr>
              <w:t>Whether growth is new customers or repeat (RETENTION, ACQUISITION)</w:t>
            </w:r>
          </w:p>
        </w:tc>
      </w:tr>
      <w:tr>
        <w:trPr>
          <w:cantSplit w:val="true"/>
        </w:trPr>
        <w:tc>
          <w:tcPr>
            <w:tcW w:type="dxa" w:w="864"/>
          </w:tcPr>
          <w:p>
            <w:pPr>
              <w:spacing w:line="276" w:lineRule="auto" w:after="0"/>
            </w:pPr>
            <w:r>
              <w:rPr>
                <w:rFonts w:ascii="Consolas" w:hAnsi="Consolas" w:cs="Consolas"/>
                <w:b w:val="0"/>
                <w:color w:val="16211F"/>
                <w:sz w:val="18"/>
              </w:rPr>
              <w:t>EV-05</w:t>
            </w:r>
          </w:p>
        </w:tc>
        <w:tc>
          <w:tcPr>
            <w:tcW w:type="dxa" w:w="2448"/>
          </w:tcPr>
          <w:p>
            <w:pPr>
              <w:spacing w:line="276" w:lineRule="auto" w:after="0"/>
            </w:pPr>
            <w:r>
              <w:rPr>
                <w:rFonts w:ascii="Calibri" w:hAnsi="Calibri" w:cs="Calibri"/>
                <w:b w:val="0"/>
                <w:color w:val="16211F"/>
                <w:sz w:val="18"/>
              </w:rPr>
              <w:t>Revenue trend (MoM / YoY)</w:t>
            </w:r>
          </w:p>
        </w:tc>
        <w:tc>
          <w:tcPr>
            <w:tcW w:type="dxa" w:w="1944"/>
          </w:tcPr>
          <w:p>
            <w:pPr>
              <w:spacing w:line="276" w:lineRule="auto" w:after="0"/>
            </w:pPr>
            <w:r>
              <w:rPr>
                <w:rFonts w:ascii="Calibri" w:hAnsi="Calibri" w:cs="Calibri"/>
                <w:b w:val="0"/>
                <w:color w:val="16211F"/>
                <w:sz w:val="18"/>
              </w:rPr>
              <w:t>Platform (derived)</w:t>
            </w:r>
          </w:p>
        </w:tc>
        <w:tc>
          <w:tcPr>
            <w:tcW w:type="dxa" w:w="3456"/>
          </w:tcPr>
          <w:p>
            <w:pPr>
              <w:spacing w:line="276" w:lineRule="auto" w:after="0"/>
            </w:pPr>
            <w:r>
              <w:rPr>
                <w:rFonts w:ascii="Calibri" w:hAnsi="Calibri" w:cs="Calibri"/>
                <w:b w:val="0"/>
                <w:color w:val="16211F"/>
                <w:sz w:val="18"/>
              </w:rPr>
              <w:t>EV-01 over time</w:t>
            </w:r>
          </w:p>
        </w:tc>
        <w:tc>
          <w:tcPr>
            <w:tcW w:type="dxa" w:w="2448"/>
          </w:tcPr>
          <w:p>
            <w:pPr>
              <w:spacing w:line="276" w:lineRule="auto" w:after="0"/>
            </w:pPr>
            <w:r>
              <w:rPr>
                <w:rFonts w:ascii="Calibri" w:hAnsi="Calibri" w:cs="Calibri"/>
                <w:b w:val="0"/>
                <w:color w:val="16211F"/>
                <w:sz w:val="18"/>
              </w:rPr>
              <w:t>present with ≥ 3 months; YoY absent under 13 months</w:t>
            </w:r>
          </w:p>
        </w:tc>
        <w:tc>
          <w:tcPr>
            <w:tcW w:type="dxa" w:w="2880"/>
          </w:tcPr>
          <w:p>
            <w:pPr>
              <w:spacing w:line="276" w:lineRule="auto" w:after="0"/>
            </w:pPr>
            <w:r>
              <w:rPr>
                <w:rFonts w:ascii="Calibri" w:hAnsi="Calibri" w:cs="Calibri"/>
                <w:b w:val="0"/>
                <w:color w:val="16211F"/>
                <w:sz w:val="18"/>
              </w:rPr>
              <w:t>Direction and momentum; severity weighting for every bottleneck</w:t>
            </w:r>
          </w:p>
        </w:tc>
      </w:tr>
    </w:tbl>
    <w:p>
      <w:pPr>
        <w:spacing w:after="40"/>
      </w:pPr>
    </w:p>
    <w:p>
      <w:pPr>
        <w:pStyle w:val="Heading3"/>
      </w:pPr>
      <w:r>
        <w:t>Customer &amp; Retention (4)</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864"/>
            <w:shd w:val="clear" w:color="auto" w:fill="1C3A36"/>
          </w:tcPr>
          <w:p>
            <w:pPr>
              <w:keepNext/>
              <w:spacing w:line="276" w:lineRule="auto" w:after="0"/>
            </w:pPr>
            <w:r>
              <w:rPr>
                <w:rFonts w:ascii="Calibri" w:hAnsi="Calibri" w:cs="Calibri"/>
                <w:b/>
                <w:color w:val="FFFFFF"/>
                <w:sz w:val="18"/>
              </w:rPr>
              <w:t>ID</w:t>
            </w:r>
          </w:p>
        </w:tc>
        <w:tc>
          <w:tcPr>
            <w:tcW w:type="dxa" w:w="2448"/>
            <w:shd w:val="clear" w:color="auto" w:fill="1C3A36"/>
          </w:tcPr>
          <w:p>
            <w:pPr>
              <w:keepNext/>
              <w:spacing w:line="276" w:lineRule="auto" w:after="0"/>
            </w:pPr>
            <w:r>
              <w:rPr>
                <w:rFonts w:ascii="Calibri" w:hAnsi="Calibri" w:cs="Calibri"/>
                <w:b/>
                <w:color w:val="FFFFFF"/>
                <w:sz w:val="18"/>
              </w:rPr>
              <w:t>Evidence type</w:t>
            </w:r>
          </w:p>
        </w:tc>
        <w:tc>
          <w:tcPr>
            <w:tcW w:type="dxa" w:w="1944"/>
            <w:shd w:val="clear" w:color="auto" w:fill="1C3A36"/>
          </w:tcPr>
          <w:p>
            <w:pPr>
              <w:keepNext/>
              <w:spacing w:line="276" w:lineRule="auto" w:after="0"/>
            </w:pPr>
            <w:r>
              <w:rPr>
                <w:rFonts w:ascii="Calibri" w:hAnsi="Calibri" w:cs="Calibri"/>
                <w:b/>
                <w:color w:val="FFFFFF"/>
                <w:sz w:val="18"/>
              </w:rPr>
              <w:t>Asserted by</w:t>
            </w:r>
          </w:p>
        </w:tc>
        <w:tc>
          <w:tcPr>
            <w:tcW w:type="dxa" w:w="3456"/>
            <w:shd w:val="clear" w:color="auto" w:fill="1C3A36"/>
          </w:tcPr>
          <w:p>
            <w:pPr>
              <w:keepNext/>
              <w:spacing w:line="276" w:lineRule="auto" w:after="0"/>
            </w:pPr>
            <w:r>
              <w:rPr>
                <w:rFonts w:ascii="Calibri" w:hAnsi="Calibri" w:cs="Calibri"/>
                <w:b/>
                <w:color w:val="FFFFFF"/>
                <w:sz w:val="18"/>
              </w:rPr>
              <w:t>Source</w:t>
            </w:r>
          </w:p>
        </w:tc>
        <w:tc>
          <w:tcPr>
            <w:tcW w:type="dxa" w:w="2448"/>
            <w:shd w:val="clear" w:color="auto" w:fill="1C3A36"/>
          </w:tcPr>
          <w:p>
            <w:pPr>
              <w:keepNext/>
              <w:spacing w:line="276" w:lineRule="auto" w:after="0"/>
            </w:pPr>
            <w:r>
              <w:rPr>
                <w:rFonts w:ascii="Calibri" w:hAnsi="Calibri" w:cs="Calibri"/>
                <w:b/>
                <w:color w:val="FFFFFF"/>
                <w:sz w:val="18"/>
              </w:rPr>
              <w:t>State in Phase 1</w:t>
            </w:r>
          </w:p>
        </w:tc>
        <w:tc>
          <w:tcPr>
            <w:tcW w:type="dxa" w:w="2880"/>
            <w:shd w:val="clear" w:color="auto" w:fill="1C3A36"/>
          </w:tcPr>
          <w:p>
            <w:pPr>
              <w:keepNext/>
              <w:spacing w:line="276" w:lineRule="auto" w:after="0"/>
            </w:pPr>
            <w:r>
              <w:rPr>
                <w:rFonts w:ascii="Calibri" w:hAnsi="Calibri" w:cs="Calibri"/>
                <w:b/>
                <w:color w:val="FFFFFF"/>
                <w:sz w:val="18"/>
              </w:rPr>
              <w:t>Role in diagnosis</w:t>
            </w:r>
          </w:p>
        </w:tc>
      </w:tr>
      <w:tr>
        <w:trPr>
          <w:cantSplit w:val="true"/>
        </w:trPr>
        <w:tc>
          <w:tcPr>
            <w:tcW w:type="dxa" w:w="864"/>
          </w:tcPr>
          <w:p>
            <w:pPr>
              <w:keepNext/>
              <w:spacing w:line="276" w:lineRule="auto" w:after="0"/>
            </w:pPr>
            <w:r>
              <w:rPr>
                <w:rFonts w:ascii="Consolas" w:hAnsi="Consolas" w:cs="Consolas"/>
                <w:b w:val="0"/>
                <w:color w:val="16211F"/>
                <w:sz w:val="18"/>
              </w:rPr>
              <w:t>EV-06</w:t>
            </w:r>
          </w:p>
        </w:tc>
        <w:tc>
          <w:tcPr>
            <w:tcW w:type="dxa" w:w="2448"/>
          </w:tcPr>
          <w:p>
            <w:pPr>
              <w:keepNext/>
              <w:spacing w:line="276" w:lineRule="auto" w:after="0"/>
            </w:pPr>
            <w:r>
              <w:rPr>
                <w:rFonts w:ascii="Calibri" w:hAnsi="Calibri" w:cs="Calibri"/>
                <w:b w:val="0"/>
                <w:color w:val="16211F"/>
                <w:sz w:val="18"/>
              </w:rPr>
              <w:t>Repeat customer rate</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Customer.order_count ≥ 2 ÷ all</w:t>
            </w:r>
          </w:p>
        </w:tc>
        <w:tc>
          <w:tcPr>
            <w:tcW w:type="dxa" w:w="2448"/>
          </w:tcPr>
          <w:p>
            <w:pPr>
              <w:keepNext/>
              <w:spacing w:line="276" w:lineRule="auto" w:after="0"/>
            </w:pPr>
            <w:r>
              <w:rPr>
                <w:rFonts w:ascii="Calibri" w:hAnsi="Calibri" w:cs="Calibri"/>
                <w:b w:val="0"/>
                <w:color w:val="16211F"/>
                <w:sz w:val="18"/>
              </w:rPr>
              <w:t>present if customer_id in CSV</w:t>
            </w:r>
          </w:p>
        </w:tc>
        <w:tc>
          <w:tcPr>
            <w:tcW w:type="dxa" w:w="2880"/>
          </w:tcPr>
          <w:p>
            <w:pPr>
              <w:keepNext/>
              <w:spacing w:line="276" w:lineRule="auto" w:after="0"/>
            </w:pPr>
            <w:r>
              <w:rPr>
                <w:rFonts w:ascii="Calibri" w:hAnsi="Calibri" w:cs="Calibri"/>
                <w:b w:val="0"/>
                <w:color w:val="16211F"/>
                <w:sz w:val="18"/>
              </w:rPr>
              <w:t>Primary RETENTION detector</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EV-07</w:t>
            </w:r>
          </w:p>
        </w:tc>
        <w:tc>
          <w:tcPr>
            <w:tcW w:type="dxa" w:w="2448"/>
            <w:shd w:val="clear" w:color="auto" w:fill="F1F3F2"/>
          </w:tcPr>
          <w:p>
            <w:pPr>
              <w:keepNext/>
              <w:spacing w:line="276" w:lineRule="auto" w:after="0"/>
            </w:pPr>
            <w:r>
              <w:rPr>
                <w:rFonts w:ascii="Calibri" w:hAnsi="Calibri" w:cs="Calibri"/>
                <w:b w:val="0"/>
                <w:color w:val="16211F"/>
                <w:sz w:val="18"/>
              </w:rPr>
              <w:t>Customer churn rate</w:t>
            </w:r>
          </w:p>
        </w:tc>
        <w:tc>
          <w:tcPr>
            <w:tcW w:type="dxa" w:w="1944"/>
            <w:shd w:val="clear" w:color="auto" w:fill="F1F3F2"/>
          </w:tcPr>
          <w:p>
            <w:pPr>
              <w:keepNext/>
              <w:spacing w:line="276" w:lineRule="auto" w:after="0"/>
            </w:pPr>
            <w:r>
              <w:rPr>
                <w:rFonts w:ascii="Calibri" w:hAnsi="Calibri" w:cs="Calibri"/>
                <w:b w:val="0"/>
                <w:color w:val="16211F"/>
                <w:sz w:val="18"/>
              </w:rPr>
              <w:t>Platform (derived)</w:t>
            </w:r>
          </w:p>
        </w:tc>
        <w:tc>
          <w:tcPr>
            <w:tcW w:type="dxa" w:w="3456"/>
            <w:shd w:val="clear" w:color="auto" w:fill="F1F3F2"/>
          </w:tcPr>
          <w:p>
            <w:pPr>
              <w:keepNext/>
              <w:spacing w:line="276" w:lineRule="auto" w:after="0"/>
            </w:pPr>
            <w:r>
              <w:rPr>
                <w:rFonts w:ascii="Calibri" w:hAnsi="Calibri" w:cs="Calibri"/>
                <w:b w:val="0"/>
                <w:color w:val="16211F"/>
                <w:sz w:val="18"/>
              </w:rPr>
              <w:t>Customers with no purchase in 2× median inter-purchase gap</w:t>
            </w:r>
          </w:p>
        </w:tc>
        <w:tc>
          <w:tcPr>
            <w:tcW w:type="dxa" w:w="2448"/>
            <w:shd w:val="clear" w:color="auto" w:fill="F1F3F2"/>
          </w:tcPr>
          <w:p>
            <w:pPr>
              <w:keepNext/>
              <w:spacing w:line="276" w:lineRule="auto" w:after="0"/>
            </w:pPr>
            <w:r>
              <w:rPr>
                <w:rFonts w:ascii="Calibri" w:hAnsi="Calibri" w:cs="Calibri"/>
                <w:b w:val="0"/>
                <w:color w:val="16211F"/>
                <w:sz w:val="18"/>
              </w:rPr>
              <w:t>present if customer_id in CSV and ≥ 6 months</w:t>
            </w:r>
          </w:p>
        </w:tc>
        <w:tc>
          <w:tcPr>
            <w:tcW w:type="dxa" w:w="2880"/>
            <w:shd w:val="clear" w:color="auto" w:fill="F1F3F2"/>
          </w:tcPr>
          <w:p>
            <w:pPr>
              <w:keepNext/>
              <w:spacing w:line="276" w:lineRule="auto" w:after="0"/>
            </w:pPr>
            <w:r>
              <w:rPr>
                <w:rFonts w:ascii="Calibri" w:hAnsi="Calibri" w:cs="Calibri"/>
                <w:b w:val="0"/>
                <w:color w:val="16211F"/>
                <w:sz w:val="18"/>
              </w:rPr>
              <w:t>RETENTION severity; compared against EV-19</w:t>
            </w:r>
          </w:p>
        </w:tc>
      </w:tr>
      <w:tr>
        <w:trPr>
          <w:cantSplit w:val="true"/>
        </w:trPr>
        <w:tc>
          <w:tcPr>
            <w:tcW w:type="dxa" w:w="864"/>
          </w:tcPr>
          <w:p>
            <w:pPr>
              <w:keepNext/>
              <w:spacing w:line="276" w:lineRule="auto" w:after="0"/>
            </w:pPr>
            <w:r>
              <w:rPr>
                <w:rFonts w:ascii="Consolas" w:hAnsi="Consolas" w:cs="Consolas"/>
                <w:b w:val="0"/>
                <w:color w:val="16211F"/>
                <w:sz w:val="18"/>
              </w:rPr>
              <w:t>EV-08</w:t>
            </w:r>
          </w:p>
        </w:tc>
        <w:tc>
          <w:tcPr>
            <w:tcW w:type="dxa" w:w="2448"/>
          </w:tcPr>
          <w:p>
            <w:pPr>
              <w:keepNext/>
              <w:spacing w:line="276" w:lineRule="auto" w:after="0"/>
            </w:pPr>
            <w:r>
              <w:rPr>
                <w:rFonts w:ascii="Calibri" w:hAnsi="Calibri" w:cs="Calibri"/>
                <w:b w:val="0"/>
                <w:color w:val="16211F"/>
                <w:sz w:val="18"/>
              </w:rPr>
              <w:t>Customer lifetime value</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Customer.lifetime_revenue × margin</w:t>
            </w:r>
          </w:p>
        </w:tc>
        <w:tc>
          <w:tcPr>
            <w:tcW w:type="dxa" w:w="2448"/>
          </w:tcPr>
          <w:p>
            <w:pPr>
              <w:keepNext/>
              <w:spacing w:line="276" w:lineRule="auto" w:after="0"/>
            </w:pPr>
            <w:r>
              <w:rPr>
                <w:rFonts w:ascii="Calibri" w:hAnsi="Calibri" w:cs="Calibri"/>
                <w:b w:val="0"/>
                <w:color w:val="16211F"/>
                <w:sz w:val="18"/>
              </w:rPr>
              <w:t>present if EV-06 and EV-13 present</w:t>
            </w:r>
          </w:p>
        </w:tc>
        <w:tc>
          <w:tcPr>
            <w:tcW w:type="dxa" w:w="2880"/>
          </w:tcPr>
          <w:p>
            <w:pPr>
              <w:keepNext/>
              <w:spacing w:line="276" w:lineRule="auto" w:after="0"/>
            </w:pPr>
            <w:r>
              <w:rPr>
                <w:rFonts w:ascii="Calibri" w:hAnsi="Calibri" w:cs="Calibri"/>
                <w:b w:val="0"/>
                <w:color w:val="16211F"/>
                <w:sz w:val="18"/>
              </w:rPr>
              <w:t>Sizes retention and acquisition opportunities in USD</w:t>
            </w:r>
          </w:p>
        </w:tc>
      </w:tr>
      <w:tr>
        <w:trPr>
          <w:cantSplit w:val="true"/>
        </w:trPr>
        <w:tc>
          <w:tcPr>
            <w:tcW w:type="dxa" w:w="864"/>
            <w:shd w:val="clear" w:color="auto" w:fill="F1F3F2"/>
          </w:tcPr>
          <w:p>
            <w:pPr>
              <w:spacing w:line="276" w:lineRule="auto" w:after="0"/>
            </w:pPr>
            <w:r>
              <w:rPr>
                <w:rFonts w:ascii="Consolas" w:hAnsi="Consolas" w:cs="Consolas"/>
                <w:b w:val="0"/>
                <w:color w:val="16211F"/>
                <w:sz w:val="18"/>
              </w:rPr>
              <w:t>EV-09</w:t>
            </w:r>
          </w:p>
        </w:tc>
        <w:tc>
          <w:tcPr>
            <w:tcW w:type="dxa" w:w="2448"/>
            <w:shd w:val="clear" w:color="auto" w:fill="F1F3F2"/>
          </w:tcPr>
          <w:p>
            <w:pPr>
              <w:spacing w:line="276" w:lineRule="auto" w:after="0"/>
            </w:pPr>
            <w:r>
              <w:rPr>
                <w:rFonts w:ascii="Calibri" w:hAnsi="Calibri" w:cs="Calibri"/>
                <w:b w:val="0"/>
                <w:color w:val="16211F"/>
                <w:sz w:val="18"/>
              </w:rPr>
              <w:t>Customer acquisition cost (by channel)</w:t>
            </w:r>
          </w:p>
        </w:tc>
        <w:tc>
          <w:tcPr>
            <w:tcW w:type="dxa" w:w="1944"/>
            <w:shd w:val="clear" w:color="auto" w:fill="F1F3F2"/>
          </w:tcPr>
          <w:p>
            <w:pPr>
              <w:spacing w:line="276" w:lineRule="auto" w:after="0"/>
            </w:pPr>
            <w:r>
              <w:rPr>
                <w:rFonts w:ascii="Calibri" w:hAnsi="Calibri" w:cs="Calibri"/>
                <w:b w:val="0"/>
                <w:color w:val="16211F"/>
                <w:sz w:val="18"/>
              </w:rPr>
              <w:t>Business owner (asserted)</w:t>
            </w:r>
          </w:p>
        </w:tc>
        <w:tc>
          <w:tcPr>
            <w:tcW w:type="dxa" w:w="3456"/>
            <w:shd w:val="clear" w:color="auto" w:fill="F1F3F2"/>
          </w:tcPr>
          <w:p>
            <w:pPr>
              <w:spacing w:line="276" w:lineRule="auto" w:after="0"/>
            </w:pPr>
            <w:r>
              <w:rPr>
                <w:rFonts w:ascii="Calibri" w:hAnsi="Calibri" w:cs="Calibri"/>
                <w:b w:val="0"/>
                <w:color w:val="16211F"/>
                <w:sz w:val="18"/>
              </w:rPr>
              <w:t>Form — marketing spend by channel</w:t>
            </w:r>
          </w:p>
        </w:tc>
        <w:tc>
          <w:tcPr>
            <w:tcW w:type="dxa" w:w="2448"/>
            <w:shd w:val="clear" w:color="auto" w:fill="F1F3F2"/>
          </w:tcPr>
          <w:p>
            <w:pPr>
              <w:spacing w:line="276" w:lineRule="auto" w:after="0"/>
            </w:pPr>
            <w:r>
              <w:rPr>
                <w:rFonts w:ascii="Calibri" w:hAnsi="Calibri" w:cs="Calibri"/>
                <w:b w:val="0"/>
                <w:color w:val="16211F"/>
                <w:sz w:val="18"/>
              </w:rPr>
              <w:t>present if owner enters spend; else absent</w:t>
            </w:r>
          </w:p>
        </w:tc>
        <w:tc>
          <w:tcPr>
            <w:tcW w:type="dxa" w:w="2880"/>
            <w:shd w:val="clear" w:color="auto" w:fill="F1F3F2"/>
          </w:tcPr>
          <w:p>
            <w:pPr>
              <w:spacing w:line="276" w:lineRule="auto" w:after="0"/>
            </w:pPr>
            <w:r>
              <w:rPr>
                <w:rFonts w:ascii="Calibri" w:hAnsi="Calibri" w:cs="Calibri"/>
                <w:b w:val="0"/>
                <w:color w:val="16211F"/>
                <w:sz w:val="18"/>
              </w:rPr>
              <w:t>ACQUISITION detector; CAC vs CLV ratio</w:t>
            </w:r>
          </w:p>
        </w:tc>
      </w:tr>
    </w:tbl>
    <w:p>
      <w:pPr>
        <w:spacing w:after="40"/>
      </w:pPr>
    </w:p>
    <w:p>
      <w:pPr>
        <w:pStyle w:val="Heading3"/>
      </w:pPr>
      <w:r>
        <w:t>Product Performance (4)</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864"/>
            <w:shd w:val="clear" w:color="auto" w:fill="1C3A36"/>
          </w:tcPr>
          <w:p>
            <w:pPr>
              <w:keepNext/>
              <w:spacing w:line="276" w:lineRule="auto" w:after="0"/>
            </w:pPr>
            <w:r>
              <w:rPr>
                <w:rFonts w:ascii="Calibri" w:hAnsi="Calibri" w:cs="Calibri"/>
                <w:b/>
                <w:color w:val="FFFFFF"/>
                <w:sz w:val="18"/>
              </w:rPr>
              <w:t>ID</w:t>
            </w:r>
          </w:p>
        </w:tc>
        <w:tc>
          <w:tcPr>
            <w:tcW w:type="dxa" w:w="2448"/>
            <w:shd w:val="clear" w:color="auto" w:fill="1C3A36"/>
          </w:tcPr>
          <w:p>
            <w:pPr>
              <w:keepNext/>
              <w:spacing w:line="276" w:lineRule="auto" w:after="0"/>
            </w:pPr>
            <w:r>
              <w:rPr>
                <w:rFonts w:ascii="Calibri" w:hAnsi="Calibri" w:cs="Calibri"/>
                <w:b/>
                <w:color w:val="FFFFFF"/>
                <w:sz w:val="18"/>
              </w:rPr>
              <w:t>Evidence type</w:t>
            </w:r>
          </w:p>
        </w:tc>
        <w:tc>
          <w:tcPr>
            <w:tcW w:type="dxa" w:w="1944"/>
            <w:shd w:val="clear" w:color="auto" w:fill="1C3A36"/>
          </w:tcPr>
          <w:p>
            <w:pPr>
              <w:keepNext/>
              <w:spacing w:line="276" w:lineRule="auto" w:after="0"/>
            </w:pPr>
            <w:r>
              <w:rPr>
                <w:rFonts w:ascii="Calibri" w:hAnsi="Calibri" w:cs="Calibri"/>
                <w:b/>
                <w:color w:val="FFFFFF"/>
                <w:sz w:val="18"/>
              </w:rPr>
              <w:t>Asserted by</w:t>
            </w:r>
          </w:p>
        </w:tc>
        <w:tc>
          <w:tcPr>
            <w:tcW w:type="dxa" w:w="3456"/>
            <w:shd w:val="clear" w:color="auto" w:fill="1C3A36"/>
          </w:tcPr>
          <w:p>
            <w:pPr>
              <w:keepNext/>
              <w:spacing w:line="276" w:lineRule="auto" w:after="0"/>
            </w:pPr>
            <w:r>
              <w:rPr>
                <w:rFonts w:ascii="Calibri" w:hAnsi="Calibri" w:cs="Calibri"/>
                <w:b/>
                <w:color w:val="FFFFFF"/>
                <w:sz w:val="18"/>
              </w:rPr>
              <w:t>Source</w:t>
            </w:r>
          </w:p>
        </w:tc>
        <w:tc>
          <w:tcPr>
            <w:tcW w:type="dxa" w:w="2448"/>
            <w:shd w:val="clear" w:color="auto" w:fill="1C3A36"/>
          </w:tcPr>
          <w:p>
            <w:pPr>
              <w:keepNext/>
              <w:spacing w:line="276" w:lineRule="auto" w:after="0"/>
            </w:pPr>
            <w:r>
              <w:rPr>
                <w:rFonts w:ascii="Calibri" w:hAnsi="Calibri" w:cs="Calibri"/>
                <w:b/>
                <w:color w:val="FFFFFF"/>
                <w:sz w:val="18"/>
              </w:rPr>
              <w:t>State in Phase 1</w:t>
            </w:r>
          </w:p>
        </w:tc>
        <w:tc>
          <w:tcPr>
            <w:tcW w:type="dxa" w:w="2880"/>
            <w:shd w:val="clear" w:color="auto" w:fill="1C3A36"/>
          </w:tcPr>
          <w:p>
            <w:pPr>
              <w:keepNext/>
              <w:spacing w:line="276" w:lineRule="auto" w:after="0"/>
            </w:pPr>
            <w:r>
              <w:rPr>
                <w:rFonts w:ascii="Calibri" w:hAnsi="Calibri" w:cs="Calibri"/>
                <w:b/>
                <w:color w:val="FFFFFF"/>
                <w:sz w:val="18"/>
              </w:rPr>
              <w:t>Role in diagnosis</w:t>
            </w:r>
          </w:p>
        </w:tc>
      </w:tr>
      <w:tr>
        <w:trPr>
          <w:cantSplit w:val="true"/>
        </w:trPr>
        <w:tc>
          <w:tcPr>
            <w:tcW w:type="dxa" w:w="864"/>
          </w:tcPr>
          <w:p>
            <w:pPr>
              <w:keepNext/>
              <w:spacing w:line="276" w:lineRule="auto" w:after="0"/>
            </w:pPr>
            <w:r>
              <w:rPr>
                <w:rFonts w:ascii="Consolas" w:hAnsi="Consolas" w:cs="Consolas"/>
                <w:b w:val="0"/>
                <w:color w:val="16211F"/>
                <w:sz w:val="18"/>
              </w:rPr>
              <w:t>EV-10</w:t>
            </w:r>
          </w:p>
        </w:tc>
        <w:tc>
          <w:tcPr>
            <w:tcW w:type="dxa" w:w="2448"/>
          </w:tcPr>
          <w:p>
            <w:pPr>
              <w:keepNext/>
              <w:spacing w:line="276" w:lineRule="auto" w:after="0"/>
            </w:pPr>
            <w:r>
              <w:rPr>
                <w:rFonts w:ascii="Calibri" w:hAnsi="Calibri" w:cs="Calibri"/>
                <w:b w:val="0"/>
                <w:color w:val="16211F"/>
                <w:sz w:val="18"/>
              </w:rPr>
              <w:t>Product gross margin</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(unit_price − unit_cost) ÷ unit_price per Product</w:t>
            </w:r>
          </w:p>
        </w:tc>
        <w:tc>
          <w:tcPr>
            <w:tcW w:type="dxa" w:w="2448"/>
          </w:tcPr>
          <w:p>
            <w:pPr>
              <w:keepNext/>
              <w:spacing w:line="276" w:lineRule="auto" w:after="0"/>
            </w:pPr>
            <w:r>
              <w:rPr>
                <w:rFonts w:ascii="Calibri" w:hAnsi="Calibri" w:cs="Calibri"/>
                <w:b w:val="0"/>
                <w:color w:val="16211F"/>
                <w:sz w:val="18"/>
              </w:rPr>
              <w:t>present if unit_cost supplied; else absent</w:t>
            </w:r>
          </w:p>
        </w:tc>
        <w:tc>
          <w:tcPr>
            <w:tcW w:type="dxa" w:w="2880"/>
          </w:tcPr>
          <w:p>
            <w:pPr>
              <w:keepNext/>
              <w:spacing w:line="276" w:lineRule="auto" w:after="0"/>
            </w:pPr>
            <w:r>
              <w:rPr>
                <w:rFonts w:ascii="Calibri" w:hAnsi="Calibri" w:cs="Calibri"/>
                <w:b w:val="0"/>
                <w:color w:val="16211F"/>
                <w:sz w:val="18"/>
              </w:rPr>
              <w:t>Primary MARGIN detector</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EV-11</w:t>
            </w:r>
          </w:p>
        </w:tc>
        <w:tc>
          <w:tcPr>
            <w:tcW w:type="dxa" w:w="2448"/>
            <w:shd w:val="clear" w:color="auto" w:fill="F1F3F2"/>
          </w:tcPr>
          <w:p>
            <w:pPr>
              <w:keepNext/>
              <w:spacing w:line="276" w:lineRule="auto" w:after="0"/>
            </w:pPr>
            <w:r>
              <w:rPr>
                <w:rFonts w:ascii="Calibri" w:hAnsi="Calibri" w:cs="Calibri"/>
                <w:b w:val="0"/>
                <w:color w:val="16211F"/>
                <w:sz w:val="18"/>
              </w:rPr>
              <w:t>Product profitability (after allocation)</w:t>
            </w:r>
          </w:p>
        </w:tc>
        <w:tc>
          <w:tcPr>
            <w:tcW w:type="dxa" w:w="1944"/>
            <w:shd w:val="clear" w:color="auto" w:fill="F1F3F2"/>
          </w:tcPr>
          <w:p>
            <w:pPr>
              <w:keepNext/>
              <w:spacing w:line="276" w:lineRule="auto" w:after="0"/>
            </w:pPr>
            <w:r>
              <w:rPr>
                <w:rFonts w:ascii="Calibri" w:hAnsi="Calibri" w:cs="Calibri"/>
                <w:b w:val="0"/>
                <w:color w:val="16211F"/>
                <w:sz w:val="18"/>
              </w:rPr>
              <w:t>Platform (derived)</w:t>
            </w:r>
          </w:p>
        </w:tc>
        <w:tc>
          <w:tcPr>
            <w:tcW w:type="dxa" w:w="3456"/>
            <w:shd w:val="clear" w:color="auto" w:fill="F1F3F2"/>
          </w:tcPr>
          <w:p>
            <w:pPr>
              <w:keepNext/>
              <w:spacing w:line="276" w:lineRule="auto" w:after="0"/>
            </w:pPr>
            <w:r>
              <w:rPr>
                <w:rFonts w:ascii="Calibri" w:hAnsi="Calibri" w:cs="Calibri"/>
                <w:b w:val="0"/>
                <w:color w:val="16211F"/>
                <w:sz w:val="18"/>
              </w:rPr>
              <w:t>EV-10 less allocated fees, shipping, returns</w:t>
            </w:r>
          </w:p>
        </w:tc>
        <w:tc>
          <w:tcPr>
            <w:tcW w:type="dxa" w:w="2448"/>
            <w:shd w:val="clear" w:color="auto" w:fill="F1F3F2"/>
          </w:tcPr>
          <w:p>
            <w:pPr>
              <w:keepNext/>
              <w:spacing w:line="276" w:lineRule="auto" w:after="0"/>
            </w:pPr>
            <w:r>
              <w:rPr>
                <w:rFonts w:ascii="Calibri" w:hAnsi="Calibri" w:cs="Calibri"/>
                <w:b w:val="0"/>
                <w:color w:val="16211F"/>
                <w:sz w:val="18"/>
              </w:rPr>
              <w:t>present if channel fees in form; else absent</w:t>
            </w:r>
          </w:p>
        </w:tc>
        <w:tc>
          <w:tcPr>
            <w:tcW w:type="dxa" w:w="2880"/>
            <w:shd w:val="clear" w:color="auto" w:fill="F1F3F2"/>
          </w:tcPr>
          <w:p>
            <w:pPr>
              <w:keepNext/>
              <w:spacing w:line="276" w:lineRule="auto" w:after="0"/>
            </w:pPr>
            <w:r>
              <w:rPr>
                <w:rFonts w:ascii="Calibri" w:hAnsi="Calibri" w:cs="Calibri"/>
                <w:b w:val="0"/>
                <w:color w:val="16211F"/>
                <w:sz w:val="18"/>
              </w:rPr>
              <w:t>Finds products that look profitable but are not (MARGIN, PRICING)</w:t>
            </w:r>
          </w:p>
        </w:tc>
      </w:tr>
      <w:tr>
        <w:trPr>
          <w:cantSplit w:val="true"/>
        </w:trPr>
        <w:tc>
          <w:tcPr>
            <w:tcW w:type="dxa" w:w="864"/>
          </w:tcPr>
          <w:p>
            <w:pPr>
              <w:keepNext/>
              <w:spacing w:line="276" w:lineRule="auto" w:after="0"/>
            </w:pPr>
            <w:r>
              <w:rPr>
                <w:rFonts w:ascii="Consolas" w:hAnsi="Consolas" w:cs="Consolas"/>
                <w:b w:val="0"/>
                <w:color w:val="16211F"/>
                <w:sz w:val="18"/>
              </w:rPr>
              <w:t>EV-12</w:t>
            </w:r>
          </w:p>
        </w:tc>
        <w:tc>
          <w:tcPr>
            <w:tcW w:type="dxa" w:w="2448"/>
          </w:tcPr>
          <w:p>
            <w:pPr>
              <w:keepNext/>
              <w:spacing w:line="276" w:lineRule="auto" w:after="0"/>
            </w:pPr>
            <w:r>
              <w:rPr>
                <w:rFonts w:ascii="Calibri" w:hAnsi="Calibri" w:cs="Calibri"/>
                <w:b w:val="0"/>
                <w:color w:val="16211F"/>
                <w:sz w:val="18"/>
              </w:rPr>
              <w:t>Product inventory age</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Inventory.age_days</w:t>
            </w:r>
          </w:p>
        </w:tc>
        <w:tc>
          <w:tcPr>
            <w:tcW w:type="dxa" w:w="2448"/>
          </w:tcPr>
          <w:p>
            <w:pPr>
              <w:keepNext/>
              <w:spacing w:line="276" w:lineRule="auto" w:after="0"/>
            </w:pPr>
            <w:r>
              <w:rPr>
                <w:rFonts w:ascii="Calibri" w:hAnsi="Calibri" w:cs="Calibri"/>
                <w:b w:val="0"/>
                <w:color w:val="16211F"/>
                <w:sz w:val="18"/>
              </w:rPr>
              <w:t>present if inventory CSV supplied; else absent</w:t>
            </w:r>
          </w:p>
        </w:tc>
        <w:tc>
          <w:tcPr>
            <w:tcW w:type="dxa" w:w="2880"/>
          </w:tcPr>
          <w:p>
            <w:pPr>
              <w:keepNext/>
              <w:spacing w:line="276" w:lineRule="auto" w:after="0"/>
            </w:pPr>
            <w:r>
              <w:rPr>
                <w:rFonts w:ascii="Calibri" w:hAnsi="Calibri" w:cs="Calibri"/>
                <w:b w:val="0"/>
                <w:color w:val="16211F"/>
                <w:sz w:val="18"/>
              </w:rPr>
              <w:t>Slow movers and dead stock (INVENTORY)</w:t>
            </w:r>
          </w:p>
        </w:tc>
      </w:tr>
      <w:tr>
        <w:trPr>
          <w:cantSplit w:val="true"/>
        </w:trPr>
        <w:tc>
          <w:tcPr>
            <w:tcW w:type="dxa" w:w="864"/>
            <w:shd w:val="clear" w:color="auto" w:fill="F1F3F2"/>
          </w:tcPr>
          <w:p>
            <w:pPr>
              <w:spacing w:line="276" w:lineRule="auto" w:after="0"/>
            </w:pPr>
            <w:r>
              <w:rPr>
                <w:rFonts w:ascii="Consolas" w:hAnsi="Consolas" w:cs="Consolas"/>
                <w:b w:val="0"/>
                <w:color w:val="16211F"/>
                <w:sz w:val="18"/>
              </w:rPr>
              <w:t>EV-13</w:t>
            </w:r>
          </w:p>
        </w:tc>
        <w:tc>
          <w:tcPr>
            <w:tcW w:type="dxa" w:w="2448"/>
            <w:shd w:val="clear" w:color="auto" w:fill="F1F3F2"/>
          </w:tcPr>
          <w:p>
            <w:pPr>
              <w:spacing w:line="276" w:lineRule="auto" w:after="0"/>
            </w:pPr>
            <w:r>
              <w:rPr>
                <w:rFonts w:ascii="Calibri" w:hAnsi="Calibri" w:cs="Calibri"/>
                <w:b w:val="0"/>
                <w:color w:val="16211F"/>
                <w:sz w:val="18"/>
              </w:rPr>
              <w:t>Product return rate</w:t>
            </w:r>
          </w:p>
        </w:tc>
        <w:tc>
          <w:tcPr>
            <w:tcW w:type="dxa" w:w="1944"/>
            <w:shd w:val="clear" w:color="auto" w:fill="F1F3F2"/>
          </w:tcPr>
          <w:p>
            <w:pPr>
              <w:spacing w:line="276" w:lineRule="auto" w:after="0"/>
            </w:pPr>
            <w:r>
              <w:rPr>
                <w:rFonts w:ascii="Calibri" w:hAnsi="Calibri" w:cs="Calibri"/>
                <w:b w:val="0"/>
                <w:color w:val="16211F"/>
                <w:sz w:val="18"/>
              </w:rPr>
              <w:t>Platform (derived)</w:t>
            </w:r>
          </w:p>
        </w:tc>
        <w:tc>
          <w:tcPr>
            <w:tcW w:type="dxa" w:w="3456"/>
            <w:shd w:val="clear" w:color="auto" w:fill="F1F3F2"/>
          </w:tcPr>
          <w:p>
            <w:pPr>
              <w:spacing w:line="276" w:lineRule="auto" w:after="0"/>
            </w:pPr>
            <w:r>
              <w:rPr>
                <w:rFonts w:ascii="Calibri" w:hAnsi="Calibri" w:cs="Calibri"/>
                <w:b w:val="0"/>
                <w:color w:val="16211F"/>
                <w:sz w:val="18"/>
              </w:rPr>
              <w:t>Sale.returned ÷ Sale count per Product</w:t>
            </w:r>
          </w:p>
        </w:tc>
        <w:tc>
          <w:tcPr>
            <w:tcW w:type="dxa" w:w="2448"/>
            <w:shd w:val="clear" w:color="auto" w:fill="F1F3F2"/>
          </w:tcPr>
          <w:p>
            <w:pPr>
              <w:spacing w:line="276" w:lineRule="auto" w:after="0"/>
            </w:pPr>
            <w:r>
              <w:rPr>
                <w:rFonts w:ascii="Calibri" w:hAnsi="Calibri" w:cs="Calibri"/>
                <w:b w:val="0"/>
                <w:color w:val="16211F"/>
                <w:sz w:val="18"/>
              </w:rPr>
              <w:t>present if returns flagged in CSV; else absent</w:t>
            </w:r>
          </w:p>
        </w:tc>
        <w:tc>
          <w:tcPr>
            <w:tcW w:type="dxa" w:w="2880"/>
            <w:shd w:val="clear" w:color="auto" w:fill="F1F3F2"/>
          </w:tcPr>
          <w:p>
            <w:pPr>
              <w:spacing w:line="276" w:lineRule="auto" w:after="0"/>
            </w:pPr>
            <w:r>
              <w:rPr>
                <w:rFonts w:ascii="Calibri" w:hAnsi="Calibri" w:cs="Calibri"/>
                <w:b w:val="0"/>
                <w:color w:val="16211F"/>
                <w:sz w:val="18"/>
              </w:rPr>
              <w:t>Hidden margin leak; quality signal (MARGIN, CONVERSION)</w:t>
            </w:r>
          </w:p>
        </w:tc>
      </w:tr>
    </w:tbl>
    <w:p>
      <w:pPr>
        <w:spacing w:after="40"/>
      </w:pPr>
    </w:p>
    <w:p>
      <w:pPr>
        <w:pStyle w:val="Heading3"/>
      </w:pPr>
      <w:r>
        <w:t>Operational (4)</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864"/>
            <w:shd w:val="clear" w:color="auto" w:fill="1C3A36"/>
          </w:tcPr>
          <w:p>
            <w:pPr>
              <w:keepNext/>
              <w:spacing w:line="276" w:lineRule="auto" w:after="0"/>
            </w:pPr>
            <w:r>
              <w:rPr>
                <w:rFonts w:ascii="Calibri" w:hAnsi="Calibri" w:cs="Calibri"/>
                <w:b/>
                <w:color w:val="FFFFFF"/>
                <w:sz w:val="18"/>
              </w:rPr>
              <w:t>ID</w:t>
            </w:r>
          </w:p>
        </w:tc>
        <w:tc>
          <w:tcPr>
            <w:tcW w:type="dxa" w:w="2448"/>
            <w:shd w:val="clear" w:color="auto" w:fill="1C3A36"/>
          </w:tcPr>
          <w:p>
            <w:pPr>
              <w:keepNext/>
              <w:spacing w:line="276" w:lineRule="auto" w:after="0"/>
            </w:pPr>
            <w:r>
              <w:rPr>
                <w:rFonts w:ascii="Calibri" w:hAnsi="Calibri" w:cs="Calibri"/>
                <w:b/>
                <w:color w:val="FFFFFF"/>
                <w:sz w:val="18"/>
              </w:rPr>
              <w:t>Evidence type</w:t>
            </w:r>
          </w:p>
        </w:tc>
        <w:tc>
          <w:tcPr>
            <w:tcW w:type="dxa" w:w="1944"/>
            <w:shd w:val="clear" w:color="auto" w:fill="1C3A36"/>
          </w:tcPr>
          <w:p>
            <w:pPr>
              <w:keepNext/>
              <w:spacing w:line="276" w:lineRule="auto" w:after="0"/>
            </w:pPr>
            <w:r>
              <w:rPr>
                <w:rFonts w:ascii="Calibri" w:hAnsi="Calibri" w:cs="Calibri"/>
                <w:b/>
                <w:color w:val="FFFFFF"/>
                <w:sz w:val="18"/>
              </w:rPr>
              <w:t>Asserted by</w:t>
            </w:r>
          </w:p>
        </w:tc>
        <w:tc>
          <w:tcPr>
            <w:tcW w:type="dxa" w:w="3456"/>
            <w:shd w:val="clear" w:color="auto" w:fill="1C3A36"/>
          </w:tcPr>
          <w:p>
            <w:pPr>
              <w:keepNext/>
              <w:spacing w:line="276" w:lineRule="auto" w:after="0"/>
            </w:pPr>
            <w:r>
              <w:rPr>
                <w:rFonts w:ascii="Calibri" w:hAnsi="Calibri" w:cs="Calibri"/>
                <w:b/>
                <w:color w:val="FFFFFF"/>
                <w:sz w:val="18"/>
              </w:rPr>
              <w:t>Source</w:t>
            </w:r>
          </w:p>
        </w:tc>
        <w:tc>
          <w:tcPr>
            <w:tcW w:type="dxa" w:w="2448"/>
            <w:shd w:val="clear" w:color="auto" w:fill="1C3A36"/>
          </w:tcPr>
          <w:p>
            <w:pPr>
              <w:keepNext/>
              <w:spacing w:line="276" w:lineRule="auto" w:after="0"/>
            </w:pPr>
            <w:r>
              <w:rPr>
                <w:rFonts w:ascii="Calibri" w:hAnsi="Calibri" w:cs="Calibri"/>
                <w:b/>
                <w:color w:val="FFFFFF"/>
                <w:sz w:val="18"/>
              </w:rPr>
              <w:t>State in Phase 1</w:t>
            </w:r>
          </w:p>
        </w:tc>
        <w:tc>
          <w:tcPr>
            <w:tcW w:type="dxa" w:w="2880"/>
            <w:shd w:val="clear" w:color="auto" w:fill="1C3A36"/>
          </w:tcPr>
          <w:p>
            <w:pPr>
              <w:keepNext/>
              <w:spacing w:line="276" w:lineRule="auto" w:after="0"/>
            </w:pPr>
            <w:r>
              <w:rPr>
                <w:rFonts w:ascii="Calibri" w:hAnsi="Calibri" w:cs="Calibri"/>
                <w:b/>
                <w:color w:val="FFFFFF"/>
                <w:sz w:val="18"/>
              </w:rPr>
              <w:t>Role in diagnosis</w:t>
            </w:r>
          </w:p>
        </w:tc>
      </w:tr>
      <w:tr>
        <w:trPr>
          <w:cantSplit w:val="true"/>
        </w:trPr>
        <w:tc>
          <w:tcPr>
            <w:tcW w:type="dxa" w:w="864"/>
          </w:tcPr>
          <w:p>
            <w:pPr>
              <w:keepNext/>
              <w:spacing w:line="276" w:lineRule="auto" w:after="0"/>
            </w:pPr>
            <w:r>
              <w:rPr>
                <w:rFonts w:ascii="Consolas" w:hAnsi="Consolas" w:cs="Consolas"/>
                <w:b w:val="0"/>
                <w:color w:val="16211F"/>
                <w:sz w:val="18"/>
              </w:rPr>
              <w:t>EV-14</w:t>
            </w:r>
          </w:p>
        </w:tc>
        <w:tc>
          <w:tcPr>
            <w:tcW w:type="dxa" w:w="2448"/>
          </w:tcPr>
          <w:p>
            <w:pPr>
              <w:keepNext/>
              <w:spacing w:line="276" w:lineRule="auto" w:after="0"/>
            </w:pPr>
            <w:r>
              <w:rPr>
                <w:rFonts w:ascii="Calibri" w:hAnsi="Calibri" w:cs="Calibri"/>
                <w:b w:val="0"/>
                <w:color w:val="16211F"/>
                <w:sz w:val="18"/>
              </w:rPr>
              <w:t>Inventory turnover</w:t>
            </w:r>
          </w:p>
        </w:tc>
        <w:tc>
          <w:tcPr>
            <w:tcW w:type="dxa" w:w="1944"/>
          </w:tcPr>
          <w:p>
            <w:pPr>
              <w:keepNext/>
              <w:spacing w:line="276" w:lineRule="auto" w:after="0"/>
            </w:pPr>
            <w:r>
              <w:rPr>
                <w:rFonts w:ascii="Calibri" w:hAnsi="Calibri" w:cs="Calibri"/>
                <w:b w:val="0"/>
                <w:color w:val="16211F"/>
                <w:sz w:val="18"/>
              </w:rPr>
              <w:t>Platform (derived)</w:t>
            </w:r>
          </w:p>
        </w:tc>
        <w:tc>
          <w:tcPr>
            <w:tcW w:type="dxa" w:w="3456"/>
          </w:tcPr>
          <w:p>
            <w:pPr>
              <w:keepNext/>
              <w:spacing w:line="276" w:lineRule="auto" w:after="0"/>
            </w:pPr>
            <w:r>
              <w:rPr>
                <w:rFonts w:ascii="Calibri" w:hAnsi="Calibri" w:cs="Calibri"/>
                <w:b w:val="0"/>
                <w:color w:val="16211F"/>
                <w:sz w:val="18"/>
              </w:rPr>
              <w:t>COGS ÷ average inventory value</w:t>
            </w:r>
          </w:p>
        </w:tc>
        <w:tc>
          <w:tcPr>
            <w:tcW w:type="dxa" w:w="2448"/>
          </w:tcPr>
          <w:p>
            <w:pPr>
              <w:keepNext/>
              <w:spacing w:line="276" w:lineRule="auto" w:after="0"/>
            </w:pPr>
            <w:r>
              <w:rPr>
                <w:rFonts w:ascii="Calibri" w:hAnsi="Calibri" w:cs="Calibri"/>
                <w:b w:val="0"/>
                <w:color w:val="16211F"/>
                <w:sz w:val="18"/>
              </w:rPr>
              <w:t>present if inventory CSV supplied</w:t>
            </w:r>
          </w:p>
        </w:tc>
        <w:tc>
          <w:tcPr>
            <w:tcW w:type="dxa" w:w="2880"/>
          </w:tcPr>
          <w:p>
            <w:pPr>
              <w:keepNext/>
              <w:spacing w:line="276" w:lineRule="auto" w:after="0"/>
            </w:pPr>
            <w:r>
              <w:rPr>
                <w:rFonts w:ascii="Calibri" w:hAnsi="Calibri" w:cs="Calibri"/>
                <w:b w:val="0"/>
                <w:color w:val="16211F"/>
                <w:sz w:val="18"/>
              </w:rPr>
              <w:t>Capital tied up in stock (INVENTORY)</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EV-15</w:t>
            </w:r>
          </w:p>
        </w:tc>
        <w:tc>
          <w:tcPr>
            <w:tcW w:type="dxa" w:w="2448"/>
            <w:shd w:val="clear" w:color="auto" w:fill="F1F3F2"/>
          </w:tcPr>
          <w:p>
            <w:pPr>
              <w:keepNext/>
              <w:spacing w:line="276" w:lineRule="auto" w:after="0"/>
            </w:pPr>
            <w:r>
              <w:rPr>
                <w:rFonts w:ascii="Calibri" w:hAnsi="Calibri" w:cs="Calibri"/>
                <w:b w:val="0"/>
                <w:color w:val="16211F"/>
                <w:sz w:val="18"/>
              </w:rPr>
              <w:t>Slow-moving inventory value</w:t>
            </w:r>
          </w:p>
        </w:tc>
        <w:tc>
          <w:tcPr>
            <w:tcW w:type="dxa" w:w="1944"/>
            <w:shd w:val="clear" w:color="auto" w:fill="F1F3F2"/>
          </w:tcPr>
          <w:p>
            <w:pPr>
              <w:keepNext/>
              <w:spacing w:line="276" w:lineRule="auto" w:after="0"/>
            </w:pPr>
            <w:r>
              <w:rPr>
                <w:rFonts w:ascii="Calibri" w:hAnsi="Calibri" w:cs="Calibri"/>
                <w:b w:val="0"/>
                <w:color w:val="16211F"/>
                <w:sz w:val="18"/>
              </w:rPr>
              <w:t>Platform (derived)</w:t>
            </w:r>
          </w:p>
        </w:tc>
        <w:tc>
          <w:tcPr>
            <w:tcW w:type="dxa" w:w="3456"/>
            <w:shd w:val="clear" w:color="auto" w:fill="F1F3F2"/>
          </w:tcPr>
          <w:p>
            <w:pPr>
              <w:keepNext/>
              <w:spacing w:line="276" w:lineRule="auto" w:after="0"/>
            </w:pPr>
            <w:r>
              <w:rPr>
                <w:rFonts w:ascii="Calibri" w:hAnsi="Calibri" w:cs="Calibri"/>
                <w:b w:val="0"/>
                <w:color w:val="16211F"/>
                <w:sz w:val="18"/>
              </w:rPr>
              <w:t>Inventory value where age_days &gt; 90 and no sale in 60 days</w:t>
            </w:r>
          </w:p>
        </w:tc>
        <w:tc>
          <w:tcPr>
            <w:tcW w:type="dxa" w:w="2448"/>
            <w:shd w:val="clear" w:color="auto" w:fill="F1F3F2"/>
          </w:tcPr>
          <w:p>
            <w:pPr>
              <w:keepNext/>
              <w:spacing w:line="276" w:lineRule="auto" w:after="0"/>
            </w:pPr>
            <w:r>
              <w:rPr>
                <w:rFonts w:ascii="Calibri" w:hAnsi="Calibri" w:cs="Calibri"/>
                <w:b w:val="0"/>
                <w:color w:val="16211F"/>
                <w:sz w:val="18"/>
              </w:rPr>
              <w:t>present if inventory CSV supplied</w:t>
            </w:r>
          </w:p>
        </w:tc>
        <w:tc>
          <w:tcPr>
            <w:tcW w:type="dxa" w:w="2880"/>
            <w:shd w:val="clear" w:color="auto" w:fill="F1F3F2"/>
          </w:tcPr>
          <w:p>
            <w:pPr>
              <w:keepNext/>
              <w:spacing w:line="276" w:lineRule="auto" w:after="0"/>
            </w:pPr>
            <w:r>
              <w:rPr>
                <w:rFonts w:ascii="Calibri" w:hAnsi="Calibri" w:cs="Calibri"/>
                <w:b w:val="0"/>
                <w:color w:val="16211F"/>
                <w:sz w:val="18"/>
              </w:rPr>
              <w:t>Sizes the INVENTORY opportunity in USD</w:t>
            </w:r>
          </w:p>
        </w:tc>
      </w:tr>
      <w:tr>
        <w:trPr>
          <w:cantSplit w:val="true"/>
        </w:trPr>
        <w:tc>
          <w:tcPr>
            <w:tcW w:type="dxa" w:w="864"/>
          </w:tcPr>
          <w:p>
            <w:pPr>
              <w:keepNext/>
              <w:spacing w:line="276" w:lineRule="auto" w:after="0"/>
            </w:pPr>
            <w:r>
              <w:rPr>
                <w:rFonts w:ascii="Consolas" w:hAnsi="Consolas" w:cs="Consolas"/>
                <w:b w:val="0"/>
                <w:color w:val="16211F"/>
                <w:sz w:val="18"/>
              </w:rPr>
              <w:t>EV-16</w:t>
            </w:r>
          </w:p>
        </w:tc>
        <w:tc>
          <w:tcPr>
            <w:tcW w:type="dxa" w:w="2448"/>
          </w:tcPr>
          <w:p>
            <w:pPr>
              <w:keepNext/>
              <w:spacing w:line="276" w:lineRule="auto" w:after="0"/>
            </w:pPr>
            <w:r>
              <w:rPr>
                <w:rFonts w:ascii="Calibri" w:hAnsi="Calibri" w:cs="Calibri"/>
                <w:b w:val="0"/>
                <w:color w:val="16211F"/>
                <w:sz w:val="18"/>
              </w:rPr>
              <w:t>Stockout frequency</w:t>
            </w:r>
          </w:p>
        </w:tc>
        <w:tc>
          <w:tcPr>
            <w:tcW w:type="dxa" w:w="1944"/>
          </w:tcPr>
          <w:p>
            <w:pPr>
              <w:keepNext/>
              <w:spacing w:line="276" w:lineRule="auto" w:after="0"/>
            </w:pPr>
            <w:r>
              <w:rPr>
                <w:rFonts w:ascii="Calibri" w:hAnsi="Calibri" w:cs="Calibri"/>
                <w:b w:val="0"/>
                <w:color w:val="16211F"/>
                <w:sz w:val="18"/>
              </w:rPr>
              <w:t>Business owner (asserted) or derived</w:t>
            </w:r>
          </w:p>
        </w:tc>
        <w:tc>
          <w:tcPr>
            <w:tcW w:type="dxa" w:w="3456"/>
          </w:tcPr>
          <w:p>
            <w:pPr>
              <w:keepNext/>
              <w:spacing w:line="276" w:lineRule="auto" w:after="0"/>
            </w:pPr>
            <w:r>
              <w:rPr>
                <w:rFonts w:ascii="Calibri" w:hAnsi="Calibri" w:cs="Calibri"/>
                <w:b w:val="0"/>
                <w:color w:val="16211F"/>
                <w:sz w:val="18"/>
              </w:rPr>
              <w:t>Form, or Inventory on_hand_qty = 0 against demand</w:t>
            </w:r>
          </w:p>
        </w:tc>
        <w:tc>
          <w:tcPr>
            <w:tcW w:type="dxa" w:w="2448"/>
          </w:tcPr>
          <w:p>
            <w:pPr>
              <w:keepNext/>
              <w:spacing w:line="276" w:lineRule="auto" w:after="0"/>
            </w:pPr>
            <w:r>
              <w:rPr>
                <w:rFonts w:ascii="Calibri" w:hAnsi="Calibri" w:cs="Calibri"/>
                <w:b w:val="0"/>
                <w:color w:val="16211F"/>
                <w:sz w:val="18"/>
              </w:rPr>
              <w:t>asserted in P1; derived in P2</w:t>
            </w:r>
          </w:p>
        </w:tc>
        <w:tc>
          <w:tcPr>
            <w:tcW w:type="dxa" w:w="2880"/>
          </w:tcPr>
          <w:p>
            <w:pPr>
              <w:keepNext/>
              <w:spacing w:line="276" w:lineRule="auto" w:after="0"/>
            </w:pPr>
            <w:r>
              <w:rPr>
                <w:rFonts w:ascii="Calibri" w:hAnsi="Calibri" w:cs="Calibri"/>
                <w:b w:val="0"/>
                <w:color w:val="16211F"/>
                <w:sz w:val="18"/>
              </w:rPr>
              <w:t>Lost sales the ledger never shows (INVENTORY, CONVERSION)</w:t>
            </w:r>
          </w:p>
        </w:tc>
      </w:tr>
      <w:tr>
        <w:trPr>
          <w:cantSplit w:val="true"/>
        </w:trPr>
        <w:tc>
          <w:tcPr>
            <w:tcW w:type="dxa" w:w="864"/>
            <w:shd w:val="clear" w:color="auto" w:fill="F1F3F2"/>
          </w:tcPr>
          <w:p>
            <w:pPr>
              <w:spacing w:line="276" w:lineRule="auto" w:after="0"/>
            </w:pPr>
            <w:r>
              <w:rPr>
                <w:rFonts w:ascii="Consolas" w:hAnsi="Consolas" w:cs="Consolas"/>
                <w:b w:val="0"/>
                <w:color w:val="16211F"/>
                <w:sz w:val="18"/>
              </w:rPr>
              <w:t>EV-17</w:t>
            </w:r>
          </w:p>
        </w:tc>
        <w:tc>
          <w:tcPr>
            <w:tcW w:type="dxa" w:w="2448"/>
            <w:shd w:val="clear" w:color="auto" w:fill="F1F3F2"/>
          </w:tcPr>
          <w:p>
            <w:pPr>
              <w:spacing w:line="276" w:lineRule="auto" w:after="0"/>
            </w:pPr>
            <w:r>
              <w:rPr>
                <w:rFonts w:ascii="Calibri" w:hAnsi="Calibri" w:cs="Calibri"/>
                <w:b w:val="0"/>
                <w:color w:val="16211F"/>
                <w:sz w:val="18"/>
              </w:rPr>
              <w:t>Cart abandonment rate</w:t>
            </w:r>
          </w:p>
        </w:tc>
        <w:tc>
          <w:tcPr>
            <w:tcW w:type="dxa" w:w="1944"/>
            <w:shd w:val="clear" w:color="auto" w:fill="F1F3F2"/>
          </w:tcPr>
          <w:p>
            <w:pPr>
              <w:spacing w:line="276" w:lineRule="auto" w:after="0"/>
            </w:pPr>
            <w:r>
              <w:rPr>
                <w:rFonts w:ascii="Calibri" w:hAnsi="Calibri" w:cs="Calibri"/>
                <w:b w:val="0"/>
                <w:color w:val="16211F"/>
                <w:sz w:val="18"/>
              </w:rPr>
              <w:t>Business owner (asserted)</w:t>
            </w:r>
          </w:p>
        </w:tc>
        <w:tc>
          <w:tcPr>
            <w:tcW w:type="dxa" w:w="3456"/>
            <w:shd w:val="clear" w:color="auto" w:fill="F1F3F2"/>
          </w:tcPr>
          <w:p>
            <w:pPr>
              <w:spacing w:line="276" w:lineRule="auto" w:after="0"/>
            </w:pPr>
            <w:r>
              <w:rPr>
                <w:rFonts w:ascii="Calibri" w:hAnsi="Calibri" w:cs="Calibri"/>
                <w:b w:val="0"/>
                <w:color w:val="16211F"/>
                <w:sz w:val="18"/>
              </w:rPr>
              <w:t>Form — from e-commerce platform analytics</w:t>
            </w:r>
          </w:p>
        </w:tc>
        <w:tc>
          <w:tcPr>
            <w:tcW w:type="dxa" w:w="2448"/>
            <w:shd w:val="clear" w:color="auto" w:fill="F1F3F2"/>
          </w:tcPr>
          <w:p>
            <w:pPr>
              <w:spacing w:line="276" w:lineRule="auto" w:after="0"/>
            </w:pPr>
            <w:r>
              <w:rPr>
                <w:rFonts w:ascii="Calibri" w:hAnsi="Calibri" w:cs="Calibri"/>
                <w:b w:val="0"/>
                <w:color w:val="16211F"/>
                <w:sz w:val="18"/>
              </w:rPr>
              <w:t>present if owner enters it; absent for in-store only</w:t>
            </w:r>
          </w:p>
        </w:tc>
        <w:tc>
          <w:tcPr>
            <w:tcW w:type="dxa" w:w="2880"/>
            <w:shd w:val="clear" w:color="auto" w:fill="F1F3F2"/>
          </w:tcPr>
          <w:p>
            <w:pPr>
              <w:spacing w:line="276" w:lineRule="auto" w:after="0"/>
            </w:pPr>
            <w:r>
              <w:rPr>
                <w:rFonts w:ascii="Calibri" w:hAnsi="Calibri" w:cs="Calibri"/>
                <w:b w:val="0"/>
                <w:color w:val="16211F"/>
                <w:sz w:val="18"/>
              </w:rPr>
              <w:t>CONVERSION detector for online channels</w:t>
            </w:r>
          </w:p>
        </w:tc>
      </w:tr>
    </w:tbl>
    <w:p>
      <w:pPr>
        <w:spacing w:after="40"/>
      </w:pPr>
    </w:p>
    <w:p>
      <w:pPr>
        <w:pStyle w:val="Heading3"/>
      </w:pPr>
      <w:r>
        <w:t>External / Competitive (3)</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864"/>
            <w:shd w:val="clear" w:color="auto" w:fill="1C3A36"/>
          </w:tcPr>
          <w:p>
            <w:pPr>
              <w:keepNext/>
              <w:spacing w:line="276" w:lineRule="auto" w:after="0"/>
            </w:pPr>
            <w:r>
              <w:rPr>
                <w:rFonts w:ascii="Calibri" w:hAnsi="Calibri" w:cs="Calibri"/>
                <w:b/>
                <w:color w:val="FFFFFF"/>
                <w:sz w:val="18"/>
              </w:rPr>
              <w:t>ID</w:t>
            </w:r>
          </w:p>
        </w:tc>
        <w:tc>
          <w:tcPr>
            <w:tcW w:type="dxa" w:w="2448"/>
            <w:shd w:val="clear" w:color="auto" w:fill="1C3A36"/>
          </w:tcPr>
          <w:p>
            <w:pPr>
              <w:keepNext/>
              <w:spacing w:line="276" w:lineRule="auto" w:after="0"/>
            </w:pPr>
            <w:r>
              <w:rPr>
                <w:rFonts w:ascii="Calibri" w:hAnsi="Calibri" w:cs="Calibri"/>
                <w:b/>
                <w:color w:val="FFFFFF"/>
                <w:sz w:val="18"/>
              </w:rPr>
              <w:t>Evidence type</w:t>
            </w:r>
          </w:p>
        </w:tc>
        <w:tc>
          <w:tcPr>
            <w:tcW w:type="dxa" w:w="1944"/>
            <w:shd w:val="clear" w:color="auto" w:fill="1C3A36"/>
          </w:tcPr>
          <w:p>
            <w:pPr>
              <w:keepNext/>
              <w:spacing w:line="276" w:lineRule="auto" w:after="0"/>
            </w:pPr>
            <w:r>
              <w:rPr>
                <w:rFonts w:ascii="Calibri" w:hAnsi="Calibri" w:cs="Calibri"/>
                <w:b/>
                <w:color w:val="FFFFFF"/>
                <w:sz w:val="18"/>
              </w:rPr>
              <w:t>Asserted by</w:t>
            </w:r>
          </w:p>
        </w:tc>
        <w:tc>
          <w:tcPr>
            <w:tcW w:type="dxa" w:w="3456"/>
            <w:shd w:val="clear" w:color="auto" w:fill="1C3A36"/>
          </w:tcPr>
          <w:p>
            <w:pPr>
              <w:keepNext/>
              <w:spacing w:line="276" w:lineRule="auto" w:after="0"/>
            </w:pPr>
            <w:r>
              <w:rPr>
                <w:rFonts w:ascii="Calibri" w:hAnsi="Calibri" w:cs="Calibri"/>
                <w:b/>
                <w:color w:val="FFFFFF"/>
                <w:sz w:val="18"/>
              </w:rPr>
              <w:t>Source</w:t>
            </w:r>
          </w:p>
        </w:tc>
        <w:tc>
          <w:tcPr>
            <w:tcW w:type="dxa" w:w="2448"/>
            <w:shd w:val="clear" w:color="auto" w:fill="1C3A36"/>
          </w:tcPr>
          <w:p>
            <w:pPr>
              <w:keepNext/>
              <w:spacing w:line="276" w:lineRule="auto" w:after="0"/>
            </w:pPr>
            <w:r>
              <w:rPr>
                <w:rFonts w:ascii="Calibri" w:hAnsi="Calibri" w:cs="Calibri"/>
                <w:b/>
                <w:color w:val="FFFFFF"/>
                <w:sz w:val="18"/>
              </w:rPr>
              <w:t>State in Phase 1</w:t>
            </w:r>
          </w:p>
        </w:tc>
        <w:tc>
          <w:tcPr>
            <w:tcW w:type="dxa" w:w="2880"/>
            <w:shd w:val="clear" w:color="auto" w:fill="1C3A36"/>
          </w:tcPr>
          <w:p>
            <w:pPr>
              <w:keepNext/>
              <w:spacing w:line="276" w:lineRule="auto" w:after="0"/>
            </w:pPr>
            <w:r>
              <w:rPr>
                <w:rFonts w:ascii="Calibri" w:hAnsi="Calibri" w:cs="Calibri"/>
                <w:b/>
                <w:color w:val="FFFFFF"/>
                <w:sz w:val="18"/>
              </w:rPr>
              <w:t>Role in diagnosis</w:t>
            </w:r>
          </w:p>
        </w:tc>
      </w:tr>
      <w:tr>
        <w:trPr>
          <w:cantSplit w:val="true"/>
        </w:trPr>
        <w:tc>
          <w:tcPr>
            <w:tcW w:type="dxa" w:w="864"/>
          </w:tcPr>
          <w:p>
            <w:pPr>
              <w:keepNext/>
              <w:spacing w:line="276" w:lineRule="auto" w:after="0"/>
            </w:pPr>
            <w:r>
              <w:rPr>
                <w:rFonts w:ascii="Consolas" w:hAnsi="Consolas" w:cs="Consolas"/>
                <w:b w:val="0"/>
                <w:color w:val="16211F"/>
                <w:sz w:val="18"/>
              </w:rPr>
              <w:t>EV-18</w:t>
            </w:r>
          </w:p>
        </w:tc>
        <w:tc>
          <w:tcPr>
            <w:tcW w:type="dxa" w:w="2448"/>
          </w:tcPr>
          <w:p>
            <w:pPr>
              <w:keepNext/>
              <w:spacing w:line="276" w:lineRule="auto" w:after="0"/>
            </w:pPr>
            <w:r>
              <w:rPr>
                <w:rFonts w:ascii="Calibri" w:hAnsi="Calibri" w:cs="Calibri"/>
                <w:b w:val="0"/>
                <w:color w:val="16211F"/>
                <w:sz w:val="18"/>
              </w:rPr>
              <w:t>Competitor average price</w:t>
            </w:r>
          </w:p>
        </w:tc>
        <w:tc>
          <w:tcPr>
            <w:tcW w:type="dxa" w:w="1944"/>
          </w:tcPr>
          <w:p>
            <w:pPr>
              <w:keepNext/>
              <w:spacing w:line="276" w:lineRule="auto" w:after="0"/>
            </w:pPr>
            <w:r>
              <w:rPr>
                <w:rFonts w:ascii="Calibri" w:hAnsi="Calibri" w:cs="Calibri"/>
                <w:b w:val="0"/>
                <w:color w:val="16211F"/>
                <w:sz w:val="18"/>
              </w:rPr>
              <w:t>Business owner (asserted)</w:t>
            </w:r>
          </w:p>
        </w:tc>
        <w:tc>
          <w:tcPr>
            <w:tcW w:type="dxa" w:w="3456"/>
          </w:tcPr>
          <w:p>
            <w:pPr>
              <w:keepNext/>
              <w:spacing w:line="276" w:lineRule="auto" w:after="0"/>
            </w:pPr>
            <w:r>
              <w:rPr>
                <w:rFonts w:ascii="Calibri" w:hAnsi="Calibri" w:cs="Calibri"/>
                <w:b w:val="0"/>
                <w:color w:val="16211F"/>
                <w:sz w:val="18"/>
              </w:rPr>
              <w:t>Form — owner-supplied for top products; API in P2+</w:t>
            </w:r>
          </w:p>
        </w:tc>
        <w:tc>
          <w:tcPr>
            <w:tcW w:type="dxa" w:w="2448"/>
          </w:tcPr>
          <w:p>
            <w:pPr>
              <w:keepNext/>
              <w:spacing w:line="276" w:lineRule="auto" w:after="0"/>
            </w:pPr>
            <w:r>
              <w:rPr>
                <w:rFonts w:ascii="Calibri" w:hAnsi="Calibri" w:cs="Calibri"/>
                <w:b w:val="0"/>
                <w:color w:val="16211F"/>
                <w:sz w:val="18"/>
              </w:rPr>
              <w:t>present if entered; else absent</w:t>
            </w:r>
          </w:p>
        </w:tc>
        <w:tc>
          <w:tcPr>
            <w:tcW w:type="dxa" w:w="2880"/>
          </w:tcPr>
          <w:p>
            <w:pPr>
              <w:keepNext/>
              <w:spacing w:line="276" w:lineRule="auto" w:after="0"/>
            </w:pPr>
            <w:r>
              <w:rPr>
                <w:rFonts w:ascii="Calibri" w:hAnsi="Calibri" w:cs="Calibri"/>
                <w:b w:val="0"/>
                <w:color w:val="16211F"/>
                <w:sz w:val="18"/>
              </w:rPr>
              <w:t>PRICING detector; contradiction check against EV-10</w:t>
            </w:r>
          </w:p>
        </w:tc>
      </w:tr>
      <w:tr>
        <w:trPr>
          <w:cantSplit w:val="true"/>
        </w:trPr>
        <w:tc>
          <w:tcPr>
            <w:tcW w:type="dxa" w:w="864"/>
            <w:shd w:val="clear" w:color="auto" w:fill="F1F3F2"/>
          </w:tcPr>
          <w:p>
            <w:pPr>
              <w:keepNext/>
              <w:spacing w:line="276" w:lineRule="auto" w:after="0"/>
            </w:pPr>
            <w:r>
              <w:rPr>
                <w:rFonts w:ascii="Consolas" w:hAnsi="Consolas" w:cs="Consolas"/>
                <w:b w:val="0"/>
                <w:color w:val="16211F"/>
                <w:sz w:val="18"/>
              </w:rPr>
              <w:t>EV-19</w:t>
            </w:r>
          </w:p>
        </w:tc>
        <w:tc>
          <w:tcPr>
            <w:tcW w:type="dxa" w:w="2448"/>
            <w:shd w:val="clear" w:color="auto" w:fill="F1F3F2"/>
          </w:tcPr>
          <w:p>
            <w:pPr>
              <w:keepNext/>
              <w:spacing w:line="276" w:lineRule="auto" w:after="0"/>
            </w:pPr>
            <w:r>
              <w:rPr>
                <w:rFonts w:ascii="Calibri" w:hAnsi="Calibri" w:cs="Calibri"/>
                <w:b w:val="0"/>
                <w:color w:val="16211F"/>
                <w:sz w:val="18"/>
              </w:rPr>
              <w:t>Industry churn benchmark</w:t>
            </w:r>
          </w:p>
        </w:tc>
        <w:tc>
          <w:tcPr>
            <w:tcW w:type="dxa" w:w="1944"/>
            <w:shd w:val="clear" w:color="auto" w:fill="F1F3F2"/>
          </w:tcPr>
          <w:p>
            <w:pPr>
              <w:keepNext/>
              <w:spacing w:line="276" w:lineRule="auto" w:after="0"/>
            </w:pPr>
            <w:r>
              <w:rPr>
                <w:rFonts w:ascii="Calibri" w:hAnsi="Calibri" w:cs="Calibri"/>
                <w:b w:val="0"/>
                <w:color w:val="16211F"/>
                <w:sz w:val="18"/>
              </w:rPr>
              <w:t>Platform (asserted reference)</w:t>
            </w:r>
          </w:p>
        </w:tc>
        <w:tc>
          <w:tcPr>
            <w:tcW w:type="dxa" w:w="3456"/>
            <w:shd w:val="clear" w:color="auto" w:fill="F1F3F2"/>
          </w:tcPr>
          <w:p>
            <w:pPr>
              <w:keepNext/>
              <w:spacing w:line="276" w:lineRule="auto" w:after="0"/>
            </w:pPr>
            <w:r>
              <w:rPr>
                <w:rFonts w:ascii="Calibri" w:hAnsi="Calibri" w:cs="Calibri"/>
                <w:b w:val="0"/>
                <w:color w:val="16211F"/>
                <w:sz w:val="18"/>
              </w:rPr>
              <w:t>Reference table by industry_segment</w:t>
            </w:r>
          </w:p>
        </w:tc>
        <w:tc>
          <w:tcPr>
            <w:tcW w:type="dxa" w:w="2448"/>
            <w:shd w:val="clear" w:color="auto" w:fill="F1F3F2"/>
          </w:tcPr>
          <w:p>
            <w:pPr>
              <w:keepNext/>
              <w:spacing w:line="276" w:lineRule="auto" w:after="0"/>
            </w:pPr>
            <w:r>
              <w:rPr>
                <w:rFonts w:ascii="Calibri" w:hAnsi="Calibri" w:cs="Calibri"/>
                <w:b w:val="0"/>
                <w:color w:val="16211F"/>
                <w:sz w:val="18"/>
              </w:rPr>
              <w:t>present — static table shipped with P1</w:t>
            </w:r>
          </w:p>
        </w:tc>
        <w:tc>
          <w:tcPr>
            <w:tcW w:type="dxa" w:w="2880"/>
            <w:shd w:val="clear" w:color="auto" w:fill="F1F3F2"/>
          </w:tcPr>
          <w:p>
            <w:pPr>
              <w:keepNext/>
              <w:spacing w:line="276" w:lineRule="auto" w:after="0"/>
            </w:pPr>
            <w:r>
              <w:rPr>
                <w:rFonts w:ascii="Calibri" w:hAnsi="Calibri" w:cs="Calibri"/>
                <w:b w:val="0"/>
                <w:color w:val="16211F"/>
                <w:sz w:val="18"/>
              </w:rPr>
              <w:t>Turns EV-07 into a severity score rather than a raw number</w:t>
            </w:r>
          </w:p>
        </w:tc>
      </w:tr>
      <w:tr>
        <w:trPr>
          <w:cantSplit w:val="true"/>
        </w:trPr>
        <w:tc>
          <w:tcPr>
            <w:tcW w:type="dxa" w:w="864"/>
          </w:tcPr>
          <w:p>
            <w:pPr>
              <w:spacing w:line="276" w:lineRule="auto" w:after="0"/>
            </w:pPr>
            <w:r>
              <w:rPr>
                <w:rFonts w:ascii="Consolas" w:hAnsi="Consolas" w:cs="Consolas"/>
                <w:b w:val="0"/>
                <w:color w:val="16211F"/>
                <w:sz w:val="18"/>
              </w:rPr>
              <w:t>EV-20</w:t>
            </w:r>
          </w:p>
        </w:tc>
        <w:tc>
          <w:tcPr>
            <w:tcW w:type="dxa" w:w="2448"/>
          </w:tcPr>
          <w:p>
            <w:pPr>
              <w:spacing w:line="276" w:lineRule="auto" w:after="0"/>
            </w:pPr>
            <w:r>
              <w:rPr>
                <w:rFonts w:ascii="Calibri" w:hAnsi="Calibri" w:cs="Calibri"/>
                <w:b w:val="0"/>
                <w:color w:val="16211F"/>
                <w:sz w:val="18"/>
              </w:rPr>
              <w:t>Industry margin benchmark</w:t>
            </w:r>
          </w:p>
        </w:tc>
        <w:tc>
          <w:tcPr>
            <w:tcW w:type="dxa" w:w="1944"/>
          </w:tcPr>
          <w:p>
            <w:pPr>
              <w:spacing w:line="276" w:lineRule="auto" w:after="0"/>
            </w:pPr>
            <w:r>
              <w:rPr>
                <w:rFonts w:ascii="Calibri" w:hAnsi="Calibri" w:cs="Calibri"/>
                <w:b w:val="0"/>
                <w:color w:val="16211F"/>
                <w:sz w:val="18"/>
              </w:rPr>
              <w:t>Platform (asserted reference)</w:t>
            </w:r>
          </w:p>
        </w:tc>
        <w:tc>
          <w:tcPr>
            <w:tcW w:type="dxa" w:w="3456"/>
          </w:tcPr>
          <w:p>
            <w:pPr>
              <w:spacing w:line="276" w:lineRule="auto" w:after="0"/>
            </w:pPr>
            <w:r>
              <w:rPr>
                <w:rFonts w:ascii="Calibri" w:hAnsi="Calibri" w:cs="Calibri"/>
                <w:b w:val="0"/>
                <w:color w:val="16211F"/>
                <w:sz w:val="18"/>
              </w:rPr>
              <w:t>Reference table by industry_segment</w:t>
            </w:r>
          </w:p>
        </w:tc>
        <w:tc>
          <w:tcPr>
            <w:tcW w:type="dxa" w:w="2448"/>
          </w:tcPr>
          <w:p>
            <w:pPr>
              <w:spacing w:line="276" w:lineRule="auto" w:after="0"/>
            </w:pPr>
            <w:r>
              <w:rPr>
                <w:rFonts w:ascii="Calibri" w:hAnsi="Calibri" w:cs="Calibri"/>
                <w:b w:val="0"/>
                <w:color w:val="16211F"/>
                <w:sz w:val="18"/>
              </w:rPr>
              <w:t>present — static table shipped with P1</w:t>
            </w:r>
          </w:p>
        </w:tc>
        <w:tc>
          <w:tcPr>
            <w:tcW w:type="dxa" w:w="2880"/>
          </w:tcPr>
          <w:p>
            <w:pPr>
              <w:spacing w:line="276" w:lineRule="auto" w:after="0"/>
            </w:pPr>
            <w:r>
              <w:rPr>
                <w:rFonts w:ascii="Calibri" w:hAnsi="Calibri" w:cs="Calibri"/>
                <w:b w:val="0"/>
                <w:color w:val="16211F"/>
                <w:sz w:val="18"/>
              </w:rPr>
              <w:t>Turns EV-10 into a severity score rather than a raw number</w:t>
            </w:r>
          </w:p>
        </w:tc>
      </w:tr>
    </w:tbl>
    <w:p>
      <w:pPr>
        <w:spacing w:after="40"/>
      </w:pPr>
    </w:p>
    <w:p>
      <w:pPr>
        <w:pStyle w:val="Heading2"/>
      </w:pPr>
      <w:r>
        <w:t>Evidence states</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4680"/>
        <w:gridCol w:w="4680"/>
        <w:gridCol w:w="4680"/>
      </w:tblGrid>
      <w:tr>
        <w:trPr>
          <w:tblHeader w:val="true"/>
          <w:cantSplit w:val="true"/>
        </w:trPr>
        <w:tc>
          <w:tcPr>
            <w:tcW w:type="dxa" w:w="1728"/>
            <w:shd w:val="clear" w:color="auto" w:fill="1C3A36"/>
          </w:tcPr>
          <w:p>
            <w:pPr>
              <w:keepNext/>
              <w:spacing w:line="276" w:lineRule="auto" w:after="0"/>
            </w:pPr>
            <w:r>
              <w:rPr>
                <w:rFonts w:ascii="Calibri" w:hAnsi="Calibri" w:cs="Calibri"/>
                <w:b/>
                <w:color w:val="FFFFFF"/>
                <w:sz w:val="19"/>
              </w:rPr>
              <w:t>State</w:t>
            </w:r>
          </w:p>
        </w:tc>
        <w:tc>
          <w:tcPr>
            <w:tcW w:type="dxa" w:w="6048"/>
            <w:shd w:val="clear" w:color="auto" w:fill="1C3A36"/>
          </w:tcPr>
          <w:p>
            <w:pPr>
              <w:keepNext/>
              <w:spacing w:line="276" w:lineRule="auto" w:after="0"/>
            </w:pPr>
            <w:r>
              <w:rPr>
                <w:rFonts w:ascii="Calibri" w:hAnsi="Calibri" w:cs="Calibri"/>
                <w:b/>
                <w:color w:val="FFFFFF"/>
                <w:sz w:val="19"/>
              </w:rPr>
              <w:t>Meaning</w:t>
            </w:r>
          </w:p>
        </w:tc>
        <w:tc>
          <w:tcPr>
            <w:tcW w:type="dxa" w:w="6264"/>
            <w:shd w:val="clear" w:color="auto" w:fill="1C3A36"/>
          </w:tcPr>
          <w:p>
            <w:pPr>
              <w:keepNext/>
              <w:spacing w:line="276" w:lineRule="auto" w:after="0"/>
            </w:pPr>
            <w:r>
              <w:rPr>
                <w:rFonts w:ascii="Calibri" w:hAnsi="Calibri" w:cs="Calibri"/>
                <w:b/>
                <w:color w:val="FFFFFF"/>
                <w:sz w:val="19"/>
              </w:rPr>
              <w:t>Effect on decisions</w:t>
            </w:r>
          </w:p>
        </w:tc>
      </w:tr>
      <w:tr>
        <w:trPr>
          <w:cantSplit w:val="true"/>
        </w:trPr>
        <w:tc>
          <w:tcPr>
            <w:tcW w:type="dxa" w:w="1728"/>
          </w:tcPr>
          <w:p>
            <w:pPr>
              <w:keepNext/>
              <w:spacing w:line="276" w:lineRule="auto" w:after="0"/>
            </w:pPr>
            <w:r>
              <w:rPr>
                <w:rFonts w:ascii="Consolas" w:hAnsi="Consolas" w:cs="Consolas"/>
                <w:b w:val="0"/>
                <w:color w:val="16211F"/>
                <w:sz w:val="19"/>
              </w:rPr>
              <w:t>present</w:t>
            </w:r>
          </w:p>
        </w:tc>
        <w:tc>
          <w:tcPr>
            <w:tcW w:type="dxa" w:w="6048"/>
          </w:tcPr>
          <w:p>
            <w:pPr>
              <w:keepNext/>
              <w:spacing w:line="276" w:lineRule="auto" w:after="0"/>
            </w:pPr>
            <w:r>
              <w:rPr>
                <w:rFonts w:ascii="Calibri" w:hAnsi="Calibri" w:cs="Calibri"/>
                <w:b w:val="0"/>
                <w:color w:val="16211F"/>
                <w:sz w:val="19"/>
              </w:rPr>
              <w:t>A value exists with a source, a period and a version</w:t>
            </w:r>
          </w:p>
        </w:tc>
        <w:tc>
          <w:tcPr>
            <w:tcW w:type="dxa" w:w="6264"/>
          </w:tcPr>
          <w:p>
            <w:pPr>
              <w:keepNext/>
              <w:spacing w:line="276" w:lineRule="auto" w:after="0"/>
            </w:pPr>
            <w:r>
              <w:rPr>
                <w:rFonts w:ascii="Calibri" w:hAnsi="Calibri" w:cs="Calibri"/>
                <w:b w:val="0"/>
                <w:color w:val="16211F"/>
                <w:sz w:val="19"/>
              </w:rPr>
              <w:t xml:space="preserve">Read normally; version recorded in </w:t>
            </w:r>
            <w:r>
              <w:rPr>
                <w:rFonts w:ascii="Consolas" w:hAnsi="Consolas" w:cs="Consolas"/>
                <w:b w:val="0"/>
                <w:color w:val="16211F"/>
                <w:sz w:val="19"/>
              </w:rPr>
              <w:t>input_evidence{}</w:t>
            </w:r>
          </w:p>
        </w:tc>
      </w:tr>
      <w:tr>
        <w:trPr>
          <w:cantSplit w:val="true"/>
        </w:trPr>
        <w:tc>
          <w:tcPr>
            <w:tcW w:type="dxa" w:w="1728"/>
            <w:shd w:val="clear" w:color="auto" w:fill="F1F3F2"/>
          </w:tcPr>
          <w:p>
            <w:pPr>
              <w:keepNext/>
              <w:spacing w:line="276" w:lineRule="auto" w:after="0"/>
            </w:pPr>
            <w:r>
              <w:rPr>
                <w:rFonts w:ascii="Consolas" w:hAnsi="Consolas" w:cs="Consolas"/>
                <w:b w:val="0"/>
                <w:color w:val="16211F"/>
                <w:sz w:val="19"/>
              </w:rPr>
              <w:t>absent</w:t>
            </w:r>
          </w:p>
        </w:tc>
        <w:tc>
          <w:tcPr>
            <w:tcW w:type="dxa" w:w="6048"/>
            <w:shd w:val="clear" w:color="auto" w:fill="F1F3F2"/>
          </w:tcPr>
          <w:p>
            <w:pPr>
              <w:keepNext/>
              <w:spacing w:line="276" w:lineRule="auto" w:after="0"/>
            </w:pPr>
            <w:r>
              <w:rPr>
                <w:rFonts w:ascii="Calibri" w:hAnsi="Calibri" w:cs="Calibri"/>
                <w:b w:val="0"/>
                <w:color w:val="16211F"/>
                <w:sz w:val="19"/>
              </w:rPr>
              <w:t>No source has asserted this type for this subject and period</w:t>
            </w:r>
          </w:p>
        </w:tc>
        <w:tc>
          <w:tcPr>
            <w:tcW w:type="dxa" w:w="6264"/>
            <w:shd w:val="clear" w:color="auto" w:fill="F1F3F2"/>
          </w:tcPr>
          <w:p>
            <w:pPr>
              <w:keepNext/>
              <w:spacing w:line="276" w:lineRule="auto" w:after="0"/>
            </w:pPr>
            <w:r>
              <w:rPr>
                <w:rFonts w:ascii="Calibri" w:hAnsi="Calibri" w:cs="Calibri"/>
                <w:b w:val="0"/>
                <w:color w:val="16211F"/>
                <w:sz w:val="19"/>
              </w:rPr>
              <w:t xml:space="preserve">Detectors that require it are skipped and the type is listed in </w:t>
            </w:r>
            <w:r>
              <w:rPr>
                <w:rFonts w:ascii="Consolas" w:hAnsi="Consolas" w:cs="Consolas"/>
                <w:b w:val="0"/>
                <w:color w:val="16211F"/>
                <w:sz w:val="19"/>
              </w:rPr>
              <w:t>missing_evidence[]</w:t>
            </w:r>
            <w:r>
              <w:rPr>
                <w:rFonts w:ascii="Calibri" w:hAnsi="Calibri" w:cs="Calibri"/>
                <w:b w:val="0"/>
                <w:color w:val="16211F"/>
                <w:sz w:val="19"/>
              </w:rPr>
              <w:t>; confidence is reduced</w:t>
            </w:r>
          </w:p>
        </w:tc>
      </w:tr>
      <w:tr>
        <w:trPr>
          <w:cantSplit w:val="true"/>
        </w:trPr>
        <w:tc>
          <w:tcPr>
            <w:tcW w:type="dxa" w:w="1728"/>
          </w:tcPr>
          <w:p>
            <w:pPr>
              <w:spacing w:line="276" w:lineRule="auto" w:after="0"/>
            </w:pPr>
            <w:r>
              <w:rPr>
                <w:rFonts w:ascii="Consolas" w:hAnsi="Consolas" w:cs="Consolas"/>
                <w:b w:val="0"/>
                <w:color w:val="16211F"/>
                <w:sz w:val="19"/>
              </w:rPr>
              <w:t>contradicted</w:t>
            </w:r>
          </w:p>
        </w:tc>
        <w:tc>
          <w:tcPr>
            <w:tcW w:type="dxa" w:w="6048"/>
          </w:tcPr>
          <w:p>
            <w:pPr>
              <w:spacing w:line="276" w:lineRule="auto" w:after="0"/>
            </w:pPr>
            <w:r>
              <w:rPr>
                <w:rFonts w:ascii="Calibri" w:hAnsi="Calibri" w:cs="Calibri"/>
                <w:b w:val="0"/>
                <w:color w:val="16211F"/>
                <w:sz w:val="19"/>
              </w:rPr>
              <w:t>Two sources assert values that differ beyond tolerance (e.g. form revenue vs CSV-derived revenue differ by &gt; 10 %)</w:t>
            </w:r>
          </w:p>
        </w:tc>
        <w:tc>
          <w:tcPr>
            <w:tcW w:type="dxa" w:w="6264"/>
          </w:tcPr>
          <w:p>
            <w:pPr>
              <w:spacing w:line="276" w:lineRule="auto" w:after="0"/>
            </w:pPr>
            <w:r>
              <w:rPr>
                <w:rFonts w:ascii="Calibri" w:hAnsi="Calibri" w:cs="Calibri"/>
                <w:b w:val="0"/>
                <w:color w:val="16211F"/>
                <w:sz w:val="19"/>
              </w:rPr>
              <w:t>Blocks the decision. Outcome is CANNOT_DECIDE and the contradiction is named with both values and sources</w:t>
            </w:r>
          </w:p>
        </w:tc>
      </w:tr>
    </w:tbl>
    <w:p>
      <w:pPr>
        <w:spacing w:after="40"/>
      </w:pPr>
    </w:p>
    <w:tbl>
      <w:tblPr>
        <w:tblW w:type="auto" w:w="0"/>
        <w:jc w:val="center"/>
        <w:tblLayout w:type="fixed"/>
        <w:tblLook w:firstColumn="1" w:firstRow="1" w:lastColumn="0" w:lastRow="0" w:noHBand="0" w:noVBand="1" w:val="04A0"/>
        <w:tblBorders>
          <w:top w:val="single" w:sz="2" w:color="DDEEEB"/>
          <w:left w:val="single" w:sz="18" w:color="1C8C7D"/>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8C7D"/>
                <w:sz w:val="20"/>
              </w:rPr>
              <w:t>CONTRADICTION CHECKS SHIPPED IN PHASE 1</w:t>
            </w:r>
          </w:p>
          <w:p>
            <w:pPr>
              <w:spacing w:line="276" w:lineRule="auto" w:after="60"/>
            </w:pPr>
            <w:r>
              <w:rPr>
                <w:rFonts w:ascii="Calibri" w:hAnsi="Calibri" w:cs="Calibri"/>
                <w:b w:val="0"/>
                <w:color w:val="16211F"/>
                <w:sz w:val="20"/>
              </w:rPr>
              <w:t xml:space="preserve">CC-01  Form </w:t>
            </w:r>
            <w:r>
              <w:rPr>
                <w:rFonts w:ascii="Consolas" w:hAnsi="Consolas" w:cs="Consolas"/>
                <w:b w:val="0"/>
                <w:color w:val="16211F"/>
                <w:sz w:val="20"/>
              </w:rPr>
              <w:t>revenue_monthly</w:t>
            </w:r>
            <w:r>
              <w:rPr>
                <w:rFonts w:ascii="Calibri" w:hAnsi="Calibri" w:cs="Calibri"/>
                <w:b w:val="0"/>
                <w:color w:val="16211F"/>
                <w:sz w:val="20"/>
              </w:rPr>
              <w:t xml:space="preserve"> vs EV-01 derived from the CSV — tolerance 10 %. Catches partial exports and wrong-period uploads.</w:t>
            </w:r>
          </w:p>
          <w:p>
            <w:pPr>
              <w:spacing w:line="276" w:lineRule="auto" w:after="60"/>
            </w:pPr>
            <w:r>
              <w:rPr>
                <w:rFonts w:ascii="Calibri" w:hAnsi="Calibri" w:cs="Calibri"/>
                <w:b w:val="0"/>
                <w:color w:val="16211F"/>
                <w:sz w:val="20"/>
              </w:rPr>
              <w:t xml:space="preserve">CC-02  Form product count vs distinct </w:t>
            </w:r>
            <w:r>
              <w:rPr>
                <w:rFonts w:ascii="Consolas" w:hAnsi="Consolas" w:cs="Consolas"/>
                <w:b w:val="0"/>
                <w:color w:val="16211F"/>
                <w:sz w:val="20"/>
              </w:rPr>
              <w:t>product_id</w:t>
            </w:r>
            <w:r>
              <w:rPr>
                <w:rFonts w:ascii="Calibri" w:hAnsi="Calibri" w:cs="Calibri"/>
                <w:b w:val="0"/>
                <w:color w:val="16211F"/>
                <w:sz w:val="20"/>
              </w:rPr>
              <w:t xml:space="preserve"> in Sale — tolerance 20 %. Catches SKU lists that do not match the ledger.</w:t>
            </w:r>
          </w:p>
          <w:p>
            <w:pPr>
              <w:spacing w:line="276" w:lineRule="auto" w:after="60"/>
            </w:pPr>
            <w:r>
              <w:rPr>
                <w:rFonts w:ascii="Calibri" w:hAnsi="Calibri" w:cs="Calibri"/>
                <w:b w:val="0"/>
                <w:color w:val="16211F"/>
                <w:sz w:val="20"/>
              </w:rPr>
              <w:t>CC-03  EV-10 gross margin below 0 for any product with unit_cost supplied — no tolerance. Catches cost/price columns swapped.</w:t>
            </w:r>
          </w:p>
          <w:p>
            <w:pPr>
              <w:spacing w:line="276" w:lineRule="auto" w:after="60"/>
            </w:pPr>
            <w:r>
              <w:rPr>
                <w:rFonts w:ascii="Calibri" w:hAnsi="Calibri" w:cs="Calibri"/>
                <w:b w:val="0"/>
                <w:color w:val="16211F"/>
                <w:sz w:val="20"/>
              </w:rPr>
              <w:t>CC-04  EV-18 competitor price supplied for a product with no EV-10 — flags PRICING evidence that cannot be interpreted.</w:t>
            </w:r>
          </w:p>
        </w:tc>
      </w:tr>
    </w:tbl>
    <w:p>
      <w:pPr>
        <w:spacing w:after="40"/>
      </w:pPr>
    </w:p>
    <w:p>
      <w:pPr>
        <w:pStyle w:val="Heading1"/>
        <w:spacing w:before="600"/>
        <w:pBdr>
          <w:top w:val="single" w:sz="12" w:space="10" w:color="1C8C7D"/>
        </w:pBdr>
      </w:pPr>
      <w:r>
        <w:t>6.  Decisions</w:t>
      </w:r>
    </w:p>
    <w:p>
      <w:pPr>
        <w:keepNext/>
        <w:spacing w:after="0" w:line="360" w:lineRule="auto"/>
      </w:pPr>
      <w:r>
        <w:rPr>
          <w:rFonts w:ascii="Calibri" w:hAnsi="Calibri" w:cs="Calibri"/>
          <w:b w:val="0"/>
          <w:color w:val="16211F"/>
          <w:sz w:val="22"/>
        </w:rPr>
        <w:t>Two decisions. Both are automated and deterministic. The first names the constraint; the second names what to do about it. Neither runs on a role — they run when the evidence permits and refuse, visibly, when it does not.</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2340"/>
        <w:gridCol w:w="2340"/>
        <w:gridCol w:w="2340"/>
        <w:gridCol w:w="2340"/>
        <w:gridCol w:w="2340"/>
        <w:gridCol w:w="2340"/>
      </w:tblGrid>
      <w:tr>
        <w:trPr>
          <w:tblHeader w:val="true"/>
          <w:cantSplit w:val="true"/>
        </w:trPr>
        <w:tc>
          <w:tcPr>
            <w:tcW w:type="dxa" w:w="2736"/>
            <w:shd w:val="clear" w:color="auto" w:fill="1C3A36"/>
          </w:tcPr>
          <w:p>
            <w:pPr>
              <w:keepNext/>
              <w:spacing w:line="276" w:lineRule="auto" w:after="0"/>
            </w:pPr>
            <w:r>
              <w:rPr>
                <w:rFonts w:ascii="Calibri" w:hAnsi="Calibri" w:cs="Calibri"/>
                <w:b/>
                <w:color w:val="FFFFFF"/>
                <w:sz w:val="19"/>
              </w:rPr>
              <w:t>Decision</w:t>
            </w:r>
          </w:p>
        </w:tc>
        <w:tc>
          <w:tcPr>
            <w:tcW w:type="dxa" w:w="1872"/>
            <w:shd w:val="clear" w:color="auto" w:fill="1C3A36"/>
          </w:tcPr>
          <w:p>
            <w:pPr>
              <w:keepNext/>
              <w:spacing w:line="276" w:lineRule="auto" w:after="0"/>
            </w:pPr>
            <w:r>
              <w:rPr>
                <w:rFonts w:ascii="Calibri" w:hAnsi="Calibri" w:cs="Calibri"/>
                <w:b/>
                <w:color w:val="FFFFFF"/>
                <w:sz w:val="19"/>
              </w:rPr>
              <w:t>Subject</w:t>
            </w:r>
          </w:p>
        </w:tc>
        <w:tc>
          <w:tcPr>
            <w:tcW w:type="dxa" w:w="3024"/>
            <w:shd w:val="clear" w:color="auto" w:fill="1C3A36"/>
          </w:tcPr>
          <w:p>
            <w:pPr>
              <w:keepNext/>
              <w:spacing w:line="276" w:lineRule="auto" w:after="0"/>
            </w:pPr>
            <w:r>
              <w:rPr>
                <w:rFonts w:ascii="Calibri" w:hAnsi="Calibri" w:cs="Calibri"/>
                <w:b/>
                <w:color w:val="FFFFFF"/>
                <w:sz w:val="19"/>
              </w:rPr>
              <w:t>Question</w:t>
            </w:r>
          </w:p>
        </w:tc>
        <w:tc>
          <w:tcPr>
            <w:tcW w:type="dxa" w:w="4104"/>
            <w:shd w:val="clear" w:color="auto" w:fill="1C3A36"/>
          </w:tcPr>
          <w:p>
            <w:pPr>
              <w:keepNext/>
              <w:spacing w:line="276" w:lineRule="auto" w:after="0"/>
            </w:pPr>
            <w:r>
              <w:rPr>
                <w:rFonts w:ascii="Calibri" w:hAnsi="Calibri" w:cs="Calibri"/>
                <w:b/>
                <w:color w:val="FFFFFF"/>
                <w:sz w:val="19"/>
              </w:rPr>
              <w:t>Reads</w:t>
            </w:r>
          </w:p>
        </w:tc>
        <w:tc>
          <w:tcPr>
            <w:tcW w:type="dxa" w:w="1440"/>
            <w:shd w:val="clear" w:color="auto" w:fill="1C3A36"/>
          </w:tcPr>
          <w:p>
            <w:pPr>
              <w:keepNext/>
              <w:spacing w:line="276" w:lineRule="auto" w:after="0"/>
            </w:pPr>
            <w:r>
              <w:rPr>
                <w:rFonts w:ascii="Calibri" w:hAnsi="Calibri" w:cs="Calibri"/>
                <w:b/>
                <w:color w:val="FFFFFF"/>
                <w:sz w:val="19"/>
              </w:rPr>
              <w:t>Owner</w:t>
            </w:r>
          </w:p>
        </w:tc>
        <w:tc>
          <w:tcPr>
            <w:tcW w:type="dxa" w:w="864"/>
            <w:shd w:val="clear" w:color="auto" w:fill="1C3A36"/>
          </w:tcPr>
          <w:p>
            <w:pPr>
              <w:keepNext/>
              <w:spacing w:line="276" w:lineRule="auto" w:after="0"/>
            </w:pPr>
            <w:r>
              <w:rPr>
                <w:rFonts w:ascii="Calibri" w:hAnsi="Calibri" w:cs="Calibri"/>
                <w:b/>
                <w:color w:val="FFFFFF"/>
                <w:sz w:val="19"/>
              </w:rPr>
              <w:t>Phase</w:t>
            </w:r>
          </w:p>
        </w:tc>
      </w:tr>
      <w:tr>
        <w:trPr>
          <w:cantSplit w:val="true"/>
        </w:trPr>
        <w:tc>
          <w:tcPr>
            <w:tcW w:type="dxa" w:w="2736"/>
          </w:tcPr>
          <w:p>
            <w:pPr>
              <w:keepNext/>
              <w:spacing w:line="276" w:lineRule="auto" w:after="0"/>
            </w:pPr>
            <w:r>
              <w:rPr>
                <w:rFonts w:ascii="Consolas" w:hAnsi="Consolas" w:cs="Consolas"/>
                <w:b w:val="0"/>
                <w:color w:val="16211F"/>
                <w:sz w:val="19"/>
              </w:rPr>
              <w:t>BOTTLENECK_DIAGNOSIS</w:t>
            </w:r>
          </w:p>
        </w:tc>
        <w:tc>
          <w:tcPr>
            <w:tcW w:type="dxa" w:w="1872"/>
          </w:tcPr>
          <w:p>
            <w:pPr>
              <w:keepNext/>
              <w:spacing w:line="276" w:lineRule="auto" w:after="0"/>
            </w:pPr>
            <w:r>
              <w:rPr>
                <w:rFonts w:ascii="Calibri" w:hAnsi="Calibri" w:cs="Calibri"/>
                <w:b w:val="0"/>
                <w:color w:val="16211F"/>
                <w:sz w:val="19"/>
              </w:rPr>
              <w:t>Business</w:t>
            </w:r>
          </w:p>
        </w:tc>
        <w:tc>
          <w:tcPr>
            <w:tcW w:type="dxa" w:w="3024"/>
          </w:tcPr>
          <w:p>
            <w:pPr>
              <w:keepNext/>
              <w:spacing w:line="276" w:lineRule="auto" w:after="0"/>
            </w:pPr>
            <w:r>
              <w:rPr>
                <w:rFonts w:ascii="Calibri" w:hAnsi="Calibri" w:cs="Calibri"/>
                <w:b w:val="0"/>
                <w:color w:val="16211F"/>
                <w:sz w:val="19"/>
              </w:rPr>
              <w:t>What is the #1 growth constraint for this business?</w:t>
            </w:r>
          </w:p>
        </w:tc>
        <w:tc>
          <w:tcPr>
            <w:tcW w:type="dxa" w:w="4104"/>
          </w:tcPr>
          <w:p>
            <w:pPr>
              <w:keepNext/>
              <w:spacing w:line="276" w:lineRule="auto" w:after="0"/>
            </w:pPr>
            <w:r>
              <w:rPr>
                <w:rFonts w:ascii="Calibri" w:hAnsi="Calibri" w:cs="Calibri"/>
                <w:b w:val="0"/>
                <w:color w:val="16211F"/>
                <w:sz w:val="19"/>
              </w:rPr>
              <w:t>Business, Product, Sale, Customer, Inventory; all 20 Evidence types (absent ones recorded as missing)</w:t>
            </w:r>
          </w:p>
        </w:tc>
        <w:tc>
          <w:tcPr>
            <w:tcW w:type="dxa" w:w="1440"/>
          </w:tcPr>
          <w:p>
            <w:pPr>
              <w:keepNext/>
              <w:spacing w:line="276" w:lineRule="auto" w:after="0"/>
            </w:pPr>
            <w:r>
              <w:rPr>
                <w:rFonts w:ascii="Calibri" w:hAnsi="Calibri" w:cs="Calibri"/>
                <w:b w:val="0"/>
                <w:color w:val="16211F"/>
                <w:sz w:val="19"/>
              </w:rPr>
              <w:t>Platform (automated)</w:t>
            </w:r>
          </w:p>
        </w:tc>
        <w:tc>
          <w:tcPr>
            <w:tcW w:type="dxa" w:w="864"/>
          </w:tcPr>
          <w:p>
            <w:pPr>
              <w:keepNext/>
              <w:spacing w:line="276" w:lineRule="auto" w:after="0"/>
            </w:pPr>
            <w:r>
              <w:rPr>
                <w:rFonts w:ascii="Calibri" w:hAnsi="Calibri" w:cs="Calibri"/>
                <w:b w:val="0"/>
                <w:color w:val="16211F"/>
                <w:sz w:val="19"/>
              </w:rPr>
              <w:t>P1</w:t>
            </w:r>
          </w:p>
        </w:tc>
      </w:tr>
      <w:tr>
        <w:trPr>
          <w:cantSplit w:val="true"/>
        </w:trPr>
        <w:tc>
          <w:tcPr>
            <w:tcW w:type="dxa" w:w="2736"/>
            <w:shd w:val="clear" w:color="auto" w:fill="F1F3F2"/>
          </w:tcPr>
          <w:p>
            <w:pPr>
              <w:spacing w:line="276" w:lineRule="auto" w:after="0"/>
            </w:pPr>
            <w:r>
              <w:rPr>
                <w:rFonts w:ascii="Consolas" w:hAnsi="Consolas" w:cs="Consolas"/>
                <w:b w:val="0"/>
                <w:color w:val="16211F"/>
                <w:sz w:val="19"/>
              </w:rPr>
              <w:t>RECOMMENDATION_ASSESSMENT</w:t>
            </w:r>
          </w:p>
        </w:tc>
        <w:tc>
          <w:tcPr>
            <w:tcW w:type="dxa" w:w="1872"/>
            <w:shd w:val="clear" w:color="auto" w:fill="F1F3F2"/>
          </w:tcPr>
          <w:p>
            <w:pPr>
              <w:spacing w:line="276" w:lineRule="auto" w:after="0"/>
            </w:pPr>
            <w:r>
              <w:rPr>
                <w:rFonts w:ascii="Calibri" w:hAnsi="Calibri" w:cs="Calibri"/>
                <w:b w:val="0"/>
                <w:color w:val="16211F"/>
                <w:sz w:val="19"/>
              </w:rPr>
              <w:t>Bottleneck + Business context</w:t>
            </w:r>
          </w:p>
        </w:tc>
        <w:tc>
          <w:tcPr>
            <w:tcW w:type="dxa" w:w="3024"/>
            <w:shd w:val="clear" w:color="auto" w:fill="F1F3F2"/>
          </w:tcPr>
          <w:p>
            <w:pPr>
              <w:spacing w:line="276" w:lineRule="auto" w:after="0"/>
            </w:pPr>
            <w:r>
              <w:rPr>
                <w:rFonts w:ascii="Calibri" w:hAnsi="Calibri" w:cs="Calibri"/>
                <w:b w:val="0"/>
                <w:color w:val="16211F"/>
                <w:sz w:val="19"/>
              </w:rPr>
              <w:t>For this bottleneck, what are the top 3 actions to take?</w:t>
            </w:r>
          </w:p>
        </w:tc>
        <w:tc>
          <w:tcPr>
            <w:tcW w:type="dxa" w:w="4104"/>
            <w:shd w:val="clear" w:color="auto" w:fill="F1F3F2"/>
          </w:tcPr>
          <w:p>
            <w:pPr>
              <w:spacing w:line="276" w:lineRule="auto" w:after="0"/>
            </w:pPr>
            <w:r>
              <w:rPr>
                <w:rFonts w:ascii="Calibri" w:hAnsi="Calibri" w:cs="Calibri"/>
                <w:b w:val="0"/>
                <w:color w:val="16211F"/>
                <w:sz w:val="19"/>
              </w:rPr>
              <w:t>Bottleneck diagnosis (its Decision), Business goals{}, Evidence types relevant to the bottleneck category</w:t>
            </w:r>
          </w:p>
        </w:tc>
        <w:tc>
          <w:tcPr>
            <w:tcW w:type="dxa" w:w="1440"/>
            <w:shd w:val="clear" w:color="auto" w:fill="F1F3F2"/>
          </w:tcPr>
          <w:p>
            <w:pPr>
              <w:spacing w:line="276" w:lineRule="auto" w:after="0"/>
            </w:pPr>
            <w:r>
              <w:rPr>
                <w:rFonts w:ascii="Calibri" w:hAnsi="Calibri" w:cs="Calibri"/>
                <w:b w:val="0"/>
                <w:color w:val="16211F"/>
                <w:sz w:val="19"/>
              </w:rPr>
              <w:t>Platform (automated)</w:t>
            </w:r>
          </w:p>
        </w:tc>
        <w:tc>
          <w:tcPr>
            <w:tcW w:type="dxa" w:w="864"/>
            <w:shd w:val="clear" w:color="auto" w:fill="F1F3F2"/>
          </w:tcPr>
          <w:p>
            <w:pPr>
              <w:spacing w:line="276" w:lineRule="auto" w:after="0"/>
            </w:pPr>
            <w:r>
              <w:rPr>
                <w:rFonts w:ascii="Calibri" w:hAnsi="Calibri" w:cs="Calibri"/>
                <w:b w:val="0"/>
                <w:color w:val="16211F"/>
                <w:sz w:val="19"/>
              </w:rPr>
              <w:t>P1</w:t>
            </w:r>
          </w:p>
        </w:tc>
      </w:tr>
    </w:tbl>
    <w:p>
      <w:pPr>
        <w:spacing w:after="40"/>
      </w:pPr>
    </w:p>
    <w:p>
      <w:pPr>
        <w:pStyle w:val="Heading2"/>
      </w:pPr>
      <w:r>
        <w:t>Outcomes</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3510"/>
        <w:gridCol w:w="3510"/>
        <w:gridCol w:w="3510"/>
        <w:gridCol w:w="3510"/>
      </w:tblGrid>
      <w:tr>
        <w:trPr>
          <w:tblHeader w:val="true"/>
          <w:cantSplit w:val="true"/>
        </w:trPr>
        <w:tc>
          <w:tcPr>
            <w:tcW w:type="dxa" w:w="2880"/>
            <w:shd w:val="clear" w:color="auto" w:fill="1C3A36"/>
          </w:tcPr>
          <w:p>
            <w:pPr>
              <w:keepNext/>
              <w:spacing w:line="276" w:lineRule="auto" w:after="0"/>
            </w:pPr>
            <w:r>
              <w:rPr>
                <w:rFonts w:ascii="Calibri" w:hAnsi="Calibri" w:cs="Calibri"/>
                <w:b/>
                <w:color w:val="FFFFFF"/>
                <w:sz w:val="19"/>
              </w:rPr>
              <w:t>Decision</w:t>
            </w:r>
          </w:p>
        </w:tc>
        <w:tc>
          <w:tcPr>
            <w:tcW w:type="dxa" w:w="2304"/>
            <w:shd w:val="clear" w:color="auto" w:fill="1C3A36"/>
          </w:tcPr>
          <w:p>
            <w:pPr>
              <w:keepNext/>
              <w:spacing w:line="276" w:lineRule="auto" w:after="0"/>
            </w:pPr>
            <w:r>
              <w:rPr>
                <w:rFonts w:ascii="Calibri" w:hAnsi="Calibri" w:cs="Calibri"/>
                <w:b/>
                <w:color w:val="FFFFFF"/>
                <w:sz w:val="19"/>
              </w:rPr>
              <w:t>Outcome</w:t>
            </w:r>
          </w:p>
        </w:tc>
        <w:tc>
          <w:tcPr>
            <w:tcW w:type="dxa" w:w="5904"/>
            <w:shd w:val="clear" w:color="auto" w:fill="1C3A36"/>
          </w:tcPr>
          <w:p>
            <w:pPr>
              <w:keepNext/>
              <w:spacing w:line="276" w:lineRule="auto" w:after="0"/>
            </w:pPr>
            <w:r>
              <w:rPr>
                <w:rFonts w:ascii="Calibri" w:hAnsi="Calibri" w:cs="Calibri"/>
                <w:b/>
                <w:color w:val="FFFFFF"/>
                <w:sz w:val="19"/>
              </w:rPr>
              <w:t>Meaning</w:t>
            </w:r>
          </w:p>
        </w:tc>
        <w:tc>
          <w:tcPr>
            <w:tcW w:type="dxa" w:w="2952"/>
            <w:shd w:val="clear" w:color="auto" w:fill="1C3A36"/>
          </w:tcPr>
          <w:p>
            <w:pPr>
              <w:keepNext/>
              <w:spacing w:line="276" w:lineRule="auto" w:after="0"/>
            </w:pPr>
            <w:r>
              <w:rPr>
                <w:rFonts w:ascii="Calibri" w:hAnsi="Calibri" w:cs="Calibri"/>
                <w:b/>
                <w:color w:val="FFFFFF"/>
                <w:sz w:val="19"/>
              </w:rPr>
              <w:t>Entitles</w:t>
            </w:r>
          </w:p>
        </w:tc>
      </w:tr>
      <w:tr>
        <w:trPr>
          <w:cantSplit w:val="true"/>
        </w:trPr>
        <w:tc>
          <w:tcPr>
            <w:tcW w:type="dxa" w:w="2880"/>
          </w:tcPr>
          <w:p>
            <w:pPr>
              <w:keepNext/>
              <w:spacing w:line="276" w:lineRule="auto" w:after="0"/>
            </w:pPr>
            <w:r>
              <w:rPr>
                <w:rFonts w:ascii="Consolas" w:hAnsi="Consolas" w:cs="Consolas"/>
                <w:b w:val="0"/>
                <w:color w:val="16211F"/>
                <w:sz w:val="19"/>
              </w:rPr>
              <w:t>BOTTLENECK_DIAGNOSIS</w:t>
            </w:r>
          </w:p>
        </w:tc>
        <w:tc>
          <w:tcPr>
            <w:tcW w:type="dxa" w:w="2304"/>
          </w:tcPr>
          <w:p>
            <w:pPr>
              <w:keepNext/>
              <w:spacing w:line="276" w:lineRule="auto" w:after="0"/>
            </w:pPr>
            <w:r>
              <w:rPr>
                <w:rFonts w:ascii="Consolas" w:hAnsi="Consolas" w:cs="Consolas"/>
                <w:b w:val="0"/>
                <w:color w:val="16211F"/>
                <w:sz w:val="19"/>
              </w:rPr>
              <w:t>IDENTIFIED</w:t>
            </w:r>
          </w:p>
        </w:tc>
        <w:tc>
          <w:tcPr>
            <w:tcW w:type="dxa" w:w="5904"/>
          </w:tcPr>
          <w:p>
            <w:pPr>
              <w:keepNext/>
              <w:spacing w:line="276" w:lineRule="auto" w:after="0"/>
            </w:pPr>
            <w:r>
              <w:rPr>
                <w:rFonts w:ascii="Calibri" w:hAnsi="Calibri" w:cs="Calibri"/>
                <w:b w:val="0"/>
                <w:color w:val="16211F"/>
                <w:sz w:val="19"/>
              </w:rPr>
              <w:t>One bottleneck scored above threshold with confidence ≥ 0.7. Payload: {bottleneck, severity_score, annual_opportunity}</w:t>
            </w:r>
          </w:p>
        </w:tc>
        <w:tc>
          <w:tcPr>
            <w:tcW w:type="dxa" w:w="2952"/>
          </w:tcPr>
          <w:p>
            <w:pPr>
              <w:keepNext/>
              <w:spacing w:line="276" w:lineRule="auto" w:after="0"/>
            </w:pPr>
            <w:r>
              <w:rPr>
                <w:rFonts w:ascii="Calibri" w:hAnsi="Calibri" w:cs="Calibri"/>
                <w:b w:val="0"/>
                <w:color w:val="16211F"/>
                <w:sz w:val="19"/>
              </w:rPr>
              <w:t>PROPOSE_ACTIONS</w:t>
            </w:r>
          </w:p>
        </w:tc>
      </w:tr>
      <w:tr>
        <w:trPr>
          <w:cantSplit w:val="true"/>
        </w:trPr>
        <w:tc>
          <w:tcPr>
            <w:tcW w:type="dxa" w:w="2880"/>
            <w:shd w:val="clear" w:color="auto" w:fill="F1F3F2"/>
          </w:tcPr>
          <w:p>
            <w:pPr>
              <w:keepNext/>
              <w:spacing w:line="276" w:lineRule="auto" w:after="0"/>
            </w:pPr>
            <w:r>
              <w:rPr>
                <w:rFonts w:ascii="Consolas" w:hAnsi="Consolas" w:cs="Consolas"/>
                <w:b w:val="0"/>
                <w:color w:val="16211F"/>
                <w:sz w:val="19"/>
              </w:rPr>
              <w:t>BOTTLENECK_DIAGNOSIS</w:t>
            </w:r>
          </w:p>
        </w:tc>
        <w:tc>
          <w:tcPr>
            <w:tcW w:type="dxa" w:w="2304"/>
            <w:shd w:val="clear" w:color="auto" w:fill="F1F3F2"/>
          </w:tcPr>
          <w:p>
            <w:pPr>
              <w:keepNext/>
              <w:spacing w:line="276" w:lineRule="auto" w:after="0"/>
            </w:pPr>
            <w:r>
              <w:rPr>
                <w:rFonts w:ascii="Consolas" w:hAnsi="Consolas" w:cs="Consolas"/>
                <w:b w:val="0"/>
                <w:color w:val="16211F"/>
                <w:sz w:val="19"/>
              </w:rPr>
              <w:t>IDENTIFIED (low confidence)</w:t>
            </w:r>
          </w:p>
        </w:tc>
        <w:tc>
          <w:tcPr>
            <w:tcW w:type="dxa" w:w="5904"/>
            <w:shd w:val="clear" w:color="auto" w:fill="F1F3F2"/>
          </w:tcPr>
          <w:p>
            <w:pPr>
              <w:keepNext/>
              <w:spacing w:line="276" w:lineRule="auto" w:after="0"/>
            </w:pPr>
            <w:r>
              <w:rPr>
                <w:rFonts w:ascii="Calibri" w:hAnsi="Calibri" w:cs="Calibri"/>
                <w:b w:val="0"/>
                <w:color w:val="16211F"/>
                <w:sz w:val="19"/>
              </w:rPr>
              <w:t xml:space="preserve">A bottleneck is named but confidence &lt; 0.7; reason stated in </w:t>
            </w:r>
            <w:r>
              <w:rPr>
                <w:rFonts w:ascii="Consolas" w:hAnsi="Consolas" w:cs="Consolas"/>
                <w:b w:val="0"/>
                <w:color w:val="16211F"/>
                <w:sz w:val="19"/>
              </w:rPr>
              <w:t>reasoning{}</w:t>
            </w:r>
            <w:r>
              <w:rPr>
                <w:rFonts w:ascii="Calibri" w:hAnsi="Calibri" w:cs="Calibri"/>
                <w:b w:val="0"/>
                <w:color w:val="16211F"/>
                <w:sz w:val="19"/>
              </w:rPr>
              <w:t xml:space="preserve">. Payload as above plus </w:t>
            </w:r>
            <w:r>
              <w:rPr>
                <w:rFonts w:ascii="Consolas" w:hAnsi="Consolas" w:cs="Consolas"/>
                <w:b w:val="0"/>
                <w:color w:val="16211F"/>
                <w:sz w:val="19"/>
              </w:rPr>
              <w:t>missing_evidence[]</w:t>
            </w:r>
          </w:p>
        </w:tc>
        <w:tc>
          <w:tcPr>
            <w:tcW w:type="dxa" w:w="2952"/>
            <w:shd w:val="clear" w:color="auto" w:fill="F1F3F2"/>
          </w:tcPr>
          <w:p>
            <w:pPr>
              <w:keepNext/>
              <w:spacing w:line="276" w:lineRule="auto" w:after="0"/>
            </w:pPr>
            <w:r>
              <w:rPr>
                <w:rFonts w:ascii="Calibri" w:hAnsi="Calibri" w:cs="Calibri"/>
                <w:b w:val="0"/>
                <w:color w:val="16211F"/>
                <w:sz w:val="19"/>
              </w:rPr>
              <w:t>PROPOSE_ACTIONS, with the confidence caveat carried into every recommendation</w:t>
            </w:r>
          </w:p>
        </w:tc>
      </w:tr>
      <w:tr>
        <w:trPr>
          <w:cantSplit w:val="true"/>
        </w:trPr>
        <w:tc>
          <w:tcPr>
            <w:tcW w:type="dxa" w:w="2880"/>
          </w:tcPr>
          <w:p>
            <w:pPr>
              <w:keepNext/>
              <w:spacing w:line="276" w:lineRule="auto" w:after="0"/>
            </w:pPr>
            <w:r>
              <w:rPr>
                <w:rFonts w:ascii="Consolas" w:hAnsi="Consolas" w:cs="Consolas"/>
                <w:b w:val="0"/>
                <w:color w:val="16211F"/>
                <w:sz w:val="19"/>
              </w:rPr>
              <w:t>BOTTLENECK_DIAGNOSIS</w:t>
            </w:r>
          </w:p>
        </w:tc>
        <w:tc>
          <w:tcPr>
            <w:tcW w:type="dxa" w:w="2304"/>
          </w:tcPr>
          <w:p>
            <w:pPr>
              <w:keepNext/>
              <w:spacing w:line="276" w:lineRule="auto" w:after="0"/>
            </w:pPr>
            <w:r>
              <w:rPr>
                <w:rFonts w:ascii="Consolas" w:hAnsi="Consolas" w:cs="Consolas"/>
                <w:b w:val="0"/>
                <w:color w:val="16211F"/>
                <w:sz w:val="19"/>
              </w:rPr>
              <w:t>CANNOT_DECIDE</w:t>
            </w:r>
          </w:p>
        </w:tc>
        <w:tc>
          <w:tcPr>
            <w:tcW w:type="dxa" w:w="5904"/>
          </w:tcPr>
          <w:p>
            <w:pPr>
              <w:keepNext/>
              <w:spacing w:line="276" w:lineRule="auto" w:after="0"/>
            </w:pPr>
            <w:r>
              <w:rPr>
                <w:rFonts w:ascii="Calibri" w:hAnsi="Calibri" w:cs="Calibri"/>
                <w:b w:val="0"/>
                <w:color w:val="16211F"/>
                <w:sz w:val="19"/>
              </w:rPr>
              <w:t>Minimum data threshold not met, or evidence contradicted. Payload: {missing_evidence[] | contradiction}</w:t>
            </w:r>
          </w:p>
        </w:tc>
        <w:tc>
          <w:tcPr>
            <w:tcW w:type="dxa" w:w="2952"/>
          </w:tcPr>
          <w:p>
            <w:pPr>
              <w:keepNext/>
              <w:spacing w:line="276" w:lineRule="auto" w:after="0"/>
            </w:pPr>
            <w:r>
              <w:rPr>
                <w:rFonts w:ascii="Calibri" w:hAnsi="Calibri" w:cs="Calibri"/>
                <w:b w:val="0"/>
                <w:color w:val="16211F"/>
                <w:sz w:val="19"/>
              </w:rPr>
              <w:t>Nothing. Report states what to supply</w:t>
            </w:r>
          </w:p>
        </w:tc>
      </w:tr>
      <w:tr>
        <w:trPr>
          <w:cantSplit w:val="true"/>
        </w:trPr>
        <w:tc>
          <w:tcPr>
            <w:tcW w:type="dxa" w:w="2880"/>
            <w:shd w:val="clear" w:color="auto" w:fill="F1F3F2"/>
          </w:tcPr>
          <w:p>
            <w:pPr>
              <w:keepNext/>
              <w:spacing w:line="276" w:lineRule="auto" w:after="0"/>
            </w:pPr>
            <w:r>
              <w:rPr>
                <w:rFonts w:ascii="Consolas" w:hAnsi="Consolas" w:cs="Consolas"/>
                <w:b w:val="0"/>
                <w:color w:val="16211F"/>
                <w:sz w:val="19"/>
              </w:rPr>
              <w:t>RECOMMENDATION_ASSESSMENT</w:t>
            </w:r>
          </w:p>
        </w:tc>
        <w:tc>
          <w:tcPr>
            <w:tcW w:type="dxa" w:w="2304"/>
            <w:shd w:val="clear" w:color="auto" w:fill="F1F3F2"/>
          </w:tcPr>
          <w:p>
            <w:pPr>
              <w:keepNext/>
              <w:spacing w:line="276" w:lineRule="auto" w:after="0"/>
            </w:pPr>
            <w:r>
              <w:rPr>
                <w:rFonts w:ascii="Consolas" w:hAnsi="Consolas" w:cs="Consolas"/>
                <w:b w:val="0"/>
                <w:color w:val="16211F"/>
                <w:sz w:val="19"/>
              </w:rPr>
              <w:t>ASSESSED</w:t>
            </w:r>
          </w:p>
        </w:tc>
        <w:tc>
          <w:tcPr>
            <w:tcW w:type="dxa" w:w="5904"/>
            <w:shd w:val="clear" w:color="auto" w:fill="F1F3F2"/>
          </w:tcPr>
          <w:p>
            <w:pPr>
              <w:keepNext/>
              <w:spacing w:line="276" w:lineRule="auto" w:after="0"/>
            </w:pPr>
            <w:r>
              <w:rPr>
                <w:rFonts w:ascii="Calibri" w:hAnsi="Calibri" w:cs="Calibri"/>
                <w:b w:val="0"/>
                <w:color w:val="16211F"/>
                <w:sz w:val="19"/>
              </w:rPr>
              <w:t>Three actions ranked by roi_score with investment, impact and payback. Payload: {actions[], roi_scores[]}</w:t>
            </w:r>
          </w:p>
        </w:tc>
        <w:tc>
          <w:tcPr>
            <w:tcW w:type="dxa" w:w="2952"/>
            <w:shd w:val="clear" w:color="auto" w:fill="F1F3F2"/>
          </w:tcPr>
          <w:p>
            <w:pPr>
              <w:keepNext/>
              <w:spacing w:line="276" w:lineRule="auto" w:after="0"/>
            </w:pPr>
            <w:r>
              <w:rPr>
                <w:rFonts w:ascii="Calibri" w:hAnsi="Calibri" w:cs="Calibri"/>
                <w:b w:val="0"/>
                <w:color w:val="16211F"/>
                <w:sz w:val="19"/>
              </w:rPr>
              <w:t>EXECUTE_ACTION (P2), PUBLISH_REPORT</w:t>
            </w:r>
          </w:p>
        </w:tc>
      </w:tr>
      <w:tr>
        <w:trPr>
          <w:cantSplit w:val="true"/>
        </w:trPr>
        <w:tc>
          <w:tcPr>
            <w:tcW w:type="dxa" w:w="2880"/>
          </w:tcPr>
          <w:p>
            <w:pPr>
              <w:spacing w:line="276" w:lineRule="auto" w:after="0"/>
            </w:pPr>
            <w:r>
              <w:rPr>
                <w:rFonts w:ascii="Consolas" w:hAnsi="Consolas" w:cs="Consolas"/>
                <w:b w:val="0"/>
                <w:color w:val="16211F"/>
                <w:sz w:val="19"/>
              </w:rPr>
              <w:t>RECOMMENDATION_ASSESSMENT</w:t>
            </w:r>
          </w:p>
        </w:tc>
        <w:tc>
          <w:tcPr>
            <w:tcW w:type="dxa" w:w="2304"/>
          </w:tcPr>
          <w:p>
            <w:pPr>
              <w:spacing w:line="276" w:lineRule="auto" w:after="0"/>
            </w:pPr>
            <w:r>
              <w:rPr>
                <w:rFonts w:ascii="Consolas" w:hAnsi="Consolas" w:cs="Consolas"/>
                <w:b w:val="0"/>
                <w:color w:val="16211F"/>
                <w:sz w:val="19"/>
              </w:rPr>
              <w:t>CANNOT_ASSESS</w:t>
            </w:r>
          </w:p>
        </w:tc>
        <w:tc>
          <w:tcPr>
            <w:tcW w:type="dxa" w:w="5904"/>
          </w:tcPr>
          <w:p>
            <w:pPr>
              <w:spacing w:line="276" w:lineRule="auto" w:after="0"/>
            </w:pPr>
            <w:r>
              <w:rPr>
                <w:rFonts w:ascii="Calibri" w:hAnsi="Calibri" w:cs="Calibri"/>
                <w:b w:val="0"/>
                <w:color w:val="16211F"/>
                <w:sz w:val="19"/>
              </w:rPr>
              <w:t>Bottleneck identified but sizing evidence absent (e.g. RETENTION without EV-08). Payload: {missing_evidence[]}</w:t>
            </w:r>
          </w:p>
        </w:tc>
        <w:tc>
          <w:tcPr>
            <w:tcW w:type="dxa" w:w="2952"/>
          </w:tcPr>
          <w:p>
            <w:pPr>
              <w:spacing w:line="276" w:lineRule="auto" w:after="0"/>
            </w:pPr>
            <w:r>
              <w:rPr>
                <w:rFonts w:ascii="Calibri" w:hAnsi="Calibri" w:cs="Calibri"/>
                <w:b w:val="0"/>
                <w:color w:val="16211F"/>
                <w:sz w:val="19"/>
              </w:rPr>
              <w:t>Nothing. Report states what to supply</w:t>
            </w:r>
          </w:p>
        </w:tc>
      </w:tr>
    </w:tbl>
    <w:p>
      <w:pPr>
        <w:spacing w:after="40"/>
      </w:pPr>
    </w:p>
    <w:p>
      <w:pPr>
        <w:pStyle w:val="Heading2"/>
      </w:pPr>
      <w:r>
        <w:t>BOTTLENECK_DIAGNOSIS contract</w:t>
      </w:r>
    </w:p>
    <w:tbl>
      <w:tblPr>
        <w:tblW w:type="auto" w:w="0"/>
        <w:jc w:val="center"/>
        <w:tblLayout w:type="fixed"/>
        <w:tblLook w:firstColumn="1" w:firstRow="1" w:lastColumn="0" w:lastRow="0" w:noHBand="0" w:noVBand="1" w:val="04A0"/>
        <w:tblBorders>
          <w:top w:val="single" w:sz="2" w:color="DDEEEB"/>
          <w:left w:val="single" w:sz="18" w:color="1C3A36"/>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3A36"/>
                <w:sz w:val="20"/>
              </w:rPr>
              <w:t>DECISION   BOTTLENECK_DIAGNOSIS</w:t>
            </w:r>
          </w:p>
          <w:p>
            <w:pPr>
              <w:spacing w:line="276" w:lineRule="auto" w:after="60"/>
            </w:pPr>
            <w:r>
              <w:rPr>
                <w:rFonts w:ascii="Calibri" w:hAnsi="Calibri" w:cs="Calibri"/>
                <w:b w:val="0"/>
                <w:color w:val="16211F"/>
                <w:sz w:val="20"/>
              </w:rPr>
              <w:t>Subject:  Business (</w:t>
            </w:r>
            <w:r>
              <w:rPr>
                <w:rFonts w:ascii="Consolas" w:hAnsi="Consolas" w:cs="Consolas"/>
                <w:b w:val="0"/>
                <w:color w:val="16211F"/>
                <w:sz w:val="20"/>
              </w:rPr>
              <w:t>business_id</w:t>
            </w:r>
            <w:r>
              <w:rPr>
                <w:rFonts w:ascii="Calibri" w:hAnsi="Calibri" w:cs="Calibri"/>
                <w:b w:val="0"/>
                <w:color w:val="16211F"/>
                <w:sz w:val="20"/>
              </w:rPr>
              <w:t>)</w:t>
            </w:r>
          </w:p>
          <w:p>
            <w:pPr>
              <w:spacing w:line="276" w:lineRule="auto" w:after="60"/>
            </w:pPr>
            <w:r>
              <w:rPr>
                <w:rFonts w:ascii="Calibri" w:hAnsi="Calibri" w:cs="Calibri"/>
                <w:b w:val="0"/>
                <w:color w:val="16211F"/>
                <w:sz w:val="20"/>
              </w:rPr>
              <w:t xml:space="preserve">Precondition:  ≥ 3 months of Sale, ≥ 10 Products, ≥ 20 Customers (§8). No Evidence in state </w:t>
            </w:r>
            <w:r>
              <w:rPr>
                <w:rFonts w:ascii="Consolas" w:hAnsi="Consolas" w:cs="Consolas"/>
                <w:b w:val="0"/>
                <w:color w:val="16211F"/>
                <w:sz w:val="20"/>
              </w:rPr>
              <w:t>contradicted</w:t>
            </w:r>
            <w:r>
              <w:rPr>
                <w:rFonts w:ascii="Calibri" w:hAnsi="Calibri" w:cs="Calibri"/>
                <w:b w:val="0"/>
                <w:color w:val="16211F"/>
                <w:sz w:val="20"/>
              </w:rPr>
              <w:t>.</w:t>
            </w:r>
          </w:p>
          <w:p>
            <w:pPr>
              <w:spacing w:line="276" w:lineRule="auto" w:after="60"/>
            </w:pPr>
            <w:r>
              <w:rPr>
                <w:rFonts w:ascii="Calibri" w:hAnsi="Calibri" w:cs="Calibri"/>
                <w:b w:val="0"/>
                <w:color w:val="16211F"/>
                <w:sz w:val="20"/>
              </w:rPr>
              <w:t>Method:  One detector per bottleneck category (RETENTION, MARGIN, INVENTORY, CHANNEL_MIX, CONVERSION, PRICING, ACQUISITION). Each detector reads its evidence types, compares to benchmark or internal baseline, and returns a severity score 0.0–1.0 and an annual opportunity in USD. The category with the highest severity × opportunity is the bottleneck. Ties break toward the category with more present evidence.</w:t>
            </w:r>
          </w:p>
          <w:p>
            <w:pPr>
              <w:spacing w:line="276" w:lineRule="auto" w:after="60"/>
            </w:pPr>
            <w:r>
              <w:rPr>
                <w:rFonts w:ascii="Calibri" w:hAnsi="Calibri" w:cs="Calibri"/>
                <w:b w:val="0"/>
                <w:color w:val="16211F"/>
                <w:sz w:val="20"/>
              </w:rPr>
              <w:t xml:space="preserve">Confidence:  share of the winning detector's required evidence types that are </w:t>
            </w:r>
            <w:r>
              <w:rPr>
                <w:rFonts w:ascii="Consolas" w:hAnsi="Consolas" w:cs="Consolas"/>
                <w:b w:val="0"/>
                <w:color w:val="16211F"/>
                <w:sz w:val="20"/>
              </w:rPr>
              <w:t>present</w:t>
            </w:r>
            <w:r>
              <w:rPr>
                <w:rFonts w:ascii="Calibri" w:hAnsi="Calibri" w:cs="Calibri"/>
                <w:b w:val="0"/>
                <w:color w:val="16211F"/>
                <w:sz w:val="20"/>
              </w:rPr>
              <w:t>, weighted by provenance (observed 1.0, derived 0.9, asserted 0.7).</w:t>
            </w:r>
          </w:p>
          <w:p>
            <w:pPr>
              <w:spacing w:line="276" w:lineRule="auto" w:after="60"/>
            </w:pPr>
            <w:r>
              <w:rPr>
                <w:rFonts w:ascii="Calibri" w:hAnsi="Calibri" w:cs="Calibri"/>
                <w:b w:val="0"/>
                <w:color w:val="16211F"/>
                <w:sz w:val="20"/>
              </w:rPr>
              <w:t>Always returns:  bottleneck_name, root_cause_narrative, supporting_evidence[] (evidence_id + version), missing_evidence[], confidence_score.</w:t>
            </w:r>
          </w:p>
          <w:p>
            <w:pPr>
              <w:spacing w:line="276" w:lineRule="auto" w:after="60"/>
            </w:pPr>
            <w:r>
              <w:rPr>
                <w:rFonts w:ascii="Calibri" w:hAnsi="Calibri" w:cs="Calibri"/>
                <w:b w:val="0"/>
                <w:color w:val="16211F"/>
                <w:sz w:val="20"/>
              </w:rPr>
              <w:t>Never returns:  a number without an evidence_id behind it.</w:t>
            </w:r>
          </w:p>
        </w:tc>
      </w:tr>
    </w:tbl>
    <w:p>
      <w:pPr>
        <w:spacing w:after="40"/>
      </w:pPr>
    </w:p>
    <w:p>
      <w:pPr>
        <w:pStyle w:val="Heading2"/>
      </w:pPr>
      <w:r>
        <w:t>RECOMMENDATION_ASSESSMENT contract</w:t>
      </w:r>
    </w:p>
    <w:tbl>
      <w:tblPr>
        <w:tblW w:type="auto" w:w="0"/>
        <w:jc w:val="center"/>
        <w:tblLayout w:type="fixed"/>
        <w:tblLook w:firstColumn="1" w:firstRow="1" w:lastColumn="0" w:lastRow="0" w:noHBand="0" w:noVBand="1" w:val="04A0"/>
        <w:tblBorders>
          <w:top w:val="single" w:sz="2" w:color="DDEEEB"/>
          <w:left w:val="single" w:sz="18" w:color="1C3A36"/>
          <w:bottom w:val="single" w:sz="2" w:color="DDEEEB"/>
          <w:right w:val="single" w:sz="2" w:color="DDEEEB"/>
          <w:insideH w:val="single" w:sz="2" w:color="DDEEEB"/>
          <w:insideV w:val="single" w:sz="2" w:color="DDEEEB"/>
        </w:tblBorders>
        <w:tblCellMar>
          <w:top w:w="120" w:type="dxa"/>
          <w:left w:w="180" w:type="dxa"/>
          <w:bottom w:w="120" w:type="dxa"/>
          <w:right w:w="180" w:type="dxa"/>
        </w:tblCellMar>
      </w:tblPr>
      <w:tblGrid>
        <w:gridCol w:w="14040"/>
      </w:tblGrid>
      <w:tr>
        <w:trPr>
          <w:cantSplit w:val="true"/>
        </w:trPr>
        <w:tc>
          <w:tcPr>
            <w:tcW w:type="dxa" w:w="14040"/>
            <w:shd w:val="clear" w:color="auto" w:fill="DDEEEB"/>
          </w:tcPr>
          <w:p>
            <w:pPr>
              <w:spacing w:line="276" w:lineRule="auto" w:after="80"/>
            </w:pPr>
            <w:r>
              <w:rPr>
                <w:rFonts w:ascii="Calibri" w:hAnsi="Calibri" w:cs="Calibri"/>
                <w:b/>
                <w:color w:val="1C3A36"/>
                <w:sz w:val="20"/>
              </w:rPr>
              <w:t>DECISION   RECOMMENDATION_ASSESSMENT</w:t>
            </w:r>
          </w:p>
          <w:p>
            <w:pPr>
              <w:spacing w:line="276" w:lineRule="auto" w:after="60"/>
            </w:pPr>
            <w:r>
              <w:rPr>
                <w:rFonts w:ascii="Calibri" w:hAnsi="Calibri" w:cs="Calibri"/>
                <w:b w:val="0"/>
                <w:color w:val="16211F"/>
                <w:sz w:val="20"/>
              </w:rPr>
              <w:t>Subject:  Bottleneck (</w:t>
            </w:r>
            <w:r>
              <w:rPr>
                <w:rFonts w:ascii="Consolas" w:hAnsi="Consolas" w:cs="Consolas"/>
                <w:b w:val="0"/>
                <w:color w:val="16211F"/>
                <w:sz w:val="20"/>
              </w:rPr>
              <w:t>bottleneck_id</w:t>
            </w:r>
            <w:r>
              <w:rPr>
                <w:rFonts w:ascii="Calibri" w:hAnsi="Calibri" w:cs="Calibri"/>
                <w:b w:val="0"/>
                <w:color w:val="16211F"/>
                <w:sz w:val="20"/>
              </w:rPr>
              <w:t>) in the context of its Business</w:t>
            </w:r>
          </w:p>
          <w:p>
            <w:pPr>
              <w:spacing w:line="276" w:lineRule="auto" w:after="60"/>
            </w:pPr>
            <w:r>
              <w:rPr>
                <w:rFonts w:ascii="Calibri" w:hAnsi="Calibri" w:cs="Calibri"/>
                <w:b w:val="0"/>
                <w:color w:val="16211F"/>
                <w:sz w:val="20"/>
              </w:rPr>
              <w:t xml:space="preserve">Precondition:  the referenced BOTTLENECK_DIAGNOSIS outcome is IDENTIFIED. Sizing evidence for the category is </w:t>
            </w:r>
            <w:r>
              <w:rPr>
                <w:rFonts w:ascii="Consolas" w:hAnsi="Consolas" w:cs="Consolas"/>
                <w:b w:val="0"/>
                <w:color w:val="16211F"/>
                <w:sz w:val="20"/>
              </w:rPr>
              <w:t>present</w:t>
            </w:r>
            <w:r>
              <w:rPr>
                <w:rFonts w:ascii="Calibri" w:hAnsi="Calibri" w:cs="Calibri"/>
                <w:b w:val="0"/>
                <w:color w:val="16211F"/>
                <w:sz w:val="20"/>
              </w:rPr>
              <w:t>.</w:t>
            </w:r>
          </w:p>
          <w:p>
            <w:pPr>
              <w:spacing w:line="276" w:lineRule="auto" w:after="60"/>
            </w:pPr>
            <w:r>
              <w:rPr>
                <w:rFonts w:ascii="Calibri" w:hAnsi="Calibri" w:cs="Calibri"/>
                <w:b w:val="0"/>
                <w:color w:val="16211F"/>
                <w:sz w:val="20"/>
              </w:rPr>
              <w:t>Method:  Candidate actions are drawn from the playbook for the bottleneck category. Each is scored: expected_impact_usd from the opportunity sizing × the action's historical capture rate; investment_usd from the playbook cost model adjusted by Business.revenue_monthly; payback_weeks = investment ÷ (impact ÷ 52). roi_score = impact ÷ investment, penalised by unmet prerequisites. The top 3 by roi_score are returned in rank order.</w:t>
            </w:r>
          </w:p>
          <w:p>
            <w:pPr>
              <w:spacing w:line="276" w:lineRule="auto" w:after="60"/>
            </w:pPr>
            <w:r>
              <w:rPr>
                <w:rFonts w:ascii="Calibri" w:hAnsi="Calibri" w:cs="Calibri"/>
                <w:b w:val="0"/>
                <w:color w:val="16211F"/>
                <w:sz w:val="20"/>
              </w:rPr>
              <w:t>Always returns:  action_list (3, ranked), investment_usd[], expected_impact_usd[], payback_weeks[], measurement_framework (metric, baseline, target, review_at), prerequisites[].</w:t>
            </w:r>
          </w:p>
          <w:p>
            <w:pPr>
              <w:spacing w:line="276" w:lineRule="auto" w:after="60"/>
            </w:pPr>
            <w:r>
              <w:rPr>
                <w:rFonts w:ascii="Calibri" w:hAnsi="Calibri" w:cs="Calibri"/>
                <w:b w:val="0"/>
                <w:color w:val="16211F"/>
                <w:sz w:val="20"/>
              </w:rPr>
              <w:t>Carries forward:  the diagnosis confidence_score. A low-confidence diagnosis yields low-confidence recommendations; the report says so.</w:t>
            </w:r>
          </w:p>
        </w:tc>
      </w:tr>
    </w:tbl>
    <w:p>
      <w:pPr>
        <w:spacing w:after="40"/>
      </w:pPr>
    </w:p>
    <w:p>
      <w:pPr>
        <w:pStyle w:val="Heading2"/>
      </w:pPr>
      <w:r>
        <w:t>Bottleneck categories and the evidence each reads</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3510"/>
        <w:gridCol w:w="3510"/>
        <w:gridCol w:w="3510"/>
        <w:gridCol w:w="3510"/>
      </w:tblGrid>
      <w:tr>
        <w:trPr>
          <w:tblHeader w:val="true"/>
          <w:cantSplit w:val="true"/>
        </w:trPr>
        <w:tc>
          <w:tcPr>
            <w:tcW w:type="dxa" w:w="2160"/>
            <w:shd w:val="clear" w:color="auto" w:fill="1C3A36"/>
          </w:tcPr>
          <w:p>
            <w:pPr>
              <w:keepNext/>
              <w:spacing w:line="276" w:lineRule="auto" w:after="0"/>
            </w:pPr>
            <w:r>
              <w:rPr>
                <w:rFonts w:ascii="Calibri" w:hAnsi="Calibri" w:cs="Calibri"/>
                <w:b/>
                <w:color w:val="FFFFFF"/>
                <w:sz w:val="19"/>
              </w:rPr>
              <w:t>Category</w:t>
            </w:r>
          </w:p>
        </w:tc>
        <w:tc>
          <w:tcPr>
            <w:tcW w:type="dxa" w:w="3456"/>
            <w:shd w:val="clear" w:color="auto" w:fill="1C3A36"/>
          </w:tcPr>
          <w:p>
            <w:pPr>
              <w:keepNext/>
              <w:spacing w:line="276" w:lineRule="auto" w:after="0"/>
            </w:pPr>
            <w:r>
              <w:rPr>
                <w:rFonts w:ascii="Calibri" w:hAnsi="Calibri" w:cs="Calibri"/>
                <w:b/>
                <w:color w:val="FFFFFF"/>
                <w:sz w:val="19"/>
              </w:rPr>
              <w:t>Required evidence</w:t>
            </w:r>
          </w:p>
        </w:tc>
        <w:tc>
          <w:tcPr>
            <w:tcW w:type="dxa" w:w="2736"/>
            <w:shd w:val="clear" w:color="auto" w:fill="1C3A36"/>
          </w:tcPr>
          <w:p>
            <w:pPr>
              <w:keepNext/>
              <w:spacing w:line="276" w:lineRule="auto" w:after="0"/>
            </w:pPr>
            <w:r>
              <w:rPr>
                <w:rFonts w:ascii="Calibri" w:hAnsi="Calibri" w:cs="Calibri"/>
                <w:b/>
                <w:color w:val="FFFFFF"/>
                <w:sz w:val="19"/>
              </w:rPr>
              <w:t>Optional evidence</w:t>
            </w:r>
          </w:p>
        </w:tc>
        <w:tc>
          <w:tcPr>
            <w:tcW w:type="dxa" w:w="5688"/>
            <w:shd w:val="clear" w:color="auto" w:fill="1C3A36"/>
          </w:tcPr>
          <w:p>
            <w:pPr>
              <w:keepNext/>
              <w:spacing w:line="276" w:lineRule="auto" w:after="0"/>
            </w:pPr>
            <w:r>
              <w:rPr>
                <w:rFonts w:ascii="Calibri" w:hAnsi="Calibri" w:cs="Calibri"/>
                <w:b/>
                <w:color w:val="FFFFFF"/>
                <w:sz w:val="19"/>
              </w:rPr>
              <w:t>Sized by</w:t>
            </w:r>
          </w:p>
        </w:tc>
      </w:tr>
      <w:tr>
        <w:trPr>
          <w:cantSplit w:val="true"/>
        </w:trPr>
        <w:tc>
          <w:tcPr>
            <w:tcW w:type="dxa" w:w="2160"/>
          </w:tcPr>
          <w:p>
            <w:pPr>
              <w:keepNext/>
              <w:spacing w:line="276" w:lineRule="auto" w:after="0"/>
            </w:pPr>
            <w:r>
              <w:rPr>
                <w:rFonts w:ascii="Consolas" w:hAnsi="Consolas" w:cs="Consolas"/>
                <w:b w:val="0"/>
                <w:color w:val="16211F"/>
                <w:sz w:val="19"/>
              </w:rPr>
              <w:t>RETENTION</w:t>
            </w:r>
          </w:p>
        </w:tc>
        <w:tc>
          <w:tcPr>
            <w:tcW w:type="dxa" w:w="3456"/>
          </w:tcPr>
          <w:p>
            <w:pPr>
              <w:keepNext/>
              <w:spacing w:line="276" w:lineRule="auto" w:after="0"/>
            </w:pPr>
            <w:r>
              <w:rPr>
                <w:rFonts w:ascii="Calibri" w:hAnsi="Calibri" w:cs="Calibri"/>
                <w:b w:val="0"/>
                <w:color w:val="16211F"/>
                <w:sz w:val="19"/>
              </w:rPr>
              <w:t>EV-04, EV-06, EV-07, EV-19</w:t>
            </w:r>
          </w:p>
        </w:tc>
        <w:tc>
          <w:tcPr>
            <w:tcW w:type="dxa" w:w="2736"/>
          </w:tcPr>
          <w:p>
            <w:pPr>
              <w:keepNext/>
              <w:spacing w:line="276" w:lineRule="auto" w:after="0"/>
            </w:pPr>
            <w:r>
              <w:rPr>
                <w:rFonts w:ascii="Calibri" w:hAnsi="Calibri" w:cs="Calibri"/>
                <w:b w:val="0"/>
                <w:color w:val="16211F"/>
                <w:sz w:val="19"/>
              </w:rPr>
              <w:t>EV-08</w:t>
            </w:r>
          </w:p>
        </w:tc>
        <w:tc>
          <w:tcPr>
            <w:tcW w:type="dxa" w:w="5688"/>
          </w:tcPr>
          <w:p>
            <w:pPr>
              <w:keepNext/>
              <w:spacing w:line="276" w:lineRule="auto" w:after="0"/>
            </w:pPr>
            <w:r>
              <w:rPr>
                <w:rFonts w:ascii="Calibri" w:hAnsi="Calibri" w:cs="Calibri"/>
                <w:b w:val="0"/>
                <w:color w:val="16211F"/>
                <w:sz w:val="19"/>
              </w:rPr>
              <w:t>Churned-cohort revenue × recoverable share</w:t>
            </w:r>
          </w:p>
        </w:tc>
      </w:tr>
      <w:tr>
        <w:trPr>
          <w:cantSplit w:val="true"/>
        </w:trPr>
        <w:tc>
          <w:tcPr>
            <w:tcW w:type="dxa" w:w="2160"/>
            <w:shd w:val="clear" w:color="auto" w:fill="F1F3F2"/>
          </w:tcPr>
          <w:p>
            <w:pPr>
              <w:keepNext/>
              <w:spacing w:line="276" w:lineRule="auto" w:after="0"/>
            </w:pPr>
            <w:r>
              <w:rPr>
                <w:rFonts w:ascii="Consolas" w:hAnsi="Consolas" w:cs="Consolas"/>
                <w:b w:val="0"/>
                <w:color w:val="16211F"/>
                <w:sz w:val="19"/>
              </w:rPr>
              <w:t>MARGIN</w:t>
            </w:r>
          </w:p>
        </w:tc>
        <w:tc>
          <w:tcPr>
            <w:tcW w:type="dxa" w:w="3456"/>
            <w:shd w:val="clear" w:color="auto" w:fill="F1F3F2"/>
          </w:tcPr>
          <w:p>
            <w:pPr>
              <w:keepNext/>
              <w:spacing w:line="276" w:lineRule="auto" w:after="0"/>
            </w:pPr>
            <w:r>
              <w:rPr>
                <w:rFonts w:ascii="Calibri" w:hAnsi="Calibri" w:cs="Calibri"/>
                <w:b w:val="0"/>
                <w:color w:val="16211F"/>
                <w:sz w:val="19"/>
              </w:rPr>
              <w:t>EV-02, EV-10, EV-20</w:t>
            </w:r>
          </w:p>
        </w:tc>
        <w:tc>
          <w:tcPr>
            <w:tcW w:type="dxa" w:w="2736"/>
            <w:shd w:val="clear" w:color="auto" w:fill="F1F3F2"/>
          </w:tcPr>
          <w:p>
            <w:pPr>
              <w:keepNext/>
              <w:spacing w:line="276" w:lineRule="auto" w:after="0"/>
            </w:pPr>
            <w:r>
              <w:rPr>
                <w:rFonts w:ascii="Calibri" w:hAnsi="Calibri" w:cs="Calibri"/>
                <w:b w:val="0"/>
                <w:color w:val="16211F"/>
                <w:sz w:val="19"/>
              </w:rPr>
              <w:t>EV-11, EV-13</w:t>
            </w:r>
          </w:p>
        </w:tc>
        <w:tc>
          <w:tcPr>
            <w:tcW w:type="dxa" w:w="5688"/>
            <w:shd w:val="clear" w:color="auto" w:fill="F1F3F2"/>
          </w:tcPr>
          <w:p>
            <w:pPr>
              <w:keepNext/>
              <w:spacing w:line="276" w:lineRule="auto" w:after="0"/>
            </w:pPr>
            <w:r>
              <w:rPr>
                <w:rFonts w:ascii="Calibri" w:hAnsi="Calibri" w:cs="Calibri"/>
                <w:b w:val="0"/>
                <w:color w:val="16211F"/>
                <w:sz w:val="19"/>
              </w:rPr>
              <w:t>Revenue on sub-benchmark-margin products × margin gap</w:t>
            </w:r>
          </w:p>
        </w:tc>
      </w:tr>
      <w:tr>
        <w:trPr>
          <w:cantSplit w:val="true"/>
        </w:trPr>
        <w:tc>
          <w:tcPr>
            <w:tcW w:type="dxa" w:w="2160"/>
          </w:tcPr>
          <w:p>
            <w:pPr>
              <w:keepNext/>
              <w:spacing w:line="276" w:lineRule="auto" w:after="0"/>
            </w:pPr>
            <w:r>
              <w:rPr>
                <w:rFonts w:ascii="Consolas" w:hAnsi="Consolas" w:cs="Consolas"/>
                <w:b w:val="0"/>
                <w:color w:val="16211F"/>
                <w:sz w:val="19"/>
              </w:rPr>
              <w:t>INVENTORY</w:t>
            </w:r>
          </w:p>
        </w:tc>
        <w:tc>
          <w:tcPr>
            <w:tcW w:type="dxa" w:w="3456"/>
          </w:tcPr>
          <w:p>
            <w:pPr>
              <w:keepNext/>
              <w:spacing w:line="276" w:lineRule="auto" w:after="0"/>
            </w:pPr>
            <w:r>
              <w:rPr>
                <w:rFonts w:ascii="Calibri" w:hAnsi="Calibri" w:cs="Calibri"/>
                <w:b w:val="0"/>
                <w:color w:val="16211F"/>
                <w:sz w:val="19"/>
              </w:rPr>
              <w:t>EV-12, EV-14, EV-15</w:t>
            </w:r>
          </w:p>
        </w:tc>
        <w:tc>
          <w:tcPr>
            <w:tcW w:type="dxa" w:w="2736"/>
          </w:tcPr>
          <w:p>
            <w:pPr>
              <w:keepNext/>
              <w:spacing w:line="276" w:lineRule="auto" w:after="0"/>
            </w:pPr>
            <w:r>
              <w:rPr>
                <w:rFonts w:ascii="Calibri" w:hAnsi="Calibri" w:cs="Calibri"/>
                <w:b w:val="0"/>
                <w:color w:val="16211F"/>
                <w:sz w:val="19"/>
              </w:rPr>
              <w:t>EV-16</w:t>
            </w:r>
          </w:p>
        </w:tc>
        <w:tc>
          <w:tcPr>
            <w:tcW w:type="dxa" w:w="5688"/>
          </w:tcPr>
          <w:p>
            <w:pPr>
              <w:keepNext/>
              <w:spacing w:line="276" w:lineRule="auto" w:after="0"/>
            </w:pPr>
            <w:r>
              <w:rPr>
                <w:rFonts w:ascii="Calibri" w:hAnsi="Calibri" w:cs="Calibri"/>
                <w:b w:val="0"/>
                <w:color w:val="16211F"/>
                <w:sz w:val="19"/>
              </w:rPr>
              <w:t>Slow-moving value + stockout lost sales</w:t>
            </w:r>
          </w:p>
        </w:tc>
      </w:tr>
      <w:tr>
        <w:trPr>
          <w:cantSplit w:val="true"/>
        </w:trPr>
        <w:tc>
          <w:tcPr>
            <w:tcW w:type="dxa" w:w="2160"/>
            <w:shd w:val="clear" w:color="auto" w:fill="F1F3F2"/>
          </w:tcPr>
          <w:p>
            <w:pPr>
              <w:keepNext/>
              <w:spacing w:line="276" w:lineRule="auto" w:after="0"/>
            </w:pPr>
            <w:r>
              <w:rPr>
                <w:rFonts w:ascii="Consolas" w:hAnsi="Consolas" w:cs="Consolas"/>
                <w:b w:val="0"/>
                <w:color w:val="16211F"/>
                <w:sz w:val="19"/>
              </w:rPr>
              <w:t>CHANNEL_MIX</w:t>
            </w:r>
          </w:p>
        </w:tc>
        <w:tc>
          <w:tcPr>
            <w:tcW w:type="dxa" w:w="3456"/>
            <w:shd w:val="clear" w:color="auto" w:fill="F1F3F2"/>
          </w:tcPr>
          <w:p>
            <w:pPr>
              <w:keepNext/>
              <w:spacing w:line="276" w:lineRule="auto" w:after="0"/>
            </w:pPr>
            <w:r>
              <w:rPr>
                <w:rFonts w:ascii="Calibri" w:hAnsi="Calibri" w:cs="Calibri"/>
                <w:b w:val="0"/>
                <w:color w:val="16211F"/>
                <w:sz w:val="19"/>
              </w:rPr>
              <w:t>EV-03, EV-05</w:t>
            </w:r>
          </w:p>
        </w:tc>
        <w:tc>
          <w:tcPr>
            <w:tcW w:type="dxa" w:w="2736"/>
            <w:shd w:val="clear" w:color="auto" w:fill="F1F3F2"/>
          </w:tcPr>
          <w:p>
            <w:pPr>
              <w:keepNext/>
              <w:spacing w:line="276" w:lineRule="auto" w:after="0"/>
            </w:pPr>
            <w:r>
              <w:rPr>
                <w:rFonts w:ascii="Calibri" w:hAnsi="Calibri" w:cs="Calibri"/>
                <w:b w:val="0"/>
                <w:color w:val="16211F"/>
                <w:sz w:val="19"/>
              </w:rPr>
              <w:t>EV-09, EV-11</w:t>
            </w:r>
          </w:p>
        </w:tc>
        <w:tc>
          <w:tcPr>
            <w:tcW w:type="dxa" w:w="5688"/>
            <w:shd w:val="clear" w:color="auto" w:fill="F1F3F2"/>
          </w:tcPr>
          <w:p>
            <w:pPr>
              <w:keepNext/>
              <w:spacing w:line="276" w:lineRule="auto" w:after="0"/>
            </w:pPr>
            <w:r>
              <w:rPr>
                <w:rFonts w:ascii="Calibri" w:hAnsi="Calibri" w:cs="Calibri"/>
                <w:b w:val="0"/>
                <w:color w:val="16211F"/>
                <w:sz w:val="19"/>
              </w:rPr>
              <w:t>Revenue shift if under-indexed channel reaches median share</w:t>
            </w:r>
          </w:p>
        </w:tc>
      </w:tr>
      <w:tr>
        <w:trPr>
          <w:cantSplit w:val="true"/>
        </w:trPr>
        <w:tc>
          <w:tcPr>
            <w:tcW w:type="dxa" w:w="2160"/>
          </w:tcPr>
          <w:p>
            <w:pPr>
              <w:keepNext/>
              <w:spacing w:line="276" w:lineRule="auto" w:after="0"/>
            </w:pPr>
            <w:r>
              <w:rPr>
                <w:rFonts w:ascii="Consolas" w:hAnsi="Consolas" w:cs="Consolas"/>
                <w:b w:val="0"/>
                <w:color w:val="16211F"/>
                <w:sz w:val="19"/>
              </w:rPr>
              <w:t>CONVERSION</w:t>
            </w:r>
          </w:p>
        </w:tc>
        <w:tc>
          <w:tcPr>
            <w:tcW w:type="dxa" w:w="3456"/>
          </w:tcPr>
          <w:p>
            <w:pPr>
              <w:keepNext/>
              <w:spacing w:line="276" w:lineRule="auto" w:after="0"/>
            </w:pPr>
            <w:r>
              <w:rPr>
                <w:rFonts w:ascii="Calibri" w:hAnsi="Calibri" w:cs="Calibri"/>
                <w:b w:val="0"/>
                <w:color w:val="16211F"/>
                <w:sz w:val="19"/>
              </w:rPr>
              <w:t>EV-17 or EV-16</w:t>
            </w:r>
          </w:p>
        </w:tc>
        <w:tc>
          <w:tcPr>
            <w:tcW w:type="dxa" w:w="2736"/>
          </w:tcPr>
          <w:p>
            <w:pPr>
              <w:keepNext/>
              <w:spacing w:line="276" w:lineRule="auto" w:after="0"/>
            </w:pPr>
            <w:r>
              <w:rPr>
                <w:rFonts w:ascii="Calibri" w:hAnsi="Calibri" w:cs="Calibri"/>
                <w:b w:val="0"/>
                <w:color w:val="16211F"/>
                <w:sz w:val="19"/>
              </w:rPr>
              <w:t>EV-13</w:t>
            </w:r>
          </w:p>
        </w:tc>
        <w:tc>
          <w:tcPr>
            <w:tcW w:type="dxa" w:w="5688"/>
          </w:tcPr>
          <w:p>
            <w:pPr>
              <w:keepNext/>
              <w:spacing w:line="276" w:lineRule="auto" w:after="0"/>
            </w:pPr>
            <w:r>
              <w:rPr>
                <w:rFonts w:ascii="Calibri" w:hAnsi="Calibri" w:cs="Calibri"/>
                <w:b w:val="0"/>
                <w:color w:val="16211F"/>
                <w:sz w:val="19"/>
              </w:rPr>
              <w:t>Abandoned carts × AOV × recoverable share</w:t>
            </w:r>
          </w:p>
        </w:tc>
      </w:tr>
      <w:tr>
        <w:trPr>
          <w:cantSplit w:val="true"/>
        </w:trPr>
        <w:tc>
          <w:tcPr>
            <w:tcW w:type="dxa" w:w="2160"/>
            <w:shd w:val="clear" w:color="auto" w:fill="F1F3F2"/>
          </w:tcPr>
          <w:p>
            <w:pPr>
              <w:keepNext/>
              <w:spacing w:line="276" w:lineRule="auto" w:after="0"/>
            </w:pPr>
            <w:r>
              <w:rPr>
                <w:rFonts w:ascii="Consolas" w:hAnsi="Consolas" w:cs="Consolas"/>
                <w:b w:val="0"/>
                <w:color w:val="16211F"/>
                <w:sz w:val="19"/>
              </w:rPr>
              <w:t>PRICING</w:t>
            </w:r>
          </w:p>
        </w:tc>
        <w:tc>
          <w:tcPr>
            <w:tcW w:type="dxa" w:w="3456"/>
            <w:shd w:val="clear" w:color="auto" w:fill="F1F3F2"/>
          </w:tcPr>
          <w:p>
            <w:pPr>
              <w:keepNext/>
              <w:spacing w:line="276" w:lineRule="auto" w:after="0"/>
            </w:pPr>
            <w:r>
              <w:rPr>
                <w:rFonts w:ascii="Calibri" w:hAnsi="Calibri" w:cs="Calibri"/>
                <w:b w:val="0"/>
                <w:color w:val="16211F"/>
                <w:sz w:val="19"/>
              </w:rPr>
              <w:t>EV-10, EV-18</w:t>
            </w:r>
          </w:p>
        </w:tc>
        <w:tc>
          <w:tcPr>
            <w:tcW w:type="dxa" w:w="2736"/>
            <w:shd w:val="clear" w:color="auto" w:fill="F1F3F2"/>
          </w:tcPr>
          <w:p>
            <w:pPr>
              <w:keepNext/>
              <w:spacing w:line="276" w:lineRule="auto" w:after="0"/>
            </w:pPr>
            <w:r>
              <w:rPr>
                <w:rFonts w:ascii="Calibri" w:hAnsi="Calibri" w:cs="Calibri"/>
                <w:b w:val="0"/>
                <w:color w:val="16211F"/>
                <w:sz w:val="19"/>
              </w:rPr>
              <w:t>EV-11, EV-20</w:t>
            </w:r>
          </w:p>
        </w:tc>
        <w:tc>
          <w:tcPr>
            <w:tcW w:type="dxa" w:w="5688"/>
            <w:shd w:val="clear" w:color="auto" w:fill="F1F3F2"/>
          </w:tcPr>
          <w:p>
            <w:pPr>
              <w:keepNext/>
              <w:spacing w:line="276" w:lineRule="auto" w:after="0"/>
            </w:pPr>
            <w:r>
              <w:rPr>
                <w:rFonts w:ascii="Calibri" w:hAnsi="Calibri" w:cs="Calibri"/>
                <w:b w:val="0"/>
                <w:color w:val="16211F"/>
                <w:sz w:val="19"/>
              </w:rPr>
              <w:t>Price gap × volume on affected products</w:t>
            </w:r>
          </w:p>
        </w:tc>
      </w:tr>
      <w:tr>
        <w:trPr>
          <w:cantSplit w:val="true"/>
        </w:trPr>
        <w:tc>
          <w:tcPr>
            <w:tcW w:type="dxa" w:w="2160"/>
          </w:tcPr>
          <w:p>
            <w:pPr>
              <w:spacing w:line="276" w:lineRule="auto" w:after="0"/>
            </w:pPr>
            <w:r>
              <w:rPr>
                <w:rFonts w:ascii="Consolas" w:hAnsi="Consolas" w:cs="Consolas"/>
                <w:b w:val="0"/>
                <w:color w:val="16211F"/>
                <w:sz w:val="19"/>
              </w:rPr>
              <w:t>ACQUISITION</w:t>
            </w:r>
          </w:p>
        </w:tc>
        <w:tc>
          <w:tcPr>
            <w:tcW w:type="dxa" w:w="3456"/>
          </w:tcPr>
          <w:p>
            <w:pPr>
              <w:spacing w:line="276" w:lineRule="auto" w:after="0"/>
            </w:pPr>
            <w:r>
              <w:rPr>
                <w:rFonts w:ascii="Calibri" w:hAnsi="Calibri" w:cs="Calibri"/>
                <w:b w:val="0"/>
                <w:color w:val="16211F"/>
                <w:sz w:val="19"/>
              </w:rPr>
              <w:t>EV-04, EV-09</w:t>
            </w:r>
          </w:p>
        </w:tc>
        <w:tc>
          <w:tcPr>
            <w:tcW w:type="dxa" w:w="2736"/>
          </w:tcPr>
          <w:p>
            <w:pPr>
              <w:spacing w:line="276" w:lineRule="auto" w:after="0"/>
            </w:pPr>
            <w:r>
              <w:rPr>
                <w:rFonts w:ascii="Calibri" w:hAnsi="Calibri" w:cs="Calibri"/>
                <w:b w:val="0"/>
                <w:color w:val="16211F"/>
                <w:sz w:val="19"/>
              </w:rPr>
              <w:t>EV-08</w:t>
            </w:r>
          </w:p>
        </w:tc>
        <w:tc>
          <w:tcPr>
            <w:tcW w:type="dxa" w:w="5688"/>
          </w:tcPr>
          <w:p>
            <w:pPr>
              <w:spacing w:line="276" w:lineRule="auto" w:after="0"/>
            </w:pPr>
            <w:r>
              <w:rPr>
                <w:rFonts w:ascii="Calibri" w:hAnsi="Calibri" w:cs="Calibri"/>
                <w:b w:val="0"/>
                <w:color w:val="16211F"/>
                <w:sz w:val="19"/>
              </w:rPr>
              <w:t>CAC reduction or CLV:CAC improvement × new-customer count</w:t>
            </w:r>
          </w:p>
        </w:tc>
      </w:tr>
    </w:tbl>
    <w:p>
      <w:pPr>
        <w:spacing w:after="40"/>
      </w:pPr>
    </w:p>
    <w:p>
      <w:pPr>
        <w:pStyle w:val="Heading1"/>
        <w:spacing w:before="600"/>
        <w:pBdr>
          <w:top w:val="single" w:sz="12" w:space="10" w:color="1C8C7D"/>
        </w:pBdr>
      </w:pPr>
      <w:r>
        <w:t>7.  Governance rules</w:t>
      </w:r>
    </w:p>
    <w:p>
      <w:pPr>
        <w:keepNext/>
        <w:spacing w:after="0" w:line="360" w:lineRule="auto"/>
      </w:pPr>
      <w:r>
        <w:rPr>
          <w:rFonts w:ascii="Calibri" w:hAnsi="Calibri" w:cs="Calibri"/>
          <w:b w:val="0"/>
          <w:color w:val="16211F"/>
          <w:sz w:val="22"/>
        </w:rPr>
        <w:t>The rules the engine must never break. Each is testable, and the Phase 1 test suite carries one test per rule.</w:t>
      </w:r>
    </w:p>
    <w:p>
      <w:pPr>
        <w:keepNext/>
        <w:spacing w:after="0" w:line="360" w:lineRule="auto"/>
      </w:pPr>
      <w:r>
        <w:rPr>
          <w:rFonts w:ascii="Calibri" w:hAnsi="Calibri" w:cs="Calibri"/>
          <w:b/>
          <w:color w:val="1C3A36"/>
          <w:sz w:val="22"/>
        </w:rPr>
        <w:t>G-01  Every evidence type has a source and an assertion rule.</w:t>
      </w:r>
    </w:p>
    <w:p>
      <w:pPr>
        <w:keepNext w:val="0"/>
        <w:spacing w:after="0" w:line="360" w:lineRule="auto"/>
      </w:pPr>
      <w:r>
        <w:rPr>
          <w:rFonts w:ascii="Calibri" w:hAnsi="Calibri" w:cs="Calibri"/>
          <w:b w:val="0"/>
          <w:color w:val="16211F"/>
          <w:sz w:val="22"/>
        </w:rPr>
        <w:t>Nothing is computed invisibly. An evidence row names its source (a table, a form field, a reference table, an API) and the rule that produced it. A chart may aggregate evidence; it may not create it.</w:t>
      </w:r>
    </w:p>
    <w:p>
      <w:pPr>
        <w:keepNext/>
        <w:spacing w:after="0" w:line="360" w:lineRule="auto"/>
      </w:pPr>
      <w:r>
        <w:rPr>
          <w:rFonts w:ascii="Calibri" w:hAnsi="Calibri" w:cs="Calibri"/>
          <w:b/>
          <w:color w:val="1C3A36"/>
          <w:sz w:val="22"/>
        </w:rPr>
        <w:t>G-02  Every decision is deterministic.</w:t>
      </w:r>
    </w:p>
    <w:p>
      <w:pPr>
        <w:keepNext w:val="0"/>
        <w:spacing w:after="0" w:line="360" w:lineRule="auto"/>
      </w:pPr>
      <w:r>
        <w:rPr>
          <w:rFonts w:ascii="Calibri" w:hAnsi="Calibri" w:cs="Calibri"/>
          <w:b w:val="0"/>
          <w:color w:val="16211F"/>
          <w:sz w:val="22"/>
        </w:rPr>
        <w:t xml:space="preserve">Same inputs → same output. Detectors use fixed thresholds recorded in </w:t>
      </w:r>
      <w:r>
        <w:rPr>
          <w:rFonts w:ascii="Consolas" w:hAnsi="Consolas" w:cs="Consolas"/>
          <w:b w:val="0"/>
          <w:color w:val="16211F"/>
          <w:sz w:val="22"/>
        </w:rPr>
        <w:t>reasoning{}</w:t>
      </w:r>
      <w:r>
        <w:rPr>
          <w:rFonts w:ascii="Calibri" w:hAnsi="Calibri" w:cs="Calibri"/>
          <w:b w:val="0"/>
          <w:color w:val="16211F"/>
          <w:sz w:val="22"/>
        </w:rPr>
        <w:t>. No randomness, no model temperature, no wall-clock dependence other than the evidence period.</w:t>
      </w:r>
    </w:p>
    <w:p>
      <w:pPr>
        <w:keepNext/>
        <w:spacing w:after="0" w:line="360" w:lineRule="auto"/>
      </w:pPr>
      <w:r>
        <w:rPr>
          <w:rFonts w:ascii="Calibri" w:hAnsi="Calibri" w:cs="Calibri"/>
          <w:b/>
          <w:color w:val="1C3A36"/>
          <w:sz w:val="22"/>
        </w:rPr>
        <w:t>G-03  Every decision stores its inputs.</w:t>
      </w:r>
    </w:p>
    <w:p>
      <w:pPr>
        <w:keepNext w:val="0"/>
        <w:spacing w:after="0" w:line="360" w:lineRule="auto"/>
      </w:pPr>
      <w:r>
        <w:rPr>
          <w:rFonts w:ascii="Consolas" w:hAnsi="Consolas" w:cs="Consolas"/>
          <w:b w:val="0"/>
          <w:color w:val="16211F"/>
          <w:sz w:val="22"/>
        </w:rPr>
        <w:t>input_evidence{}</w:t>
      </w:r>
      <w:r>
        <w:rPr>
          <w:rFonts w:ascii="Calibri" w:hAnsi="Calibri" w:cs="Calibri"/>
          <w:b w:val="0"/>
          <w:color w:val="16211F"/>
          <w:sz w:val="22"/>
        </w:rPr>
        <w:t xml:space="preserve"> records each evidence type read and its version; </w:t>
      </w:r>
      <w:r>
        <w:rPr>
          <w:rFonts w:ascii="Consolas" w:hAnsi="Consolas" w:cs="Consolas"/>
          <w:b w:val="0"/>
          <w:color w:val="16211F"/>
          <w:sz w:val="22"/>
        </w:rPr>
        <w:t>input_digest</w:t>
      </w:r>
      <w:r>
        <w:rPr>
          <w:rFonts w:ascii="Calibri" w:hAnsi="Calibri" w:cs="Calibri"/>
          <w:b w:val="0"/>
          <w:color w:val="16211F"/>
          <w:sz w:val="22"/>
        </w:rPr>
        <w:t xml:space="preserve"> is the SHA-256 of those versions. A decision can be replayed and its digest compared.</w:t>
      </w:r>
    </w:p>
    <w:p>
      <w:pPr>
        <w:keepNext/>
        <w:spacing w:after="0" w:line="360" w:lineRule="auto"/>
      </w:pPr>
      <w:r>
        <w:rPr>
          <w:rFonts w:ascii="Calibri" w:hAnsi="Calibri" w:cs="Calibri"/>
          <w:b/>
          <w:color w:val="1C3A36"/>
          <w:sz w:val="22"/>
        </w:rPr>
        <w:t>G-04  Every action requires a decision outcome.</w:t>
      </w:r>
    </w:p>
    <w:p>
      <w:pPr>
        <w:keepNext w:val="0"/>
        <w:spacing w:after="0" w:line="360" w:lineRule="auto"/>
      </w:pPr>
      <w:r>
        <w:rPr>
          <w:rFonts w:ascii="Calibri" w:hAnsi="Calibri" w:cs="Calibri"/>
          <w:b w:val="0"/>
          <w:color w:val="16211F"/>
          <w:sz w:val="22"/>
        </w:rPr>
        <w:t>EXECUTE_ACTION references a Decision with outcome ASSESSED and an accepted Recommendation. Role membership alone never authorises an action to be recorded as recommended.</w:t>
      </w:r>
    </w:p>
    <w:p>
      <w:pPr>
        <w:keepNext/>
        <w:spacing w:after="0" w:line="360" w:lineRule="auto"/>
      </w:pPr>
      <w:r>
        <w:rPr>
          <w:rFonts w:ascii="Calibri" w:hAnsi="Calibri" w:cs="Calibri"/>
          <w:b/>
          <w:color w:val="1C3A36"/>
          <w:sz w:val="22"/>
        </w:rPr>
        <w:t>G-05  Contradicted evidence blocks decisions.</w:t>
      </w:r>
    </w:p>
    <w:p>
      <w:pPr>
        <w:keepNext w:val="0"/>
        <w:spacing w:after="0" w:line="360" w:lineRule="auto"/>
      </w:pPr>
      <w:r>
        <w:rPr>
          <w:rFonts w:ascii="Calibri" w:hAnsi="Calibri" w:cs="Calibri"/>
          <w:b w:val="0"/>
          <w:color w:val="16211F"/>
          <w:sz w:val="22"/>
        </w:rPr>
        <w:t xml:space="preserve">If any evidence type the decision reads is in state </w:t>
      </w:r>
      <w:r>
        <w:rPr>
          <w:rFonts w:ascii="Consolas" w:hAnsi="Consolas" w:cs="Consolas"/>
          <w:b w:val="0"/>
          <w:color w:val="16211F"/>
          <w:sz w:val="22"/>
        </w:rPr>
        <w:t>contradicted</w:t>
      </w:r>
      <w:r>
        <w:rPr>
          <w:rFonts w:ascii="Calibri" w:hAnsi="Calibri" w:cs="Calibri"/>
          <w:b w:val="0"/>
          <w:color w:val="16211F"/>
          <w:sz w:val="22"/>
        </w:rPr>
        <w:t>, the outcome is CANNOT_DECIDE and the payload names the check (CC-xx), both values and both sources. The platform does not pick one.</w:t>
      </w:r>
    </w:p>
    <w:p>
      <w:pPr>
        <w:keepNext/>
        <w:spacing w:after="0" w:line="360" w:lineRule="auto"/>
      </w:pPr>
      <w:r>
        <w:rPr>
          <w:rFonts w:ascii="Calibri" w:hAnsi="Calibri" w:cs="Calibri"/>
          <w:b/>
          <w:color w:val="1C3A36"/>
          <w:sz w:val="22"/>
        </w:rPr>
        <w:t>G-06  Thin data is flagged.</w:t>
      </w:r>
    </w:p>
    <w:p>
      <w:pPr>
        <w:keepNext w:val="0"/>
        <w:spacing w:after="0" w:line="360" w:lineRule="auto"/>
      </w:pPr>
      <w:r>
        <w:rPr>
          <w:rFonts w:ascii="Calibri" w:hAnsi="Calibri" w:cs="Calibri"/>
          <w:b w:val="0"/>
          <w:color w:val="16211F"/>
          <w:sz w:val="22"/>
        </w:rPr>
        <w:t>confidence_score &lt; 0.7 is surfaced on the decision, the bottleneck, every recommendation and the report, with the reason (which evidence is absent or asserted rather than observed).</w:t>
      </w:r>
    </w:p>
    <w:p>
      <w:pPr>
        <w:keepNext/>
        <w:spacing w:after="0" w:line="360" w:lineRule="auto"/>
      </w:pPr>
      <w:r>
        <w:rPr>
          <w:rFonts w:ascii="Calibri" w:hAnsi="Calibri" w:cs="Calibri"/>
          <w:b/>
          <w:color w:val="1C3A36"/>
          <w:sz w:val="22"/>
        </w:rPr>
        <w:t>G-07  No number is fabricated; missing data is always visible.</w:t>
      </w:r>
    </w:p>
    <w:p>
      <w:pPr>
        <w:keepNext w:val="0"/>
        <w:spacing w:after="0" w:line="360" w:lineRule="auto"/>
      </w:pPr>
      <w:r>
        <w:rPr>
          <w:rFonts w:ascii="Calibri" w:hAnsi="Calibri" w:cs="Calibri"/>
          <w:b w:val="0"/>
          <w:color w:val="16211F"/>
          <w:sz w:val="22"/>
        </w:rPr>
        <w:t>Absent evidence is reported as absent, with the input the owner could supply to make it present. Zero is a value; absent is not zero. Every number in a report links to an evidence_id.</w:t>
      </w:r>
    </w:p>
    <w:p>
      <w:pPr>
        <w:pStyle w:val="Heading1"/>
        <w:spacing w:before="600"/>
        <w:pBdr>
          <w:top w:val="single" w:sz="12" w:space="10" w:color="1C8C7D"/>
        </w:pBdr>
      </w:pPr>
      <w:r>
        <w:t>8.  What Accord Retail must confirm</w:t>
      </w:r>
    </w:p>
    <w:p>
      <w:pPr>
        <w:keepNext/>
        <w:spacing w:after="0" w:line="360" w:lineRule="auto"/>
      </w:pPr>
      <w:r>
        <w:rPr>
          <w:rFonts w:ascii="Calibri" w:hAnsi="Calibri" w:cs="Calibri"/>
          <w:b w:val="0"/>
          <w:color w:val="16211F"/>
          <w:sz w:val="22"/>
        </w:rPr>
        <w:t>These do not block Phase 1. They gate Phase 2, because live connectors and EXECUTE_ACTION depend on the answers.</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4680"/>
        <w:gridCol w:w="4680"/>
        <w:gridCol w:w="4680"/>
      </w:tblGrid>
      <w:tr>
        <w:trPr>
          <w:tblHeader w:val="true"/>
          <w:cantSplit w:val="true"/>
        </w:trPr>
        <w:tc>
          <w:tcPr>
            <w:tcW w:type="dxa" w:w="4320"/>
            <w:shd w:val="clear" w:color="auto" w:fill="1C3A36"/>
          </w:tcPr>
          <w:p>
            <w:pPr>
              <w:keepNext/>
              <w:spacing w:line="276" w:lineRule="auto" w:after="0"/>
            </w:pPr>
            <w:r>
              <w:rPr>
                <w:rFonts w:ascii="Calibri" w:hAnsi="Calibri" w:cs="Calibri"/>
                <w:b/>
                <w:color w:val="FFFFFF"/>
                <w:sz w:val="19"/>
              </w:rPr>
              <w:t>Question</w:t>
            </w:r>
          </w:p>
        </w:tc>
        <w:tc>
          <w:tcPr>
            <w:tcW w:type="dxa" w:w="6192"/>
            <w:shd w:val="clear" w:color="auto" w:fill="1C3A36"/>
          </w:tcPr>
          <w:p>
            <w:pPr>
              <w:keepNext/>
              <w:spacing w:line="276" w:lineRule="auto" w:after="0"/>
            </w:pPr>
            <w:r>
              <w:rPr>
                <w:rFonts w:ascii="Calibri" w:hAnsi="Calibri" w:cs="Calibri"/>
                <w:b/>
                <w:color w:val="FFFFFF"/>
                <w:sz w:val="19"/>
              </w:rPr>
              <w:t>Current position (v0.1)</w:t>
            </w:r>
          </w:p>
        </w:tc>
        <w:tc>
          <w:tcPr>
            <w:tcW w:type="dxa" w:w="3528"/>
            <w:shd w:val="clear" w:color="auto" w:fill="1C3A36"/>
          </w:tcPr>
          <w:p>
            <w:pPr>
              <w:keepNext/>
              <w:spacing w:line="276" w:lineRule="auto" w:after="0"/>
            </w:pPr>
            <w:r>
              <w:rPr>
                <w:rFonts w:ascii="Calibri" w:hAnsi="Calibri" w:cs="Calibri"/>
                <w:b/>
                <w:color w:val="FFFFFF"/>
                <w:sz w:val="19"/>
              </w:rPr>
              <w:t>Blocks</w:t>
            </w:r>
          </w:p>
        </w:tc>
      </w:tr>
      <w:tr>
        <w:trPr>
          <w:cantSplit w:val="true"/>
        </w:trPr>
        <w:tc>
          <w:tcPr>
            <w:tcW w:type="dxa" w:w="4320"/>
          </w:tcPr>
          <w:p>
            <w:pPr>
              <w:keepNext/>
              <w:spacing w:line="276" w:lineRule="auto" w:after="0"/>
            </w:pPr>
            <w:r>
              <w:rPr>
                <w:rFonts w:ascii="Calibri" w:hAnsi="Calibri" w:cs="Calibri"/>
                <w:b w:val="0"/>
                <w:color w:val="16211F"/>
                <w:sz w:val="19"/>
              </w:rPr>
              <w:t>Which dimensions (product line, geography, customer segment) create a new Product vs. a new Configuration?</w:t>
            </w:r>
          </w:p>
        </w:tc>
        <w:tc>
          <w:tcPr>
            <w:tcW w:type="dxa" w:w="6192"/>
          </w:tcPr>
          <w:p>
            <w:pPr>
              <w:keepNext/>
              <w:spacing w:line="276" w:lineRule="auto" w:after="0"/>
            </w:pPr>
            <w:r>
              <w:rPr>
                <w:rFonts w:ascii="Calibri" w:hAnsi="Calibri" w:cs="Calibri"/>
                <w:b w:val="0"/>
                <w:color w:val="16211F"/>
                <w:sz w:val="19"/>
              </w:rPr>
              <w:t>Phase 1 has no Configuration object: a SKU is a Product, and variant, location and channel are properties. Shopify variants and multi-location inventory will force the question.</w:t>
            </w:r>
          </w:p>
        </w:tc>
        <w:tc>
          <w:tcPr>
            <w:tcW w:type="dxa" w:w="3528"/>
          </w:tcPr>
          <w:p>
            <w:pPr>
              <w:keepNext/>
              <w:spacing w:line="276" w:lineRule="auto" w:after="0"/>
            </w:pPr>
            <w:r>
              <w:rPr>
                <w:rFonts w:ascii="Calibri" w:hAnsi="Calibri" w:cs="Calibri"/>
                <w:b w:val="0"/>
                <w:color w:val="16211F"/>
                <w:sz w:val="19"/>
              </w:rPr>
              <w:t>CONNECT_SHOPIFY mapping; Product identity rules for P2</w:t>
            </w:r>
          </w:p>
        </w:tc>
      </w:tr>
      <w:tr>
        <w:trPr>
          <w:cantSplit w:val="true"/>
        </w:trPr>
        <w:tc>
          <w:tcPr>
            <w:tcW w:type="dxa" w:w="4320"/>
            <w:shd w:val="clear" w:color="auto" w:fill="F1F3F2"/>
          </w:tcPr>
          <w:p>
            <w:pPr>
              <w:keepNext/>
              <w:spacing w:line="276" w:lineRule="auto" w:after="0"/>
            </w:pPr>
            <w:r>
              <w:rPr>
                <w:rFonts w:ascii="Calibri" w:hAnsi="Calibri" w:cs="Calibri"/>
                <w:b w:val="0"/>
                <w:color w:val="16211F"/>
                <w:sz w:val="19"/>
              </w:rPr>
              <w:t>Which Evidence types are identity-affecting vs. pricing-affecting?</w:t>
            </w:r>
          </w:p>
        </w:tc>
        <w:tc>
          <w:tcPr>
            <w:tcW w:type="dxa" w:w="6192"/>
            <w:shd w:val="clear" w:color="auto" w:fill="F1F3F2"/>
          </w:tcPr>
          <w:p>
            <w:pPr>
              <w:keepNext/>
              <w:spacing w:line="276" w:lineRule="auto" w:after="0"/>
            </w:pPr>
            <w:r>
              <w:rPr>
                <w:rFonts w:ascii="Calibri" w:hAnsi="Calibri" w:cs="Calibri"/>
                <w:b w:val="0"/>
                <w:color w:val="16211F"/>
                <w:sz w:val="19"/>
              </w:rPr>
              <w:t>None are identity-affecting in Phase 1. EV-10, EV-11, EV-18 are pricing-affecting. A change in unit_cost creates a new Evidence version, not a new Product.</w:t>
            </w:r>
          </w:p>
        </w:tc>
        <w:tc>
          <w:tcPr>
            <w:tcW w:type="dxa" w:w="3528"/>
            <w:shd w:val="clear" w:color="auto" w:fill="F1F3F2"/>
          </w:tcPr>
          <w:p>
            <w:pPr>
              <w:keepNext/>
              <w:spacing w:line="276" w:lineRule="auto" w:after="0"/>
            </w:pPr>
            <w:r>
              <w:rPr>
                <w:rFonts w:ascii="Calibri" w:hAnsi="Calibri" w:cs="Calibri"/>
                <w:b w:val="0"/>
                <w:color w:val="16211F"/>
                <w:sz w:val="19"/>
              </w:rPr>
              <w:t>PRICING recommendations in P2; price-change EXECUTE_ACTION</w:t>
            </w:r>
          </w:p>
        </w:tc>
      </w:tr>
      <w:tr>
        <w:trPr>
          <w:cantSplit w:val="true"/>
        </w:trPr>
        <w:tc>
          <w:tcPr>
            <w:tcW w:type="dxa" w:w="4320"/>
          </w:tcPr>
          <w:p>
            <w:pPr>
              <w:keepNext/>
              <w:spacing w:line="276" w:lineRule="auto" w:after="0"/>
            </w:pPr>
            <w:r>
              <w:rPr>
                <w:rFonts w:ascii="Calibri" w:hAnsi="Calibri" w:cs="Calibri"/>
                <w:b w:val="0"/>
                <w:color w:val="16211F"/>
                <w:sz w:val="19"/>
              </w:rPr>
              <w:t>What is the minimum data threshold to run BOTTLENECK_DIAGNOSIS?</w:t>
            </w:r>
          </w:p>
        </w:tc>
        <w:tc>
          <w:tcPr>
            <w:tcW w:type="dxa" w:w="6192"/>
          </w:tcPr>
          <w:p>
            <w:pPr>
              <w:keepNext/>
              <w:spacing w:line="276" w:lineRule="auto" w:after="0"/>
            </w:pPr>
            <w:r>
              <w:rPr>
                <w:rFonts w:ascii="Calibri" w:hAnsi="Calibri" w:cs="Calibri"/>
                <w:b w:val="0"/>
                <w:color w:val="16211F"/>
                <w:sz w:val="19"/>
              </w:rPr>
              <w:t>Currently: ≥ 3 months of sales, ≥ 10 products, ≥ 20 customers. Below this, CANNOT_DECIDE. To be re-baselined after 10 beta runs.</w:t>
            </w:r>
          </w:p>
        </w:tc>
        <w:tc>
          <w:tcPr>
            <w:tcW w:type="dxa" w:w="3528"/>
          </w:tcPr>
          <w:p>
            <w:pPr>
              <w:keepNext/>
              <w:spacing w:line="276" w:lineRule="auto" w:after="0"/>
            </w:pPr>
            <w:r>
              <w:rPr>
                <w:rFonts w:ascii="Calibri" w:hAnsi="Calibri" w:cs="Calibri"/>
                <w:b w:val="0"/>
                <w:color w:val="16211F"/>
                <w:sz w:val="19"/>
              </w:rPr>
              <w:t>Beta acceptance; onboarding copy</w:t>
            </w:r>
          </w:p>
        </w:tc>
      </w:tr>
      <w:tr>
        <w:trPr>
          <w:cantSplit w:val="true"/>
        </w:trPr>
        <w:tc>
          <w:tcPr>
            <w:tcW w:type="dxa" w:w="4320"/>
            <w:shd w:val="clear" w:color="auto" w:fill="F1F3F2"/>
          </w:tcPr>
          <w:p>
            <w:pPr>
              <w:keepNext/>
              <w:spacing w:line="276" w:lineRule="auto" w:after="0"/>
            </w:pPr>
            <w:r>
              <w:rPr>
                <w:rFonts w:ascii="Calibri" w:hAnsi="Calibri" w:cs="Calibri"/>
                <w:b w:val="0"/>
                <w:color w:val="16211F"/>
                <w:sz w:val="19"/>
              </w:rPr>
              <w:t>Does a channel become an object when it carries fees and a connector?</w:t>
            </w:r>
          </w:p>
        </w:tc>
        <w:tc>
          <w:tcPr>
            <w:tcW w:type="dxa" w:w="6192"/>
            <w:shd w:val="clear" w:color="auto" w:fill="F1F3F2"/>
          </w:tcPr>
          <w:p>
            <w:pPr>
              <w:keepNext/>
              <w:spacing w:line="276" w:lineRule="auto" w:after="0"/>
            </w:pPr>
            <w:r>
              <w:rPr>
                <w:rFonts w:ascii="Calibri" w:hAnsi="Calibri" w:cs="Calibri"/>
                <w:b w:val="0"/>
                <w:color w:val="16211F"/>
                <w:sz w:val="19"/>
              </w:rPr>
              <w:t>Property on Sale in Phase 1. Marketplace fees (Amazon, Walmart) are per-channel per-product and may justify a Channel object with its own fee schedule.</w:t>
            </w:r>
          </w:p>
        </w:tc>
        <w:tc>
          <w:tcPr>
            <w:tcW w:type="dxa" w:w="3528"/>
            <w:shd w:val="clear" w:color="auto" w:fill="F1F3F2"/>
          </w:tcPr>
          <w:p>
            <w:pPr>
              <w:keepNext/>
              <w:spacing w:line="276" w:lineRule="auto" w:after="0"/>
            </w:pPr>
            <w:r>
              <w:rPr>
                <w:rFonts w:ascii="Calibri" w:hAnsi="Calibri" w:cs="Calibri"/>
                <w:b w:val="0"/>
                <w:color w:val="16211F"/>
                <w:sz w:val="19"/>
              </w:rPr>
              <w:t>EV-11 allocation in P2; multi-marketplace personas</w:t>
            </w:r>
          </w:p>
        </w:tc>
      </w:tr>
      <w:tr>
        <w:trPr>
          <w:cantSplit w:val="true"/>
        </w:trPr>
        <w:tc>
          <w:tcPr>
            <w:tcW w:type="dxa" w:w="4320"/>
          </w:tcPr>
          <w:p>
            <w:pPr>
              <w:keepNext/>
              <w:spacing w:line="276" w:lineRule="auto" w:after="0"/>
            </w:pPr>
            <w:r>
              <w:rPr>
                <w:rFonts w:ascii="Calibri" w:hAnsi="Calibri" w:cs="Calibri"/>
                <w:b w:val="0"/>
                <w:color w:val="16211F"/>
                <w:sz w:val="19"/>
              </w:rPr>
              <w:t>Who asserts external benchmarks (EV-19, EV-20) and how often are they versioned?</w:t>
            </w:r>
          </w:p>
        </w:tc>
        <w:tc>
          <w:tcPr>
            <w:tcW w:type="dxa" w:w="6192"/>
          </w:tcPr>
          <w:p>
            <w:pPr>
              <w:keepNext/>
              <w:spacing w:line="276" w:lineRule="auto" w:after="0"/>
            </w:pPr>
            <w:r>
              <w:rPr>
                <w:rFonts w:ascii="Calibri" w:hAnsi="Calibri" w:cs="Calibri"/>
                <w:b w:val="0"/>
                <w:color w:val="16211F"/>
                <w:sz w:val="19"/>
              </w:rPr>
              <w:t>Static reference table shipped with Phase 1, versioned with ontology_version. Source and refresh cadence to be confirmed.</w:t>
            </w:r>
          </w:p>
        </w:tc>
        <w:tc>
          <w:tcPr>
            <w:tcW w:type="dxa" w:w="3528"/>
          </w:tcPr>
          <w:p>
            <w:pPr>
              <w:keepNext/>
              <w:spacing w:line="276" w:lineRule="auto" w:after="0"/>
            </w:pPr>
            <w:r>
              <w:rPr>
                <w:rFonts w:ascii="Calibri" w:hAnsi="Calibri" w:cs="Calibri"/>
                <w:b w:val="0"/>
                <w:color w:val="16211F"/>
                <w:sz w:val="19"/>
              </w:rPr>
              <w:t>Severity scoring credibility with consultants</w:t>
            </w:r>
          </w:p>
        </w:tc>
      </w:tr>
      <w:tr>
        <w:trPr>
          <w:cantSplit w:val="true"/>
        </w:trPr>
        <w:tc>
          <w:tcPr>
            <w:tcW w:type="dxa" w:w="4320"/>
            <w:shd w:val="clear" w:color="auto" w:fill="F1F3F2"/>
          </w:tcPr>
          <w:p>
            <w:pPr>
              <w:spacing w:line="276" w:lineRule="auto" w:after="0"/>
            </w:pPr>
            <w:r>
              <w:rPr>
                <w:rFonts w:ascii="Calibri" w:hAnsi="Calibri" w:cs="Calibri"/>
                <w:b w:val="0"/>
                <w:color w:val="16211F"/>
                <w:sz w:val="19"/>
              </w:rPr>
              <w:t>What is the tolerance on each contradiction check?</w:t>
            </w:r>
          </w:p>
        </w:tc>
        <w:tc>
          <w:tcPr>
            <w:tcW w:type="dxa" w:w="6192"/>
            <w:shd w:val="clear" w:color="auto" w:fill="F1F3F2"/>
          </w:tcPr>
          <w:p>
            <w:pPr>
              <w:spacing w:line="276" w:lineRule="auto" w:after="0"/>
            </w:pPr>
            <w:r>
              <w:rPr>
                <w:rFonts w:ascii="Calibri" w:hAnsi="Calibri" w:cs="Calibri"/>
                <w:b w:val="0"/>
                <w:color w:val="16211F"/>
                <w:sz w:val="19"/>
              </w:rPr>
              <w:t>CC-01 10 %, CC-02 20 %, CC-03 0, CC-04 n/a. Chosen by judgement; to be tuned against beta data.</w:t>
            </w:r>
          </w:p>
        </w:tc>
        <w:tc>
          <w:tcPr>
            <w:tcW w:type="dxa" w:w="3528"/>
            <w:shd w:val="clear" w:color="auto" w:fill="F1F3F2"/>
          </w:tcPr>
          <w:p>
            <w:pPr>
              <w:spacing w:line="276" w:lineRule="auto" w:after="0"/>
            </w:pPr>
            <w:r>
              <w:rPr>
                <w:rFonts w:ascii="Calibri" w:hAnsi="Calibri" w:cs="Calibri"/>
                <w:b w:val="0"/>
                <w:color w:val="16211F"/>
                <w:sz w:val="19"/>
              </w:rPr>
              <w:t>False CANNOT_DECIDE rate in beta</w:t>
            </w:r>
          </w:p>
        </w:tc>
      </w:tr>
    </w:tbl>
    <w:p>
      <w:pPr>
        <w:spacing w:after="40"/>
      </w:pPr>
    </w:p>
    <w:p>
      <w:pPr>
        <w:pStyle w:val="Heading1"/>
        <w:spacing w:before="600"/>
        <w:pBdr>
          <w:top w:val="single" w:sz="12" w:space="10" w:color="1C8C7D"/>
        </w:pBdr>
      </w:pPr>
      <w:r>
        <w:t>9.  Audit trail</w:t>
      </w:r>
    </w:p>
    <w:p>
      <w:pPr>
        <w:keepNext w:val="0"/>
        <w:spacing w:after="0" w:line="360" w:lineRule="auto"/>
      </w:pPr>
      <w:r>
        <w:rPr>
          <w:rFonts w:ascii="Calibri" w:hAnsi="Calibri" w:cs="Calibri"/>
          <w:b w:val="0"/>
          <w:color w:val="16211F"/>
          <w:sz w:val="22"/>
        </w:rPr>
        <w:t>The Decision record is the audit trail. It is written once, never updated, and scoped to a business. Everything the report shows can be traced to a decision_id, and from there to the evidence versions the decision read.</w:t>
      </w:r>
    </w:p>
    <w:p>
      <w:pPr>
        <w:pStyle w:val="Heading2"/>
      </w:pPr>
      <w:r>
        <w:t>Decision record</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4680"/>
        <w:gridCol w:w="4680"/>
        <w:gridCol w:w="4680"/>
      </w:tblGrid>
      <w:tr>
        <w:trPr>
          <w:tblHeader w:val="true"/>
          <w:cantSplit w:val="true"/>
        </w:trPr>
        <w:tc>
          <w:tcPr>
            <w:tcW w:type="dxa" w:w="2880"/>
            <w:shd w:val="clear" w:color="auto" w:fill="1C3A36"/>
          </w:tcPr>
          <w:p>
            <w:pPr>
              <w:keepNext/>
              <w:spacing w:line="276" w:lineRule="auto" w:after="0"/>
            </w:pPr>
            <w:r>
              <w:rPr>
                <w:rFonts w:ascii="Calibri" w:hAnsi="Calibri" w:cs="Calibri"/>
                <w:b/>
                <w:color w:val="FFFFFF"/>
                <w:sz w:val="19"/>
              </w:rPr>
              <w:t>Field</w:t>
            </w:r>
          </w:p>
        </w:tc>
        <w:tc>
          <w:tcPr>
            <w:tcW w:type="dxa" w:w="2016"/>
            <w:shd w:val="clear" w:color="auto" w:fill="1C3A36"/>
          </w:tcPr>
          <w:p>
            <w:pPr>
              <w:keepNext/>
              <w:spacing w:line="276" w:lineRule="auto" w:after="0"/>
            </w:pPr>
            <w:r>
              <w:rPr>
                <w:rFonts w:ascii="Calibri" w:hAnsi="Calibri" w:cs="Calibri"/>
                <w:b/>
                <w:color w:val="FFFFFF"/>
                <w:sz w:val="19"/>
              </w:rPr>
              <w:t>Type</w:t>
            </w:r>
          </w:p>
        </w:tc>
        <w:tc>
          <w:tcPr>
            <w:tcW w:type="dxa" w:w="9144"/>
            <w:shd w:val="clear" w:color="auto" w:fill="1C3A36"/>
          </w:tcPr>
          <w:p>
            <w:pPr>
              <w:keepNext/>
              <w:spacing w:line="276" w:lineRule="auto" w:after="0"/>
            </w:pPr>
            <w:r>
              <w:rPr>
                <w:rFonts w:ascii="Calibri" w:hAnsi="Calibri" w:cs="Calibri"/>
                <w:b/>
                <w:color w:val="FFFFFF"/>
                <w:sz w:val="19"/>
              </w:rPr>
              <w:t>Content</w:t>
            </w:r>
          </w:p>
        </w:tc>
      </w:tr>
      <w:tr>
        <w:trPr>
          <w:cantSplit w:val="true"/>
        </w:trPr>
        <w:tc>
          <w:tcPr>
            <w:tcW w:type="dxa" w:w="2880"/>
          </w:tcPr>
          <w:p>
            <w:pPr>
              <w:keepNext/>
              <w:spacing w:line="276" w:lineRule="auto" w:after="0"/>
            </w:pPr>
            <w:r>
              <w:rPr>
                <w:rFonts w:ascii="Consolas" w:hAnsi="Consolas" w:cs="Consolas"/>
                <w:b w:val="0"/>
                <w:color w:val="16211F"/>
                <w:sz w:val="19"/>
              </w:rPr>
              <w:t>decision_id</w:t>
            </w:r>
          </w:p>
        </w:tc>
        <w:tc>
          <w:tcPr>
            <w:tcW w:type="dxa" w:w="2016"/>
          </w:tcPr>
          <w:p>
            <w:pPr>
              <w:keepNext/>
              <w:spacing w:line="276" w:lineRule="auto" w:after="0"/>
            </w:pPr>
            <w:r>
              <w:rPr>
                <w:rFonts w:ascii="Calibri" w:hAnsi="Calibri" w:cs="Calibri"/>
                <w:b w:val="0"/>
                <w:color w:val="16211F"/>
                <w:sz w:val="19"/>
              </w:rPr>
              <w:t>UUID</w:t>
            </w:r>
          </w:p>
        </w:tc>
        <w:tc>
          <w:tcPr>
            <w:tcW w:type="dxa" w:w="9144"/>
          </w:tcPr>
          <w:p>
            <w:pPr>
              <w:keepNext/>
              <w:spacing w:line="276" w:lineRule="auto" w:after="0"/>
            </w:pPr>
            <w:r>
              <w:rPr>
                <w:rFonts w:ascii="Calibri" w:hAnsi="Calibri" w:cs="Calibri"/>
                <w:b w:val="0"/>
                <w:color w:val="16211F"/>
                <w:sz w:val="19"/>
              </w:rPr>
              <w:t>Unique, immutable</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business_id</w:t>
            </w:r>
          </w:p>
        </w:tc>
        <w:tc>
          <w:tcPr>
            <w:tcW w:type="dxa" w:w="2016"/>
            <w:shd w:val="clear" w:color="auto" w:fill="F1F3F2"/>
          </w:tcPr>
          <w:p>
            <w:pPr>
              <w:spacing w:line="276" w:lineRule="auto" w:after="0"/>
            </w:pPr>
            <w:r>
              <w:rPr>
                <w:rFonts w:ascii="Calibri" w:hAnsi="Calibri" w:cs="Calibri"/>
                <w:b w:val="0"/>
                <w:color w:val="16211F"/>
                <w:sz w:val="19"/>
              </w:rPr>
              <w:t>UUID</w:t>
            </w:r>
          </w:p>
        </w:tc>
        <w:tc>
          <w:tcPr>
            <w:tcW w:type="dxa" w:w="9144"/>
            <w:shd w:val="clear" w:color="auto" w:fill="F1F3F2"/>
          </w:tcPr>
          <w:p>
            <w:pPr>
              <w:spacing w:line="276" w:lineRule="auto" w:after="0"/>
            </w:pPr>
            <w:r>
              <w:rPr>
                <w:rFonts w:ascii="Calibri" w:hAnsi="Calibri" w:cs="Calibri"/>
                <w:b w:val="0"/>
                <w:color w:val="16211F"/>
                <w:sz w:val="19"/>
              </w:rPr>
              <w:t>Tenant scope; every query on decisions is filtered by it</w:t>
            </w:r>
          </w:p>
        </w:tc>
      </w:tr>
      <w:tr>
        <w:trPr>
          <w:cantSplit w:val="true"/>
        </w:trPr>
        <w:tc>
          <w:tcPr>
            <w:tcW w:type="dxa" w:w="2880"/>
          </w:tcPr>
          <w:p>
            <w:pPr>
              <w:spacing w:line="276" w:lineRule="auto" w:after="0"/>
            </w:pPr>
            <w:r>
              <w:rPr>
                <w:rFonts w:ascii="Consolas" w:hAnsi="Consolas" w:cs="Consolas"/>
                <w:b w:val="0"/>
                <w:color w:val="16211F"/>
                <w:sz w:val="19"/>
              </w:rPr>
              <w:t>decision_type</w:t>
            </w:r>
          </w:p>
        </w:tc>
        <w:tc>
          <w:tcPr>
            <w:tcW w:type="dxa" w:w="2016"/>
          </w:tcPr>
          <w:p>
            <w:pPr>
              <w:spacing w:line="276" w:lineRule="auto" w:after="0"/>
            </w:pPr>
            <w:r>
              <w:rPr>
                <w:rFonts w:ascii="Calibri" w:hAnsi="Calibri" w:cs="Calibri"/>
                <w:b w:val="0"/>
                <w:color w:val="16211F"/>
                <w:sz w:val="19"/>
              </w:rPr>
              <w:t>enum</w:t>
            </w:r>
          </w:p>
        </w:tc>
        <w:tc>
          <w:tcPr>
            <w:tcW w:type="dxa" w:w="9144"/>
          </w:tcPr>
          <w:p>
            <w:pPr>
              <w:spacing w:line="276" w:lineRule="auto" w:after="0"/>
            </w:pPr>
            <w:r>
              <w:rPr>
                <w:rFonts w:ascii="Calibri" w:hAnsi="Calibri" w:cs="Calibri"/>
                <w:b w:val="0"/>
                <w:color w:val="16211F"/>
                <w:sz w:val="19"/>
              </w:rPr>
              <w:t>BOTTLENECK_DIAGNOSIS | RECOMMENDATION_ASSESSMENT</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subject_type, subject_id</w:t>
            </w:r>
          </w:p>
        </w:tc>
        <w:tc>
          <w:tcPr>
            <w:tcW w:type="dxa" w:w="2016"/>
            <w:shd w:val="clear" w:color="auto" w:fill="F1F3F2"/>
          </w:tcPr>
          <w:p>
            <w:pPr>
              <w:spacing w:line="276" w:lineRule="auto" w:after="0"/>
            </w:pPr>
            <w:r>
              <w:rPr>
                <w:rFonts w:ascii="Calibri" w:hAnsi="Calibri" w:cs="Calibri"/>
                <w:b w:val="0"/>
                <w:color w:val="16211F"/>
                <w:sz w:val="19"/>
              </w:rPr>
              <w:t>enum, UUID</w:t>
            </w:r>
          </w:p>
        </w:tc>
        <w:tc>
          <w:tcPr>
            <w:tcW w:type="dxa" w:w="9144"/>
            <w:shd w:val="clear" w:color="auto" w:fill="F1F3F2"/>
          </w:tcPr>
          <w:p>
            <w:pPr>
              <w:spacing w:line="276" w:lineRule="auto" w:after="0"/>
            </w:pPr>
            <w:r>
              <w:rPr>
                <w:rFonts w:ascii="Calibri" w:hAnsi="Calibri" w:cs="Calibri"/>
                <w:b w:val="0"/>
                <w:color w:val="16211F"/>
                <w:sz w:val="19"/>
              </w:rPr>
              <w:t>Business for diagnosis; Bottleneck for assessment</w:t>
            </w:r>
          </w:p>
        </w:tc>
      </w:tr>
      <w:tr>
        <w:trPr>
          <w:cantSplit w:val="true"/>
        </w:trPr>
        <w:tc>
          <w:tcPr>
            <w:tcW w:type="dxa" w:w="2880"/>
          </w:tcPr>
          <w:p>
            <w:pPr>
              <w:spacing w:line="276" w:lineRule="auto" w:after="0"/>
            </w:pPr>
            <w:r>
              <w:rPr>
                <w:rFonts w:ascii="Consolas" w:hAnsi="Consolas" w:cs="Consolas"/>
                <w:b w:val="0"/>
                <w:color w:val="16211F"/>
                <w:sz w:val="19"/>
              </w:rPr>
              <w:t>outcome</w:t>
            </w:r>
          </w:p>
        </w:tc>
        <w:tc>
          <w:tcPr>
            <w:tcW w:type="dxa" w:w="2016"/>
          </w:tcPr>
          <w:p>
            <w:pPr>
              <w:spacing w:line="276" w:lineRule="auto" w:after="0"/>
            </w:pPr>
            <w:r>
              <w:rPr>
                <w:rFonts w:ascii="Calibri" w:hAnsi="Calibri" w:cs="Calibri"/>
                <w:b w:val="0"/>
                <w:color w:val="16211F"/>
                <w:sz w:val="19"/>
              </w:rPr>
              <w:t>enum</w:t>
            </w:r>
          </w:p>
        </w:tc>
        <w:tc>
          <w:tcPr>
            <w:tcW w:type="dxa" w:w="9144"/>
          </w:tcPr>
          <w:p>
            <w:pPr>
              <w:spacing w:line="276" w:lineRule="auto" w:after="0"/>
            </w:pPr>
            <w:r>
              <w:rPr>
                <w:rFonts w:ascii="Calibri" w:hAnsi="Calibri" w:cs="Calibri"/>
                <w:b w:val="0"/>
                <w:color w:val="16211F"/>
                <w:sz w:val="19"/>
              </w:rPr>
              <w:t>IDENTIFIED | CANNOT_DECIDE | ASSESSED | CANNOT_ASSESS</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input_evidence</w:t>
            </w:r>
          </w:p>
        </w:tc>
        <w:tc>
          <w:tcPr>
            <w:tcW w:type="dxa" w:w="2016"/>
            <w:shd w:val="clear" w:color="auto" w:fill="F1F3F2"/>
          </w:tcPr>
          <w:p>
            <w:pPr>
              <w:spacing w:line="276" w:lineRule="auto" w:after="0"/>
            </w:pPr>
            <w:r>
              <w:rPr>
                <w:rFonts w:ascii="Calibri" w:hAnsi="Calibri" w:cs="Calibri"/>
                <w:b w:val="0"/>
                <w:color w:val="16211F"/>
                <w:sz w:val="19"/>
              </w:rPr>
              <w:t>map</w:t>
            </w:r>
          </w:p>
        </w:tc>
        <w:tc>
          <w:tcPr>
            <w:tcW w:type="dxa" w:w="9144"/>
            <w:shd w:val="clear" w:color="auto" w:fill="F1F3F2"/>
          </w:tcPr>
          <w:p>
            <w:pPr>
              <w:spacing w:line="276" w:lineRule="auto" w:after="0"/>
            </w:pPr>
            <w:r>
              <w:rPr>
                <w:rFonts w:ascii="Calibri" w:hAnsi="Calibri" w:cs="Calibri"/>
                <w:b w:val="0"/>
                <w:color w:val="16211F"/>
                <w:sz w:val="19"/>
              </w:rPr>
              <w:t>{evidence_type: version, …} — every type read, including those found absent (version = null)</w:t>
            </w:r>
          </w:p>
        </w:tc>
      </w:tr>
      <w:tr>
        <w:trPr>
          <w:cantSplit w:val="true"/>
        </w:trPr>
        <w:tc>
          <w:tcPr>
            <w:tcW w:type="dxa" w:w="2880"/>
          </w:tcPr>
          <w:p>
            <w:pPr>
              <w:spacing w:line="276" w:lineRule="auto" w:after="0"/>
            </w:pPr>
            <w:r>
              <w:rPr>
                <w:rFonts w:ascii="Consolas" w:hAnsi="Consolas" w:cs="Consolas"/>
                <w:b w:val="0"/>
                <w:color w:val="16211F"/>
                <w:sz w:val="19"/>
              </w:rPr>
              <w:t>input_digest</w:t>
            </w:r>
          </w:p>
        </w:tc>
        <w:tc>
          <w:tcPr>
            <w:tcW w:type="dxa" w:w="2016"/>
          </w:tcPr>
          <w:p>
            <w:pPr>
              <w:spacing w:line="276" w:lineRule="auto" w:after="0"/>
            </w:pPr>
            <w:r>
              <w:rPr>
                <w:rFonts w:ascii="Calibri" w:hAnsi="Calibri" w:cs="Calibri"/>
                <w:b w:val="0"/>
                <w:color w:val="16211F"/>
                <w:sz w:val="19"/>
              </w:rPr>
              <w:t>SHA-256</w:t>
            </w:r>
          </w:p>
        </w:tc>
        <w:tc>
          <w:tcPr>
            <w:tcW w:type="dxa" w:w="9144"/>
          </w:tcPr>
          <w:p>
            <w:pPr>
              <w:spacing w:line="276" w:lineRule="auto" w:after="0"/>
            </w:pPr>
            <w:r>
              <w:rPr>
                <w:rFonts w:ascii="Calibri" w:hAnsi="Calibri" w:cs="Calibri"/>
                <w:b w:val="0"/>
                <w:color w:val="16211F"/>
                <w:sz w:val="19"/>
              </w:rPr>
              <w:t>Hash of the sorted input_evidence map. Same digest ⇒ same inputs ⇒ same outcome (G-02)</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reasoning</w:t>
            </w:r>
          </w:p>
        </w:tc>
        <w:tc>
          <w:tcPr>
            <w:tcW w:type="dxa" w:w="2016"/>
            <w:shd w:val="clear" w:color="auto" w:fill="F1F3F2"/>
          </w:tcPr>
          <w:p>
            <w:pPr>
              <w:spacing w:line="276" w:lineRule="auto" w:after="0"/>
            </w:pPr>
            <w:r>
              <w:rPr>
                <w:rFonts w:ascii="Calibri" w:hAnsi="Calibri" w:cs="Calibri"/>
                <w:b w:val="0"/>
                <w:color w:val="16211F"/>
                <w:sz w:val="19"/>
              </w:rPr>
              <w:t>JSON</w:t>
            </w:r>
          </w:p>
        </w:tc>
        <w:tc>
          <w:tcPr>
            <w:tcW w:type="dxa" w:w="9144"/>
            <w:shd w:val="clear" w:color="auto" w:fill="F1F3F2"/>
          </w:tcPr>
          <w:p>
            <w:pPr>
              <w:spacing w:line="276" w:lineRule="auto" w:after="0"/>
            </w:pPr>
            <w:r>
              <w:rPr>
                <w:rFonts w:ascii="Calibri" w:hAnsi="Calibri" w:cs="Calibri"/>
                <w:b w:val="0"/>
                <w:color w:val="16211F"/>
                <w:sz w:val="19"/>
              </w:rPr>
              <w:t>{detector_scores: {category: severity}, thresholds: {…}, root_cause_analysis: narrative + evidence_ids, roi_model: {…} for assessment}</w:t>
            </w:r>
          </w:p>
        </w:tc>
      </w:tr>
      <w:tr>
        <w:trPr>
          <w:cantSplit w:val="true"/>
        </w:trPr>
        <w:tc>
          <w:tcPr>
            <w:tcW w:type="dxa" w:w="2880"/>
          </w:tcPr>
          <w:p>
            <w:pPr>
              <w:spacing w:line="276" w:lineRule="auto" w:after="0"/>
            </w:pPr>
            <w:r>
              <w:rPr>
                <w:rFonts w:ascii="Consolas" w:hAnsi="Consolas" w:cs="Consolas"/>
                <w:b w:val="0"/>
                <w:color w:val="16211F"/>
                <w:sz w:val="19"/>
              </w:rPr>
              <w:t>confidence_score</w:t>
            </w:r>
          </w:p>
        </w:tc>
        <w:tc>
          <w:tcPr>
            <w:tcW w:type="dxa" w:w="2016"/>
          </w:tcPr>
          <w:p>
            <w:pPr>
              <w:spacing w:line="276" w:lineRule="auto" w:after="0"/>
            </w:pPr>
            <w:r>
              <w:rPr>
                <w:rFonts w:ascii="Calibri" w:hAnsi="Calibri" w:cs="Calibri"/>
                <w:b w:val="0"/>
                <w:color w:val="16211F"/>
                <w:sz w:val="19"/>
              </w:rPr>
              <w:t>decimal 0.0–1.0</w:t>
            </w:r>
          </w:p>
        </w:tc>
        <w:tc>
          <w:tcPr>
            <w:tcW w:type="dxa" w:w="9144"/>
          </w:tcPr>
          <w:p>
            <w:pPr>
              <w:spacing w:line="276" w:lineRule="auto" w:after="0"/>
            </w:pPr>
            <w:r>
              <w:rPr>
                <w:rFonts w:ascii="Calibri" w:hAnsi="Calibri" w:cs="Calibri"/>
                <w:b w:val="0"/>
                <w:color w:val="16211F"/>
                <w:sz w:val="19"/>
              </w:rPr>
              <w:t>As defined in §6; &lt; 0.7 flagged (G-06)</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missing_evidence</w:t>
            </w:r>
          </w:p>
        </w:tc>
        <w:tc>
          <w:tcPr>
            <w:tcW w:type="dxa" w:w="2016"/>
            <w:shd w:val="clear" w:color="auto" w:fill="F1F3F2"/>
          </w:tcPr>
          <w:p>
            <w:pPr>
              <w:spacing w:line="276" w:lineRule="auto" w:after="0"/>
            </w:pPr>
            <w:r>
              <w:rPr>
                <w:rFonts w:ascii="Calibri" w:hAnsi="Calibri" w:cs="Calibri"/>
                <w:b w:val="0"/>
                <w:color w:val="16211F"/>
                <w:sz w:val="19"/>
              </w:rPr>
              <w:t>list</w:t>
            </w:r>
          </w:p>
        </w:tc>
        <w:tc>
          <w:tcPr>
            <w:tcW w:type="dxa" w:w="9144"/>
            <w:shd w:val="clear" w:color="auto" w:fill="F1F3F2"/>
          </w:tcPr>
          <w:p>
            <w:pPr>
              <w:spacing w:line="276" w:lineRule="auto" w:after="0"/>
            </w:pPr>
            <w:r>
              <w:rPr>
                <w:rFonts w:ascii="Calibri" w:hAnsi="Calibri" w:cs="Calibri"/>
                <w:b w:val="0"/>
                <w:color w:val="16211F"/>
                <w:sz w:val="19"/>
              </w:rPr>
              <w:t>Evidence types that would have raised confidence or unlocked a detector</w:t>
            </w:r>
          </w:p>
        </w:tc>
      </w:tr>
      <w:tr>
        <w:trPr>
          <w:cantSplit w:val="true"/>
        </w:trPr>
        <w:tc>
          <w:tcPr>
            <w:tcW w:type="dxa" w:w="2880"/>
          </w:tcPr>
          <w:p>
            <w:pPr>
              <w:keepNext/>
              <w:spacing w:line="276" w:lineRule="auto" w:after="0"/>
            </w:pPr>
            <w:r>
              <w:rPr>
                <w:rFonts w:ascii="Consolas" w:hAnsi="Consolas" w:cs="Consolas"/>
                <w:b w:val="0"/>
                <w:color w:val="16211F"/>
                <w:sz w:val="19"/>
              </w:rPr>
              <w:t>ontology_version</w:t>
            </w:r>
          </w:p>
        </w:tc>
        <w:tc>
          <w:tcPr>
            <w:tcW w:type="dxa" w:w="2016"/>
          </w:tcPr>
          <w:p>
            <w:pPr>
              <w:keepNext/>
              <w:spacing w:line="276" w:lineRule="auto" w:after="0"/>
            </w:pPr>
            <w:r>
              <w:rPr>
                <w:rFonts w:ascii="Calibri" w:hAnsi="Calibri" w:cs="Calibri"/>
                <w:b w:val="0"/>
                <w:color w:val="16211F"/>
                <w:sz w:val="19"/>
              </w:rPr>
              <w:t>string</w:t>
            </w:r>
          </w:p>
        </w:tc>
        <w:tc>
          <w:tcPr>
            <w:tcW w:type="dxa" w:w="9144"/>
          </w:tcPr>
          <w:p>
            <w:pPr>
              <w:keepNext/>
              <w:spacing w:line="276" w:lineRule="auto" w:after="0"/>
            </w:pPr>
            <w:r>
              <w:rPr>
                <w:rFonts w:ascii="Calibri" w:hAnsi="Calibri" w:cs="Calibri"/>
                <w:b w:val="0"/>
                <w:color w:val="16211F"/>
                <w:sz w:val="19"/>
              </w:rPr>
              <w:t>This document's version (0.1). Detector definitions are tied to it</w:t>
            </w:r>
          </w:p>
        </w:tc>
      </w:tr>
      <w:tr>
        <w:trPr>
          <w:cantSplit w:val="true"/>
        </w:trPr>
        <w:tc>
          <w:tcPr>
            <w:tcW w:type="dxa" w:w="2880"/>
            <w:shd w:val="clear" w:color="auto" w:fill="F1F3F2"/>
          </w:tcPr>
          <w:p>
            <w:pPr>
              <w:spacing w:line="276" w:lineRule="auto" w:after="0"/>
            </w:pPr>
            <w:r>
              <w:rPr>
                <w:rFonts w:ascii="Consolas" w:hAnsi="Consolas" w:cs="Consolas"/>
                <w:b w:val="0"/>
                <w:color w:val="16211F"/>
                <w:sz w:val="19"/>
              </w:rPr>
              <w:t>concluded_at</w:t>
            </w:r>
          </w:p>
        </w:tc>
        <w:tc>
          <w:tcPr>
            <w:tcW w:type="dxa" w:w="2016"/>
            <w:shd w:val="clear" w:color="auto" w:fill="F1F3F2"/>
          </w:tcPr>
          <w:p>
            <w:pPr>
              <w:spacing w:line="276" w:lineRule="auto" w:after="0"/>
            </w:pPr>
            <w:r>
              <w:rPr>
                <w:rFonts w:ascii="Calibri" w:hAnsi="Calibri" w:cs="Calibri"/>
                <w:b w:val="0"/>
                <w:color w:val="16211F"/>
                <w:sz w:val="19"/>
              </w:rPr>
              <w:t>timestamp</w:t>
            </w:r>
          </w:p>
        </w:tc>
        <w:tc>
          <w:tcPr>
            <w:tcW w:type="dxa" w:w="9144"/>
            <w:shd w:val="clear" w:color="auto" w:fill="F1F3F2"/>
          </w:tcPr>
          <w:p>
            <w:pPr>
              <w:spacing w:line="276" w:lineRule="auto" w:after="0"/>
            </w:pPr>
            <w:r>
              <w:rPr>
                <w:rFonts w:ascii="Calibri" w:hAnsi="Calibri" w:cs="Calibri"/>
                <w:b w:val="0"/>
                <w:color w:val="16211F"/>
                <w:sz w:val="19"/>
              </w:rPr>
              <w:t>When the decision was written. Evidence asserted after this time was not read</w:t>
            </w:r>
          </w:p>
        </w:tc>
      </w:tr>
    </w:tbl>
    <w:p>
      <w:pPr>
        <w:spacing w:after="40"/>
      </w:pPr>
    </w:p>
    <w:p>
      <w:pPr>
        <w:pStyle w:val="Heading2"/>
      </w:pPr>
      <w:r>
        <w:t>Replay and comparison</w:t>
      </w:r>
    </w:p>
    <w:p>
      <w:pPr>
        <w:keepNext/>
        <w:spacing w:after="0" w:line="360" w:lineRule="auto"/>
      </w:pPr>
      <w:r>
        <w:rPr>
          <w:rFonts w:ascii="Calibri" w:hAnsi="Calibri" w:cs="Calibri"/>
          <w:b w:val="0"/>
          <w:color w:val="16211F"/>
          <w:sz w:val="22"/>
        </w:rPr>
        <w:t>Run the same decision a year later with new evidence and three questions can be answered from the two records alone:</w:t>
      </w:r>
    </w:p>
    <w:tbl>
      <w:tblPr>
        <w:tblW w:type="auto" w:w="0"/>
        <w:jc w:val="center"/>
        <w:tblLayout w:type="fixed"/>
        <w:tblLook w:firstColumn="1" w:firstRow="1" w:lastColumn="0" w:lastRow="0" w:noHBand="0" w:noVBand="1" w:val="04A0"/>
        <w:tblBorders>
          <w:top w:val="single" w:sz="4" w:color="C9D2CF"/>
          <w:left w:val="single" w:sz="4" w:color="C9D2CF"/>
          <w:bottom w:val="single" w:sz="4" w:color="C9D2CF"/>
          <w:right w:val="single" w:sz="4" w:color="C9D2CF"/>
          <w:insideH w:val="single" w:sz="4" w:color="C9D2CF"/>
          <w:insideV w:val="single" w:sz="4" w:color="C9D2CF"/>
        </w:tblBorders>
        <w:tblCellMar>
          <w:top w:w="60" w:type="dxa"/>
          <w:left w:w="100" w:type="dxa"/>
          <w:bottom w:w="60" w:type="dxa"/>
          <w:right w:w="100" w:type="dxa"/>
        </w:tblCellMar>
      </w:tblPr>
      <w:tblGrid>
        <w:gridCol w:w="7020"/>
        <w:gridCol w:w="7020"/>
      </w:tblGrid>
      <w:tr>
        <w:trPr>
          <w:tblHeader w:val="true"/>
          <w:cantSplit w:val="true"/>
        </w:trPr>
        <w:tc>
          <w:tcPr>
            <w:tcW w:type="dxa" w:w="4032"/>
            <w:shd w:val="clear" w:color="auto" w:fill="1C3A36"/>
          </w:tcPr>
          <w:p>
            <w:pPr>
              <w:keepNext/>
              <w:spacing w:line="276" w:lineRule="auto" w:after="0"/>
            </w:pPr>
            <w:r>
              <w:rPr>
                <w:rFonts w:ascii="Calibri" w:hAnsi="Calibri" w:cs="Calibri"/>
                <w:b/>
                <w:color w:val="FFFFFF"/>
                <w:sz w:val="19"/>
              </w:rPr>
              <w:t>Question</w:t>
            </w:r>
          </w:p>
        </w:tc>
        <w:tc>
          <w:tcPr>
            <w:tcW w:type="dxa" w:w="10008"/>
            <w:shd w:val="clear" w:color="auto" w:fill="1C3A36"/>
          </w:tcPr>
          <w:p>
            <w:pPr>
              <w:keepNext/>
              <w:spacing w:line="276" w:lineRule="auto" w:after="0"/>
            </w:pPr>
            <w:r>
              <w:rPr>
                <w:rFonts w:ascii="Calibri" w:hAnsi="Calibri" w:cs="Calibri"/>
                <w:b/>
                <w:color w:val="FFFFFF"/>
                <w:sz w:val="19"/>
              </w:rPr>
              <w:t>How it is answered</w:t>
            </w:r>
          </w:p>
        </w:tc>
      </w:tr>
      <w:tr>
        <w:trPr>
          <w:cantSplit w:val="true"/>
        </w:trPr>
        <w:tc>
          <w:tcPr>
            <w:tcW w:type="dxa" w:w="4032"/>
          </w:tcPr>
          <w:p>
            <w:pPr>
              <w:keepNext/>
              <w:spacing w:line="276" w:lineRule="auto" w:after="0"/>
            </w:pPr>
            <w:r>
              <w:rPr>
                <w:rFonts w:ascii="Calibri" w:hAnsi="Calibri" w:cs="Calibri"/>
                <w:b w:val="0"/>
                <w:color w:val="16211F"/>
                <w:sz w:val="19"/>
              </w:rPr>
              <w:t>Did the bottleneck change?</w:t>
            </w:r>
          </w:p>
        </w:tc>
        <w:tc>
          <w:tcPr>
            <w:tcW w:type="dxa" w:w="10008"/>
          </w:tcPr>
          <w:p>
            <w:pPr>
              <w:keepNext/>
              <w:spacing w:line="276" w:lineRule="auto" w:after="0"/>
            </w:pPr>
            <w:r>
              <w:rPr>
                <w:rFonts w:ascii="Calibri" w:hAnsi="Calibri" w:cs="Calibri"/>
                <w:b w:val="0"/>
                <w:color w:val="16211F"/>
                <w:sz w:val="19"/>
              </w:rPr>
              <w:t xml:space="preserve">Compare </w:t>
            </w:r>
            <w:r>
              <w:rPr>
                <w:rFonts w:ascii="Consolas" w:hAnsi="Consolas" w:cs="Consolas"/>
                <w:b w:val="0"/>
                <w:color w:val="16211F"/>
                <w:sz w:val="19"/>
              </w:rPr>
              <w:t>outcome</w:t>
            </w:r>
            <w:r>
              <w:rPr>
                <w:rFonts w:ascii="Calibri" w:hAnsi="Calibri" w:cs="Calibri"/>
                <w:b w:val="0"/>
                <w:color w:val="16211F"/>
                <w:sz w:val="19"/>
              </w:rPr>
              <w:t xml:space="preserve"> and </w:t>
            </w:r>
            <w:r>
              <w:rPr>
                <w:rFonts w:ascii="Consolas" w:hAnsi="Consolas" w:cs="Consolas"/>
                <w:b w:val="0"/>
                <w:color w:val="16211F"/>
                <w:sz w:val="19"/>
              </w:rPr>
              <w:t>reasoning.detector_scores</w:t>
            </w:r>
            <w:r>
              <w:rPr>
                <w:rFonts w:ascii="Calibri" w:hAnsi="Calibri" w:cs="Calibri"/>
                <w:b w:val="0"/>
                <w:color w:val="16211F"/>
                <w:sz w:val="19"/>
              </w:rPr>
              <w:t xml:space="preserve"> across the two decision_ids. The category ranking shows whether the constraint moved or the same one persisted</w:t>
            </w:r>
          </w:p>
        </w:tc>
      </w:tr>
      <w:tr>
        <w:trPr>
          <w:cantSplit w:val="true"/>
        </w:trPr>
        <w:tc>
          <w:tcPr>
            <w:tcW w:type="dxa" w:w="4032"/>
            <w:shd w:val="clear" w:color="auto" w:fill="F1F3F2"/>
          </w:tcPr>
          <w:p>
            <w:pPr>
              <w:keepNext/>
              <w:spacing w:line="276" w:lineRule="auto" w:after="0"/>
            </w:pPr>
            <w:r>
              <w:rPr>
                <w:rFonts w:ascii="Calibri" w:hAnsi="Calibri" w:cs="Calibri"/>
                <w:b w:val="0"/>
                <w:color w:val="16211F"/>
                <w:sz w:val="19"/>
              </w:rPr>
              <w:t>Why? What evidence changed?</w:t>
            </w:r>
          </w:p>
        </w:tc>
        <w:tc>
          <w:tcPr>
            <w:tcW w:type="dxa" w:w="10008"/>
            <w:shd w:val="clear" w:color="auto" w:fill="F1F3F2"/>
          </w:tcPr>
          <w:p>
            <w:pPr>
              <w:keepNext/>
              <w:spacing w:line="276" w:lineRule="auto" w:after="0"/>
            </w:pPr>
            <w:r>
              <w:rPr>
                <w:rFonts w:ascii="Calibri" w:hAnsi="Calibri" w:cs="Calibri"/>
                <w:b w:val="0"/>
                <w:color w:val="16211F"/>
                <w:sz w:val="19"/>
              </w:rPr>
              <w:t xml:space="preserve">Diff the two </w:t>
            </w:r>
            <w:r>
              <w:rPr>
                <w:rFonts w:ascii="Consolas" w:hAnsi="Consolas" w:cs="Consolas"/>
                <w:b w:val="0"/>
                <w:color w:val="16211F"/>
                <w:sz w:val="19"/>
              </w:rPr>
              <w:t>input_evidence</w:t>
            </w:r>
            <w:r>
              <w:rPr>
                <w:rFonts w:ascii="Calibri" w:hAnsi="Calibri" w:cs="Calibri"/>
                <w:b w:val="0"/>
                <w:color w:val="16211F"/>
                <w:sz w:val="19"/>
              </w:rPr>
              <w:t xml:space="preserve"> maps. Every version that differs points to an evidence row whose value, source and period are stored</w:t>
            </w:r>
          </w:p>
        </w:tc>
      </w:tr>
      <w:tr>
        <w:trPr>
          <w:cantSplit w:val="true"/>
        </w:trPr>
        <w:tc>
          <w:tcPr>
            <w:tcW w:type="dxa" w:w="4032"/>
          </w:tcPr>
          <w:p>
            <w:pPr>
              <w:spacing w:line="276" w:lineRule="auto" w:after="0"/>
            </w:pPr>
            <w:r>
              <w:rPr>
                <w:rFonts w:ascii="Calibri" w:hAnsi="Calibri" w:cs="Calibri"/>
                <w:b w:val="0"/>
                <w:color w:val="16211F"/>
                <w:sz w:val="19"/>
              </w:rPr>
              <w:t>Does the old evidence still reproduce the old decision?</w:t>
            </w:r>
          </w:p>
        </w:tc>
        <w:tc>
          <w:tcPr>
            <w:tcW w:type="dxa" w:w="10008"/>
          </w:tcPr>
          <w:p>
            <w:pPr>
              <w:spacing w:line="276" w:lineRule="auto" w:after="0"/>
            </w:pPr>
            <w:r>
              <w:rPr>
                <w:rFonts w:ascii="Calibri" w:hAnsi="Calibri" w:cs="Calibri"/>
                <w:b w:val="0"/>
                <w:color w:val="16211F"/>
                <w:sz w:val="19"/>
              </w:rPr>
              <w:t xml:space="preserve">Re-run the detector at </w:t>
            </w:r>
            <w:r>
              <w:rPr>
                <w:rFonts w:ascii="Consolas" w:hAnsi="Consolas" w:cs="Consolas"/>
                <w:b w:val="0"/>
                <w:color w:val="16211F"/>
                <w:sz w:val="19"/>
              </w:rPr>
              <w:t>ontology_version</w:t>
            </w:r>
            <w:r>
              <w:rPr>
                <w:rFonts w:ascii="Calibri" w:hAnsi="Calibri" w:cs="Calibri"/>
                <w:b w:val="0"/>
                <w:color w:val="16211F"/>
                <w:sz w:val="19"/>
              </w:rPr>
              <w:t xml:space="preserve"> 0.1 against the evidence versions in the old </w:t>
            </w:r>
            <w:r>
              <w:rPr>
                <w:rFonts w:ascii="Consolas" w:hAnsi="Consolas" w:cs="Consolas"/>
                <w:b w:val="0"/>
                <w:color w:val="16211F"/>
                <w:sz w:val="19"/>
              </w:rPr>
              <w:t>input_evidence</w:t>
            </w:r>
            <w:r>
              <w:rPr>
                <w:rFonts w:ascii="Calibri" w:hAnsi="Calibri" w:cs="Calibri"/>
                <w:b w:val="0"/>
                <w:color w:val="16211F"/>
                <w:sz w:val="19"/>
              </w:rPr>
              <w:t xml:space="preserve">. The </w:t>
            </w:r>
            <w:r>
              <w:rPr>
                <w:rFonts w:ascii="Consolas" w:hAnsi="Consolas" w:cs="Consolas"/>
                <w:b w:val="0"/>
                <w:color w:val="16211F"/>
                <w:sz w:val="19"/>
              </w:rPr>
              <w:t>input_digest</w:t>
            </w:r>
            <w:r>
              <w:rPr>
                <w:rFonts w:ascii="Calibri" w:hAnsi="Calibri" w:cs="Calibri"/>
                <w:b w:val="0"/>
                <w:color w:val="16211F"/>
                <w:sz w:val="19"/>
              </w:rPr>
              <w:t xml:space="preserve"> must match and the </w:t>
            </w:r>
            <w:r>
              <w:rPr>
                <w:rFonts w:ascii="Consolas" w:hAnsi="Consolas" w:cs="Consolas"/>
                <w:b w:val="0"/>
                <w:color w:val="16211F"/>
                <w:sz w:val="19"/>
              </w:rPr>
              <w:t>outcome</w:t>
            </w:r>
            <w:r>
              <w:rPr>
                <w:rFonts w:ascii="Calibri" w:hAnsi="Calibri" w:cs="Calibri"/>
                <w:b w:val="0"/>
                <w:color w:val="16211F"/>
                <w:sz w:val="19"/>
              </w:rPr>
              <w:t xml:space="preserve"> must match (G-02, G-03). If not, the engine — not the data — changed, and that is a defect</w:t>
            </w:r>
          </w:p>
        </w:tc>
      </w:tr>
    </w:tbl>
    <w:p>
      <w:pPr>
        <w:spacing w:after="40"/>
      </w:pPr>
    </w:p>
    <w:tbl>
      <w:tblPr>
        <w:tblW w:type="auto" w:w="0"/>
        <w:jc w:val="center"/>
        <w:tblLayout w:type="fixed"/>
        <w:tblLook w:firstColumn="1" w:firstRow="1" w:lastColumn="0" w:lastRow="0" w:noHBand="0" w:noVBand="1" w:val="04A0"/>
        <w:tblBorders>
          <w:top w:val="single" w:sz="2" w:color="F4E2DD"/>
          <w:left w:val="single" w:sz="18" w:color="B03A22"/>
          <w:bottom w:val="single" w:sz="2" w:color="F4E2DD"/>
          <w:right w:val="single" w:sz="2" w:color="F4E2DD"/>
          <w:insideH w:val="single" w:sz="2" w:color="F4E2DD"/>
          <w:insideV w:val="single" w:sz="2" w:color="F4E2DD"/>
        </w:tblBorders>
        <w:tblCellMar>
          <w:top w:w="120" w:type="dxa"/>
          <w:left w:w="180" w:type="dxa"/>
          <w:bottom w:w="120" w:type="dxa"/>
          <w:right w:w="180" w:type="dxa"/>
        </w:tblCellMar>
      </w:tblPr>
      <w:tblGrid>
        <w:gridCol w:w="14040"/>
      </w:tblGrid>
      <w:tr>
        <w:trPr>
          <w:cantSplit w:val="true"/>
        </w:trPr>
        <w:tc>
          <w:tcPr>
            <w:tcW w:type="dxa" w:w="14040"/>
            <w:shd w:val="clear" w:color="auto" w:fill="F4E2DD"/>
          </w:tcPr>
          <w:p>
            <w:pPr>
              <w:spacing w:line="276" w:lineRule="auto" w:after="80"/>
            </w:pPr>
            <w:r>
              <w:rPr>
                <w:rFonts w:ascii="Calibri" w:hAnsi="Calibri" w:cs="Calibri"/>
                <w:b/>
                <w:color w:val="B03A22"/>
                <w:sz w:val="20"/>
              </w:rPr>
              <w:t>WHY THIS IS THE TRUST MODEL</w:t>
            </w:r>
          </w:p>
          <w:p>
            <w:pPr>
              <w:spacing w:line="276" w:lineRule="auto" w:after="60"/>
            </w:pPr>
            <w:r>
              <w:rPr>
                <w:rFonts w:ascii="Calibri" w:hAnsi="Calibri" w:cs="Calibri"/>
                <w:b w:val="0"/>
                <w:color w:val="16211F"/>
                <w:sz w:val="20"/>
              </w:rPr>
              <w:t>A consultant does not trust a platform because its dashboard is pretty. They trust it because when they ask "why did you say retention was the problem?" the answer is a decision record listing the seven evidence rows it read, the benchmark it compared against, the score each detector produced, and the threshold it crossed — and because re-running it produces the same answer. Every field in §9 exists so that question can be answered without a human in the loop.</w:t>
            </w:r>
          </w:p>
        </w:tc>
      </w:tr>
    </w:tbl>
    <w:p>
      <w:pPr>
        <w:spacing w:after="40"/>
      </w:pPr>
    </w:p>
    <w:p>
      <w:pPr>
        <w:spacing w:before="360" w:line="276" w:lineRule="auto" w:after="0"/>
      </w:pPr>
      <w:r>
        <w:rPr>
          <w:rFonts w:ascii="Calibri" w:hAnsi="Calibri" w:cs="Calibri"/>
          <w:b w:val="0"/>
          <w:color w:val="5E6B68"/>
          <w:sz w:val="19"/>
        </w:rPr>
        <w:t>Accord Retail Ontology v0.1 · aligned to PRD.md v1.0 and CONTEXT.md (12 September 2026). Next: ARCHITECTURE.md derives the Phase 1 schema, connector interface and detector specifications from §2–§6.</w:t>
      </w:r>
    </w:p>
    <w:sectPr w:rsidR="00FC693F" w:rsidRPr="0006063C" w:rsidSect="00034616">
      <w:footerReference w:type="default" r:id="rId9"/>
      <w:pgSz w:w="15840" w:h="12240" w:orient="landscape"/>
      <w:pgMar w:top="900" w:right="90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040" w:val="right"/>
      </w:tabs>
      <w:jc w:val="left"/>
    </w:pPr>
    <w:r>
      <w:rPr>
        <w:rFonts w:ascii="Calibri" w:hAnsi="Calibri"/>
        <w:color w:val="5E6B68"/>
        <w:sz w:val="18"/>
      </w:rPr>
      <w:t>Accord Retail Ontology v0.1 | September 2026</w:t>
    </w:r>
    <w:r>
      <w:rPr>
        <w:color w:val="5E6B68"/>
        <w:sz w:val="18"/>
      </w:rPr>
      <w:tab/>
      <w:t xml:space="preserve">Page </w:t>
    </w:r>
    <w:r>
      <w:rPr>
        <w:color w:val="5E6B68"/>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cs="Calibri" w:eastAsia="Calibri"/>
      <w:color w:val="1621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cs="Calibri" w:eastAsia="Calibri"/>
      <w:b/>
      <w:bCs/>
      <w:color w:val="1C3A36"/>
      <w:sz w:val="40"/>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cs="Calibri" w:eastAsia="Calibri"/>
      <w:b/>
      <w:bCs/>
      <w:color w:val="1C3A36"/>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eastAsia="Calibri"/>
      <w:b/>
      <w:bCs/>
      <w:color w:val="1C8C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Calibri" w:hAnsi="Calibri" w:cs="Calibri" w:eastAsia="Calibri"/>
      <w:color w:val="16211F"/>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