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ata Flow Diagram " w:id="1"/>
      <w:bookmarkEnd w:id="1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02 October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pStyle w:val="Heading2"/>
      </w:pPr>
      <w:r>
        <w:rPr/>
        <w:t>Data Flow </w:t>
      </w:r>
      <w:r>
        <w:rPr>
          <w:spacing w:val="-2"/>
        </w:rPr>
        <w:t>Diagram</w:t>
      </w:r>
    </w:p>
    <w:p>
      <w:pPr>
        <w:pStyle w:val="BodyText"/>
        <w:spacing w:line="276" w:lineRule="auto" w:before="242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(DFD)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between external entities, processes, and data stores. Use the symbol legend below as a guide.</w:t>
      </w:r>
    </w:p>
    <w:p>
      <w:pPr>
        <w:pStyle w:val="Heading2"/>
        <w:spacing w:before="200"/>
      </w:pPr>
      <w:bookmarkStart w:name="DFD Symbol Legend " w:id="2"/>
      <w:bookmarkEnd w:id="2"/>
      <w:r>
        <w:rPr>
          <w:b w:val="0"/>
        </w:rPr>
      </w:r>
      <w:r>
        <w:rPr/>
        <w:t>DFD Symbol </w:t>
      </w:r>
      <w:r>
        <w:rPr>
          <w:spacing w:val="-2"/>
        </w:rPr>
        <w:t>Legend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>
        <w:trPr>
          <w:trHeight w:val="479" w:hRule="atLeast"/>
        </w:trPr>
        <w:tc>
          <w:tcPr>
            <w:tcW w:w="2480" w:type="dxa"/>
            <w:shd w:val="clear" w:color="auto" w:fill="D5E7F0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0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71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71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099" w:hRule="atLeast"/>
        </w:trPr>
        <w:tc>
          <w:tcPr>
            <w:tcW w:w="2480" w:type="dxa"/>
          </w:tcPr>
          <w:p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>Rectangle </w:t>
            </w:r>
            <w:r>
              <w:rPr>
                <w:b/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88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9" w:hRule="atLeast"/>
        </w:trPr>
        <w:tc>
          <w:tcPr>
            <w:tcW w:w="2480" w:type="dxa"/>
          </w:tcPr>
          <w:p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0" w:hRule="atLeast"/>
        </w:trPr>
        <w:tc>
          <w:tcPr>
            <w:tcW w:w="248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what 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Heading2"/>
        <w:spacing w:before="1"/>
      </w:pPr>
      <w:bookmarkStart w:name="Example " w:id="3"/>
      <w:bookmarkEnd w:id="3"/>
      <w:r>
        <w:rPr>
          <w:b w:val="0"/>
        </w:rPr>
        <w:t xml:space="preserve">PocketSmart AI Data Flow Diagram (Level 1)</w:t>
      </w:r>
    </w:p>
    <w:p>
      <w:pPr>
        <w:pStyle w:val="BodyText"/>
        <w:spacing w:line="276" w:lineRule="auto" w:before="141"/>
        <w:ind w:right="414"/>
      </w:pPr>
      <w:r>
        <w:rPr/>
        <w:t xml:space="preserve">The diagram below shows how data moves through PocketSmart AI: the user sends requests to five online processes, which read transactions and the trained model from the data stores; the Gemini layer only phrases model output, and an offline process trains and evaluates the models.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0" w:footer="0" w:top="1820" w:bottom="280" w:left="1440" w:right="1440"/>
          <w:pgNumType w:start="1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drawing>
          <wp:inline>
            <wp:extent cx="5852160" cy="4018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1826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header="0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terms:created xsi:type="dcterms:W3CDTF">2026-09-30T04:45:38Z</dcterms:created>
  <dcterms:modified xsi:type="dcterms:W3CDTF">2026-09-30T04:45:38Z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