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ind w:right="357"/>
        <w:jc w:val="center"/>
      </w:pPr>
      <w:bookmarkStart w:name="Solution Architecture " w:id="1"/>
      <w:bookmarkEnd w:id="1"/>
      <w:r>
        <w:rPr>
          <w:b w:val="0"/>
        </w:rPr>
      </w:r>
      <w:r>
        <w:rPr/>
        <w:t>Solution</w:t>
      </w:r>
      <w:r>
        <w:rPr>
          <w:spacing w:val="-8"/>
        </w:rPr>
        <w:t> </w:t>
      </w:r>
      <w:r>
        <w:rPr>
          <w:spacing w:val="-2"/>
        </w:rPr>
        <w:t>Architecture</w:t>
      </w: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118" w:after="0"/>
        <w:rPr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40"/>
        <w:gridCol w:w="6120"/>
      </w:tblGrid>
      <w:tr>
        <w:trPr>
          <w:trHeight w:val="480" w:hRule="atLeast"/>
        </w:trPr>
        <w:tc>
          <w:tcPr>
            <w:tcW w:w="3240" w:type="dxa"/>
          </w:tcPr>
          <w:p>
            <w:pPr>
              <w:pStyle w:val="TableParagraph"/>
              <w:spacing w:before="103"/>
              <w:ind w:left="12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>Date</w:t>
            </w:r>
          </w:p>
        </w:tc>
        <w:tc>
          <w:tcPr>
            <w:tcW w:w="6120" w:type="dxa"/>
          </w:tcPr>
          <w:p>
            <w:pPr>
              <w:pStyle w:val="TableParagraph"/>
              <w:spacing w:before="103"/>
              <w:ind w:left="125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 xml:space="preserve">02 October 2026</w:t>
            </w:r>
          </w:p>
        </w:tc>
      </w:tr>
      <w:tr>
        <w:trPr>
          <w:trHeight w:val="459" w:hRule="atLeast"/>
        </w:trPr>
        <w:tc>
          <w:tcPr>
            <w:tcW w:w="3240" w:type="dxa"/>
          </w:tcPr>
          <w:p>
            <w:pPr>
              <w:pStyle w:val="TableParagraph"/>
              <w:spacing w:before="80"/>
              <w:ind w:left="12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>Team</w:t>
            </w:r>
            <w:r>
              <w:rPr>
                <w:rFonts w:ascii="Times New Roman"/>
                <w:b/>
                <w:spacing w:val="-7"/>
                <w:sz w:val="24"/>
              </w:rPr>
              <w:t> </w:t>
            </w:r>
            <w:r>
              <w:rPr>
                <w:rFonts w:ascii="Times New Roman"/>
                <w:b/>
                <w:spacing w:val="-5"/>
                <w:sz w:val="24"/>
              </w:rPr>
              <w:t>ID</w:t>
            </w:r>
          </w:p>
        </w:tc>
        <w:tc>
          <w:tcPr>
            <w:tcW w:w="6120" w:type="dxa"/>
          </w:tcPr>
          <w:p>
            <w:pPr>
              <w:pStyle w:val="TableParagraph"/>
              <w:spacing w:before="80"/>
              <w:ind w:left="12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 xml:space="preserve">SWTID-2026-6594</w:t>
            </w:r>
          </w:p>
        </w:tc>
      </w:tr>
      <w:tr>
        <w:trPr>
          <w:trHeight w:val="460" w:hRule="atLeast"/>
        </w:trPr>
        <w:tc>
          <w:tcPr>
            <w:tcW w:w="3240" w:type="dxa"/>
          </w:tcPr>
          <w:p>
            <w:pPr>
              <w:pStyle w:val="TableParagraph"/>
              <w:spacing w:before="82"/>
              <w:ind w:left="12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Project</w:t>
            </w:r>
            <w:r>
              <w:rPr>
                <w:rFonts w:ascii="Times New Roman"/>
                <w:b/>
                <w:spacing w:val="-5"/>
                <w:sz w:val="24"/>
              </w:rPr>
              <w:t> </w:t>
            </w:r>
            <w:r>
              <w:rPr>
                <w:rFonts w:ascii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6120" w:type="dxa"/>
          </w:tcPr>
          <w:p>
            <w:pPr>
              <w:pStyle w:val="TableParagraph"/>
              <w:spacing w:before="82"/>
              <w:ind w:left="125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 xml:space="preserve">PocketSmart AI</w:t>
            </w:r>
          </w:p>
        </w:tc>
      </w:tr>
      <w:tr>
        <w:trPr>
          <w:trHeight w:val="460" w:hRule="atLeast"/>
        </w:trPr>
        <w:tc>
          <w:tcPr>
            <w:tcW w:w="3240" w:type="dxa"/>
          </w:tcPr>
          <w:p>
            <w:pPr>
              <w:pStyle w:val="TableParagraph"/>
              <w:spacing w:before="85"/>
              <w:ind w:left="12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Maximum </w:t>
            </w:r>
            <w:r>
              <w:rPr>
                <w:rFonts w:ascii="Times New Roman"/>
                <w:b/>
                <w:spacing w:val="-2"/>
                <w:sz w:val="24"/>
              </w:rPr>
              <w:t>Marks</w:t>
            </w:r>
          </w:p>
        </w:tc>
        <w:tc>
          <w:tcPr>
            <w:tcW w:w="6120" w:type="dxa"/>
          </w:tcPr>
          <w:p>
            <w:pPr>
              <w:pStyle w:val="TableParagraph"/>
              <w:spacing w:before="85"/>
              <w:ind w:left="125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5 </w:t>
            </w:r>
            <w:r>
              <w:rPr>
                <w:rFonts w:ascii="Times New Roman"/>
                <w:spacing w:val="-2"/>
                <w:sz w:val="24"/>
              </w:rPr>
              <w:t>Marks</w:t>
            </w:r>
          </w:p>
        </w:tc>
      </w:tr>
    </w:tbl>
    <w:p>
      <w:pPr>
        <w:spacing w:line="240" w:lineRule="auto" w:before="0"/>
        <w:rPr>
          <w:b/>
          <w:sz w:val="22"/>
        </w:rPr>
      </w:pPr>
    </w:p>
    <w:p>
      <w:pPr>
        <w:spacing w:line="240" w:lineRule="auto" w:before="38"/>
        <w:rPr>
          <w:b/>
          <w:sz w:val="22"/>
        </w:rPr>
      </w:pPr>
    </w:p>
    <w:p>
      <w:pPr>
        <w:pStyle w:val="Heading2"/>
      </w:pPr>
      <w:bookmarkStart w:name="Solution Architecture Diagram: " w:id="2"/>
      <w:bookmarkEnd w:id="2"/>
      <w:r>
        <w:rPr>
          <w:b w:val="0"/>
        </w:rPr>
      </w:r>
      <w:r>
        <w:rPr/>
        <w:t>Solution</w:t>
      </w:r>
      <w:r>
        <w:rPr>
          <w:spacing w:val="-10"/>
        </w:rPr>
        <w:t> </w:t>
      </w:r>
      <w:r>
        <w:rPr/>
        <w:t>Architecture</w:t>
      </w:r>
      <w:r>
        <w:rPr>
          <w:spacing w:val="-10"/>
        </w:rPr>
        <w:t> </w:t>
      </w:r>
      <w:r>
        <w:rPr>
          <w:spacing w:val="-2"/>
        </w:rPr>
        <w:t>Diagram:</w:t>
      </w:r>
    </w:p>
    <w:p>
      <w:pPr>
        <w:pStyle w:val="BodyText"/>
        <w:spacing w:line="300" w:lineRule="auto" w:before="63"/>
        <w:ind w:right="367"/>
      </w:pPr>
      <w:r>
        <w:rPr/>
        <w:t>Provide a high-level visual representation of your solution's architecture. Use the structural layout below as a template to map out your Presentation Layer, Application Layer, and Data Layer.</w:t>
      </w:r>
      <w:r>
        <w:rPr>
          <w:spacing w:val="-4"/>
        </w:rPr>
        <w:t> </w:t>
      </w:r>
      <w:r>
        <w:rPr/>
        <w:t>Fill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specific</w:t>
      </w:r>
      <w:r>
        <w:rPr>
          <w:spacing w:val="-4"/>
        </w:rPr>
        <w:t> </w:t>
      </w:r>
      <w:r>
        <w:rPr/>
        <w:t>technologies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components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your</w:t>
      </w:r>
      <w:r>
        <w:rPr>
          <w:spacing w:val="-4"/>
        </w:rPr>
        <w:t> </w:t>
      </w:r>
      <w:r>
        <w:rPr/>
        <w:t>project</w:t>
      </w:r>
      <w:r>
        <w:rPr>
          <w:spacing w:val="-4"/>
        </w:rPr>
        <w:t> </w:t>
      </w:r>
      <w:r>
        <w:rPr/>
        <w:t>directly</w:t>
      </w:r>
      <w:r>
        <w:rPr>
          <w:spacing w:val="-4"/>
        </w:rPr>
        <w:t> </w:t>
      </w:r>
      <w:r>
        <w:rPr/>
        <w:t>into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boxes</w:t>
      </w:r>
      <w:r>
        <w:rPr>
          <w:spacing w:val="-4"/>
        </w:rPr>
        <w:t> </w:t>
      </w:r>
      <w:r>
        <w:rPr/>
        <w:t>to create your architectural diagram.</w:t>
      </w:r>
    </w:p>
    <w:p>
      <w:pPr>
        <w:pStyle w:val="BodyText"/>
        <w:spacing w:before="5"/>
        <w:rPr>
          <w:sz w:val="20"/>
        </w:rPr>
      </w:pPr>
    </w:p>
    <w:tbl>
      <w:tblPr>
        <w:tblW w:w="0" w:type="auto"/>
        <w:jc w:val="left"/>
        <w:tblInd w:w="64" w:type="dxa"/>
        <w:tblBorders>
          <w:top w:val="single" w:sz="18" w:space="0" w:color="17A2B8"/>
          <w:left w:val="single" w:sz="18" w:space="0" w:color="17A2B8"/>
          <w:bottom w:val="single" w:sz="18" w:space="0" w:color="17A2B8"/>
          <w:right w:val="single" w:sz="18" w:space="0" w:color="17A2B8"/>
          <w:insideH w:val="single" w:sz="18" w:space="0" w:color="17A2B8"/>
          <w:insideV w:val="single" w:sz="18" w:space="0" w:color="17A2B8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00"/>
        <w:gridCol w:w="3080"/>
        <w:gridCol w:w="3100"/>
      </w:tblGrid>
      <w:tr>
        <w:trPr>
          <w:trHeight w:val="1015" w:hRule="atLeast"/>
        </w:trPr>
        <w:tc>
          <w:tcPr>
            <w:tcW w:w="9280" w:type="dxa"/>
            <w:gridSpan w:val="3"/>
            <w:shd w:val="clear" w:color="auto" w:fill="D0ECF1"/>
          </w:tcPr>
          <w:p>
            <w:pPr>
              <w:pStyle w:val="TableParagraph"/>
              <w:spacing w:before="233"/>
              <w:ind w:left="7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Presentation / Client Layer</w:t>
            </w:r>
          </w:p>
          <w:p>
            <w:pPr>
              <w:pStyle w:val="TableParagraph"/>
              <w:spacing w:before="233"/>
              <w:ind w:left="70"/>
              <w:jc w:val="center"/>
              <w:rPr>
                <w:b/>
                <w:sz w:val="24"/>
              </w:rPr>
            </w:pPr>
            <w:r>
              <w:rPr>
                <w:sz w:val="18"/>
              </w:rPr>
              <w:t xml:space="preserve">Streamlit web app (mobile-friendly) and FastAPI /docs page</w:t>
            </w:r>
          </w:p>
        </w:tc>
      </w:tr>
      <w:tr>
        <w:trPr>
          <w:trHeight w:val="795" w:hRule="atLeast"/>
        </w:trPr>
        <w:tc>
          <w:tcPr>
            <w:tcW w:w="9280" w:type="dxa"/>
            <w:gridSpan w:val="3"/>
            <w:tcBorders>
              <w:left w:val="single" w:sz="18" w:space="0" w:color="28A645"/>
              <w:bottom w:val="single" w:sz="18" w:space="0" w:color="FFC107"/>
              <w:right w:val="single" w:sz="18" w:space="0" w:color="28A645"/>
            </w:tcBorders>
          </w:tcPr>
          <w:p>
            <w:pPr>
              <w:pStyle w:val="TableParagraph"/>
              <w:spacing w:before="239"/>
              <w:ind w:left="70"/>
              <w:jc w:val="center"/>
              <w:rPr>
                <w:rFonts w:ascii="Arial MT" w:hAnsi="Arial MT"/>
                <w:sz w:val="30"/>
              </w:rPr>
            </w:pPr>
            <w:r>
              <w:rPr>
                <w:rFonts w:ascii="Arial MT" w:hAnsi="Arial MT"/>
                <w:w w:val="55"/>
                <w:sz w:val="30"/>
              </w:rPr>
              <w:t>↓</w:t>
            </w:r>
            <w:r>
              <w:rPr>
                <w:rFonts w:ascii="Arial MT" w:hAnsi="Arial MT"/>
                <w:spacing w:val="-15"/>
                <w:sz w:val="30"/>
              </w:rPr>
              <w:t> </w:t>
            </w:r>
            <w:r>
              <w:rPr>
                <w:rFonts w:ascii="Arial MT" w:hAnsi="Arial MT"/>
                <w:spacing w:val="-10"/>
                <w:w w:val="60"/>
                <w:sz w:val="30"/>
              </w:rPr>
              <w:t>↑</w:t>
            </w:r>
          </w:p>
        </w:tc>
      </w:tr>
      <w:tr>
        <w:trPr>
          <w:trHeight w:val="1034" w:hRule="atLeast"/>
        </w:trPr>
        <w:tc>
          <w:tcPr>
            <w:tcW w:w="9280" w:type="dxa"/>
            <w:gridSpan w:val="3"/>
            <w:tcBorders>
              <w:top w:val="single" w:sz="18" w:space="0" w:color="FFC107"/>
              <w:left w:val="single" w:sz="18" w:space="0" w:color="FFC107"/>
              <w:bottom w:val="single" w:sz="18" w:space="0" w:color="FFC107"/>
              <w:right w:val="single" w:sz="18" w:space="0" w:color="FFC107"/>
            </w:tcBorders>
            <w:shd w:val="clear" w:color="auto" w:fill="FFF1CC"/>
          </w:tcPr>
          <w:p>
            <w:pPr>
              <w:pStyle w:val="TableParagraph"/>
              <w:spacing w:before="223"/>
              <w:ind w:left="7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API Gateway / Load Balancer</w:t>
            </w:r>
          </w:p>
          <w:p>
            <w:pPr>
              <w:pStyle w:val="TableParagraph"/>
              <w:spacing w:before="223"/>
              <w:ind w:left="70"/>
              <w:jc w:val="center"/>
              <w:rPr>
                <w:b/>
                <w:sz w:val="24"/>
              </w:rPr>
            </w:pPr>
            <w:r>
              <w:rPr>
                <w:sz w:val="18"/>
              </w:rPr>
              <w:t xml:space="preserve">Google Cloud Run HTTPS endpoint (managed load balancing and autoscaling) routing to FastAPI</w:t>
            </w:r>
          </w:p>
        </w:tc>
      </w:tr>
      <w:tr>
        <w:trPr>
          <w:trHeight w:val="775" w:hRule="atLeast"/>
        </w:trPr>
        <w:tc>
          <w:tcPr>
            <w:tcW w:w="9280" w:type="dxa"/>
            <w:gridSpan w:val="3"/>
            <w:tcBorders>
              <w:top w:val="single" w:sz="18" w:space="0" w:color="FFC107"/>
              <w:left w:val="single" w:sz="18" w:space="0" w:color="28A645"/>
              <w:bottom w:val="single" w:sz="18" w:space="0" w:color="28A645"/>
              <w:right w:val="single" w:sz="18" w:space="0" w:color="28A645"/>
            </w:tcBorders>
          </w:tcPr>
          <w:p>
            <w:pPr>
              <w:pStyle w:val="TableParagraph"/>
              <w:spacing w:before="209"/>
              <w:ind w:left="70"/>
              <w:jc w:val="center"/>
              <w:rPr>
                <w:rFonts w:ascii="Arial MT" w:hAnsi="Arial MT"/>
                <w:sz w:val="30"/>
              </w:rPr>
            </w:pPr>
            <w:r>
              <w:rPr>
                <w:rFonts w:ascii="Arial MT" w:hAnsi="Arial MT"/>
                <w:w w:val="55"/>
                <w:sz w:val="30"/>
              </w:rPr>
              <w:t>↓</w:t>
            </w:r>
            <w:r>
              <w:rPr>
                <w:rFonts w:ascii="Arial MT" w:hAnsi="Arial MT"/>
                <w:spacing w:val="-15"/>
                <w:sz w:val="30"/>
              </w:rPr>
              <w:t> </w:t>
            </w:r>
            <w:r>
              <w:rPr>
                <w:rFonts w:ascii="Arial MT" w:hAnsi="Arial MT"/>
                <w:spacing w:val="-10"/>
                <w:w w:val="60"/>
                <w:sz w:val="30"/>
              </w:rPr>
              <w:t>↑</w:t>
            </w:r>
          </w:p>
        </w:tc>
      </w:tr>
      <w:tr>
        <w:trPr>
          <w:trHeight w:val="1514" w:hRule="atLeast"/>
        </w:trPr>
        <w:tc>
          <w:tcPr>
            <w:tcW w:w="3100" w:type="dxa"/>
            <w:tcBorders>
              <w:top w:val="single" w:sz="18" w:space="0" w:color="28A645"/>
              <w:left w:val="single" w:sz="18" w:space="0" w:color="28A645"/>
              <w:bottom w:val="single" w:sz="18" w:space="0" w:color="28A645"/>
              <w:right w:val="single" w:sz="18" w:space="0" w:color="28A645"/>
            </w:tcBorders>
            <w:shd w:val="clear" w:color="auto" w:fill="D4ECD9"/>
          </w:tcPr>
          <w:p>
            <w:pPr>
              <w:pStyle w:val="TableParagraph"/>
              <w:spacing w:before="219"/>
              <w:ind w:left="252" w:right="18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Auth &amp; Validation Service</w:t>
            </w:r>
          </w:p>
          <w:p>
            <w:pPr>
              <w:pStyle w:val="TableParagraph"/>
              <w:spacing w:before="219"/>
              <w:ind w:left="252" w:right="182"/>
              <w:jc w:val="center"/>
              <w:rPr>
                <w:b/>
                <w:sz w:val="24"/>
              </w:rPr>
            </w:pPr>
            <w:r>
              <w:rPr>
                <w:sz w:val="16"/>
              </w:rPr>
              <w:t xml:space="preserve">Pydantic schemas on every endpoint; API key kept in .env / Cloud Run env var</w:t>
            </w:r>
          </w:p>
        </w:tc>
        <w:tc>
          <w:tcPr>
            <w:tcW w:w="3080" w:type="dxa"/>
            <w:tcBorders>
              <w:top w:val="single" w:sz="18" w:space="0" w:color="28A645"/>
              <w:left w:val="single" w:sz="18" w:space="0" w:color="28A645"/>
              <w:bottom w:val="single" w:sz="18" w:space="0" w:color="28A645"/>
              <w:right w:val="single" w:sz="18" w:space="0" w:color="28A645"/>
            </w:tcBorders>
            <w:shd w:val="clear" w:color="auto" w:fill="D4ECD9"/>
          </w:tcPr>
          <w:p>
            <w:pPr>
              <w:pStyle w:val="TableParagraph"/>
              <w:spacing w:before="219"/>
              <w:ind w:left="183" w:right="11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Core Logic Service</w:t>
            </w:r>
          </w:p>
          <w:p>
            <w:pPr>
              <w:pStyle w:val="TableParagraph"/>
              <w:spacing w:before="219"/>
              <w:ind w:left="183" w:right="113"/>
              <w:jc w:val="center"/>
              <w:rPr>
                <w:b/>
                <w:sz w:val="24"/>
              </w:rPr>
            </w:pPr>
            <w:r>
              <w:rPr>
                <w:sz w:val="16"/>
              </w:rPr>
              <w:t xml:space="preserve">TF-IDF + Logistic Regression classifier, rolling z-score / Isolation Forest anomalies, baseline and SARIMAX forecasts</w:t>
            </w:r>
          </w:p>
        </w:tc>
        <w:tc>
          <w:tcPr>
            <w:tcW w:w="3100" w:type="dxa"/>
            <w:tcBorders>
              <w:top w:val="single" w:sz="18" w:space="0" w:color="28A645"/>
              <w:left w:val="single" w:sz="18" w:space="0" w:color="28A645"/>
              <w:bottom w:val="single" w:sz="18" w:space="0" w:color="28A645"/>
              <w:right w:val="single" w:sz="18" w:space="0" w:color="28A645"/>
            </w:tcBorders>
            <w:shd w:val="clear" w:color="auto" w:fill="D4ECD9"/>
          </w:tcPr>
          <w:p>
            <w:pPr>
              <w:pStyle w:val="TableParagraph"/>
              <w:spacing w:before="219"/>
              <w:ind w:left="252" w:right="18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External API Integrations</w:t>
            </w:r>
          </w:p>
          <w:p>
            <w:pPr>
              <w:pStyle w:val="TableParagraph"/>
              <w:spacing w:before="219"/>
              <w:ind w:left="252" w:right="180"/>
              <w:jc w:val="center"/>
              <w:rPr>
                <w:b/>
                <w:sz w:val="24"/>
              </w:rPr>
            </w:pPr>
            <w:r>
              <w:rPr>
                <w:sz w:val="16"/>
              </w:rPr>
              <w:t xml:space="preserve">Google Gemini API for advice phrasing, with local cache and template fallback</w:t>
            </w:r>
          </w:p>
        </w:tc>
      </w:tr>
      <w:tr>
        <w:trPr>
          <w:trHeight w:val="775" w:hRule="atLeast"/>
        </w:trPr>
        <w:tc>
          <w:tcPr>
            <w:tcW w:w="9280" w:type="dxa"/>
            <w:gridSpan w:val="3"/>
            <w:tcBorders>
              <w:top w:val="single" w:sz="18" w:space="0" w:color="28A645"/>
              <w:left w:val="single" w:sz="18" w:space="0" w:color="28A645"/>
              <w:bottom w:val="single" w:sz="18" w:space="0" w:color="DA3345"/>
              <w:right w:val="single" w:sz="18" w:space="0" w:color="28A645"/>
            </w:tcBorders>
          </w:tcPr>
          <w:p>
            <w:pPr>
              <w:pStyle w:val="TableParagraph"/>
              <w:spacing w:before="226"/>
              <w:ind w:left="70"/>
              <w:jc w:val="center"/>
              <w:rPr>
                <w:rFonts w:ascii="Arial MT" w:hAnsi="Arial MT"/>
                <w:sz w:val="30"/>
              </w:rPr>
            </w:pPr>
            <w:r>
              <w:rPr>
                <w:rFonts w:ascii="Arial MT" w:hAnsi="Arial MT"/>
                <w:w w:val="55"/>
                <w:sz w:val="30"/>
              </w:rPr>
              <w:t>↓</w:t>
            </w:r>
            <w:r>
              <w:rPr>
                <w:rFonts w:ascii="Arial MT" w:hAnsi="Arial MT"/>
                <w:spacing w:val="-15"/>
                <w:sz w:val="30"/>
              </w:rPr>
              <w:t> </w:t>
            </w:r>
            <w:r>
              <w:rPr>
                <w:rFonts w:ascii="Arial MT" w:hAnsi="Arial MT"/>
                <w:spacing w:val="-10"/>
                <w:w w:val="60"/>
                <w:sz w:val="30"/>
              </w:rPr>
              <w:t>↑</w:t>
            </w:r>
          </w:p>
        </w:tc>
      </w:tr>
      <w:tr>
        <w:trPr>
          <w:trHeight w:val="1014" w:hRule="atLeast"/>
        </w:trPr>
        <w:tc>
          <w:tcPr>
            <w:tcW w:w="9280" w:type="dxa"/>
            <w:gridSpan w:val="3"/>
            <w:tcBorders>
              <w:top w:val="single" w:sz="18" w:space="0" w:color="DA3345"/>
              <w:left w:val="single" w:sz="18" w:space="0" w:color="DA3345"/>
              <w:bottom w:val="single" w:sz="18" w:space="0" w:color="DA3345"/>
              <w:right w:val="single" w:sz="18" w:space="0" w:color="DA3345"/>
            </w:tcBorders>
            <w:shd w:val="clear" w:color="auto" w:fill="F6D5D9"/>
          </w:tcPr>
          <w:p>
            <w:pPr>
              <w:pStyle w:val="TableParagraph"/>
              <w:spacing w:before="236"/>
              <w:ind w:left="7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Data / Storage Layer</w:t>
            </w:r>
          </w:p>
          <w:p>
            <w:pPr>
              <w:pStyle w:val="TableParagraph"/>
              <w:spacing w:before="236"/>
              <w:ind w:left="70"/>
              <w:jc w:val="center"/>
              <w:rPr>
                <w:b/>
                <w:sz w:val="24"/>
              </w:rPr>
            </w:pPr>
            <w:r>
              <w:rPr>
                <w:sz w:val="18"/>
              </w:rPr>
              <w:t xml:space="preserve">CSV transactions, classifier.joblib, metrics.json, Gemini response cache (JSON)</w:t>
            </w:r>
          </w:p>
        </w:tc>
      </w:tr>
    </w:tbl>
    <w:p>
      <w:pPr>
        <w:pStyle w:val="TableParagraph"/>
        <w:spacing w:after="0"/>
        <w:jc w:val="center"/>
        <w:rPr>
          <w:i/>
          <w:sz w:val="20"/>
        </w:rPr>
        <w:sectPr>
          <w:headerReference w:type="default" r:id="rId5"/>
          <w:type w:val="continuous"/>
          <w:pgSz w:w="12240" w:h="15840"/>
          <w:pgMar w:header="30" w:footer="0" w:top="1440" w:bottom="280" w:left="1440" w:right="1080"/>
          <w:pgNumType w:start="1"/>
        </w:sectPr>
      </w:pPr>
    </w:p>
    <w:p>
      <w:pPr>
        <w:pStyle w:val="Heading1"/>
      </w:pPr>
      <w:bookmarkStart w:name="Component Description Table " w:id="3"/>
      <w:bookmarkEnd w:id="3"/>
      <w:r>
        <w:rPr>
          <w:b w:val="0"/>
        </w:rPr>
      </w:r>
      <w:r>
        <w:rPr>
          <w:color w:val="2A3C4E"/>
        </w:rPr>
        <w:t>Component</w:t>
      </w:r>
      <w:r>
        <w:rPr>
          <w:color w:val="2A3C4E"/>
          <w:spacing w:val="-10"/>
        </w:rPr>
        <w:t> </w:t>
      </w:r>
      <w:r>
        <w:rPr>
          <w:color w:val="2A3C4E"/>
        </w:rPr>
        <w:t>Description</w:t>
      </w:r>
      <w:r>
        <w:rPr>
          <w:color w:val="2A3C4E"/>
          <w:spacing w:val="-10"/>
        </w:rPr>
        <w:t> </w:t>
      </w:r>
      <w:r>
        <w:rPr>
          <w:color w:val="2A3C4E"/>
          <w:spacing w:val="-2"/>
        </w:rPr>
        <w:t>Table</w:t>
      </w:r>
    </w:p>
    <w:p>
      <w:pPr>
        <w:spacing w:line="240" w:lineRule="auto" w:before="88" w:after="0"/>
        <w:rPr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40"/>
        <w:gridCol w:w="4680"/>
        <w:gridCol w:w="2340"/>
      </w:tblGrid>
      <w:tr>
        <w:trPr>
          <w:trHeight w:val="599" w:hRule="atLeast"/>
        </w:trPr>
        <w:tc>
          <w:tcPr>
            <w:tcW w:w="2340" w:type="dxa"/>
            <w:shd w:val="clear" w:color="auto" w:fill="E7ECEF"/>
          </w:tcPr>
          <w:p>
            <w:pPr>
              <w:pStyle w:val="TableParagraph"/>
              <w:spacing w:before="160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Component</w:t>
            </w:r>
            <w:r>
              <w:rPr>
                <w:rFonts w:ascii="Arial MT"/>
                <w:spacing w:val="-9"/>
                <w:sz w:val="22"/>
              </w:rPr>
              <w:t> </w:t>
            </w:r>
            <w:r>
              <w:rPr>
                <w:rFonts w:ascii="Arial MT"/>
                <w:spacing w:val="-4"/>
                <w:sz w:val="22"/>
              </w:rPr>
              <w:t>Name</w:t>
            </w:r>
          </w:p>
        </w:tc>
        <w:tc>
          <w:tcPr>
            <w:tcW w:w="4680" w:type="dxa"/>
            <w:shd w:val="clear" w:color="auto" w:fill="E7ECEF"/>
          </w:tcPr>
          <w:p>
            <w:pPr>
              <w:pStyle w:val="TableParagraph"/>
              <w:spacing w:before="160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Description</w:t>
            </w:r>
            <w:r>
              <w:rPr>
                <w:rFonts w:ascii="Arial MT"/>
                <w:spacing w:val="-5"/>
                <w:sz w:val="22"/>
              </w:rPr>
              <w:t> </w:t>
            </w:r>
            <w:r>
              <w:rPr>
                <w:rFonts w:ascii="Arial MT"/>
                <w:sz w:val="22"/>
              </w:rPr>
              <w:t>/</w:t>
            </w:r>
            <w:r>
              <w:rPr>
                <w:rFonts w:ascii="Arial MT"/>
                <w:spacing w:val="-4"/>
                <w:sz w:val="22"/>
              </w:rPr>
              <w:t> </w:t>
            </w:r>
            <w:r>
              <w:rPr>
                <w:rFonts w:ascii="Arial MT"/>
                <w:sz w:val="22"/>
              </w:rPr>
              <w:t>Role</w:t>
            </w:r>
            <w:r>
              <w:rPr>
                <w:rFonts w:ascii="Arial MT"/>
                <w:spacing w:val="-5"/>
                <w:sz w:val="22"/>
              </w:rPr>
              <w:t> </w:t>
            </w:r>
            <w:r>
              <w:rPr>
                <w:rFonts w:ascii="Arial MT"/>
                <w:sz w:val="22"/>
              </w:rPr>
              <w:t>in</w:t>
            </w:r>
            <w:r>
              <w:rPr>
                <w:rFonts w:ascii="Arial MT"/>
                <w:spacing w:val="-4"/>
                <w:sz w:val="22"/>
              </w:rPr>
              <w:t> </w:t>
            </w:r>
            <w:r>
              <w:rPr>
                <w:rFonts w:ascii="Arial MT"/>
                <w:spacing w:val="-2"/>
                <w:sz w:val="22"/>
              </w:rPr>
              <w:t>Architecture</w:t>
            </w:r>
          </w:p>
        </w:tc>
        <w:tc>
          <w:tcPr>
            <w:tcW w:w="2340" w:type="dxa"/>
            <w:shd w:val="clear" w:color="auto" w:fill="E7ECEF"/>
          </w:tcPr>
          <w:p>
            <w:pPr>
              <w:pStyle w:val="TableParagraph"/>
              <w:spacing w:before="160"/>
              <w:rPr>
                <w:rFonts w:ascii="Arial MT"/>
                <w:sz w:val="22"/>
              </w:rPr>
            </w:pPr>
            <w:r>
              <w:rPr>
                <w:rFonts w:ascii="Arial MT"/>
                <w:spacing w:val="-2"/>
                <w:sz w:val="22"/>
              </w:rPr>
              <w:t>Technologies</w:t>
            </w:r>
            <w:r>
              <w:rPr>
                <w:rFonts w:ascii="Arial MT"/>
                <w:spacing w:val="-12"/>
                <w:sz w:val="22"/>
              </w:rPr>
              <w:t> </w:t>
            </w:r>
            <w:r>
              <w:rPr>
                <w:rFonts w:ascii="Arial MT"/>
                <w:spacing w:val="-4"/>
                <w:sz w:val="22"/>
              </w:rPr>
              <w:t>Used</w:t>
            </w:r>
          </w:p>
        </w:tc>
      </w:tr>
      <w:tr>
        <w:trPr>
          <w:trHeight w:val="620" w:hRule="atLeast"/>
        </w:trPr>
        <w:tc>
          <w:tcPr>
            <w:tcW w:w="2340" w:type="dxa"/>
          </w:tcPr>
          <w:p>
            <w:pPr>
              <w:pStyle w:val="TableParagraph"/>
              <w:spacing w:before="166"/>
              <w:rPr>
                <w:i/>
                <w:sz w:val="22"/>
              </w:rPr>
            </w:pPr>
            <w:r>
              <w:rPr>
                <w:sz w:val="22"/>
              </w:rPr>
              <w:t xml:space="preserve">Presentation Layer</w:t>
            </w:r>
          </w:p>
        </w:tc>
        <w:tc>
          <w:tcPr>
            <w:tcW w:w="4680" w:type="dxa"/>
          </w:tcPr>
          <w:p>
            <w:pPr>
              <w:pStyle w:val="TableParagraph"/>
              <w:spacing w:before="166"/>
              <w:rPr>
                <w:i/>
                <w:sz w:val="22"/>
              </w:rPr>
            </w:pPr>
            <w:r>
              <w:rPr>
                <w:sz w:val="22"/>
              </w:rPr>
              <w:t xml:space="preserve">Lets the user submit merchant strings or requests and view categories, summaries, forecasts, anomalies and advice.</w:t>
            </w:r>
          </w:p>
        </w:tc>
        <w:tc>
          <w:tcPr>
            <w:tcW w:w="2340" w:type="dxa"/>
          </w:tcPr>
          <w:p>
            <w:pPr>
              <w:pStyle w:val="TableParagraph"/>
              <w:spacing w:before="166"/>
              <w:rPr>
                <w:i/>
                <w:sz w:val="22"/>
              </w:rPr>
            </w:pPr>
            <w:r>
              <w:rPr>
                <w:sz w:val="22"/>
              </w:rPr>
              <w:t xml:space="preserve">Streamlit, FastAPI /docs page</w:t>
            </w:r>
          </w:p>
        </w:tc>
      </w:tr>
      <w:tr>
        <w:trPr>
          <w:trHeight w:val="580" w:hRule="atLeast"/>
        </w:trPr>
        <w:tc>
          <w:tcPr>
            <w:tcW w:w="2340" w:type="dxa"/>
          </w:tcPr>
          <w:p>
            <w:pPr>
              <w:pStyle w:val="TableParagraph"/>
              <w:spacing w:before="147"/>
              <w:rPr>
                <w:i/>
                <w:sz w:val="22"/>
              </w:rPr>
            </w:pPr>
            <w:r>
              <w:rPr>
                <w:sz w:val="22"/>
              </w:rPr>
              <w:t xml:space="preserve">API Gateway</w:t>
            </w:r>
          </w:p>
        </w:tc>
        <w:tc>
          <w:tcPr>
            <w:tcW w:w="4680" w:type="dxa"/>
          </w:tcPr>
          <w:p>
            <w:pPr>
              <w:pStyle w:val="TableParagraph"/>
              <w:spacing w:before="147"/>
              <w:rPr>
                <w:i/>
                <w:sz w:val="22"/>
              </w:rPr>
            </w:pPr>
            <w:r>
              <w:rPr>
                <w:sz w:val="22"/>
              </w:rPr>
              <w:t xml:space="preserve">Receives HTTPS requests, routes them to the five endpoints and scales the container with load.</w:t>
            </w:r>
          </w:p>
        </w:tc>
        <w:tc>
          <w:tcPr>
            <w:tcW w:w="2340" w:type="dxa"/>
          </w:tcPr>
          <w:p>
            <w:pPr>
              <w:pStyle w:val="TableParagraph"/>
              <w:spacing w:before="147"/>
              <w:rPr>
                <w:i/>
                <w:sz w:val="22"/>
              </w:rPr>
            </w:pPr>
            <w:r>
              <w:rPr>
                <w:sz w:val="22"/>
              </w:rPr>
              <w:t xml:space="preserve">Google Cloud Run, FastAPI routing</w:t>
            </w:r>
          </w:p>
        </w:tc>
      </w:tr>
      <w:tr>
        <w:trPr>
          <w:trHeight w:val="619" w:hRule="atLeast"/>
        </w:trPr>
        <w:tc>
          <w:tcPr>
            <w:tcW w:w="2340" w:type="dxa"/>
          </w:tcPr>
          <w:p>
            <w:pPr>
              <w:pStyle w:val="TableParagraph"/>
              <w:spacing w:before="173"/>
              <w:rPr>
                <w:i/>
                <w:sz w:val="22"/>
              </w:rPr>
            </w:pPr>
            <w:r>
              <w:rPr>
                <w:spacing w:val="-2"/>
                <w:sz w:val="22"/>
              </w:rPr>
              <w:t xml:space="preserve">Core Logic Services (ML)</w:t>
            </w:r>
          </w:p>
        </w:tc>
        <w:tc>
          <w:tcPr>
            <w:tcW w:w="4680" w:type="dxa"/>
          </w:tcPr>
          <w:p>
            <w:pPr>
              <w:pStyle w:val="TableParagraph"/>
              <w:spacing w:before="173"/>
              <w:rPr>
                <w:i/>
                <w:sz w:val="22"/>
              </w:rPr>
            </w:pPr>
            <w:r>
              <w:rPr>
                <w:sz w:val="22"/>
              </w:rPr>
              <w:t xml:space="preserve">Categorizes merchants, detects anomalies and forecasts weekly spend; models load once at start-up.</w:t>
            </w:r>
          </w:p>
        </w:tc>
        <w:tc>
          <w:tcPr>
            <w:tcW w:w="2340" w:type="dxa"/>
          </w:tcPr>
          <w:p>
            <w:pPr>
              <w:pStyle w:val="TableParagraph"/>
              <w:spacing w:before="173"/>
              <w:rPr>
                <w:i/>
                <w:sz w:val="22"/>
              </w:rPr>
            </w:pPr>
            <w:r>
              <w:rPr>
                <w:sz w:val="22"/>
              </w:rPr>
              <w:t xml:space="preserve">Python 3.11, scikit-learn, statsmodels, joblib</w:t>
            </w:r>
          </w:p>
        </w:tc>
      </w:tr>
      <w:tr>
        <w:trPr>
          <w:trHeight w:val="599" w:hRule="atLeast"/>
        </w:trPr>
        <w:tc>
          <w:tcPr>
            <w:tcW w:w="2340" w:type="dxa"/>
          </w:tcPr>
          <w:p>
            <w:pPr>
              <w:pStyle w:val="TableParagraph"/>
              <w:spacing w:before="155"/>
              <w:rPr>
                <w:i/>
                <w:sz w:val="22"/>
              </w:rPr>
            </w:pPr>
            <w:r>
              <w:rPr>
                <w:spacing w:val="-2"/>
                <w:sz w:val="22"/>
              </w:rPr>
              <w:t xml:space="preserve">Validation and Secrets</w:t>
            </w:r>
          </w:p>
        </w:tc>
        <w:tc>
          <w:tcPr>
            <w:tcW w:w="4680" w:type="dxa"/>
          </w:tcPr>
          <w:p>
            <w:pPr>
              <w:pStyle w:val="TableParagraph"/>
              <w:spacing w:before="155"/>
              <w:rPr>
                <w:i/>
                <w:sz w:val="22"/>
              </w:rPr>
            </w:pPr>
            <w:r>
              <w:rPr>
                <w:sz w:val="22"/>
              </w:rPr>
              <w:t xml:space="preserve">Validates every request and keeps the Gemini key out of the code and out of git.</w:t>
            </w:r>
          </w:p>
        </w:tc>
        <w:tc>
          <w:tcPr>
            <w:tcW w:w="2340" w:type="dxa"/>
          </w:tcPr>
          <w:p>
            <w:pPr>
              <w:pStyle w:val="TableParagraph"/>
              <w:spacing w:before="155"/>
              <w:rPr>
                <w:i/>
                <w:sz w:val="22"/>
              </w:rPr>
            </w:pPr>
            <w:r>
              <w:rPr>
                <w:sz w:val="22"/>
              </w:rPr>
              <w:t xml:space="preserve">Pydantic, .env, Cloud Run environment variables</w:t>
            </w:r>
          </w:p>
        </w:tc>
      </w:tr>
      <w:tr>
        <w:trPr>
          <w:trHeight w:val="620" w:hRule="atLeast"/>
        </w:trPr>
        <w:tc>
          <w:tcPr>
            <w:tcW w:w="2340" w:type="dxa"/>
          </w:tcPr>
          <w:p>
            <w:pPr>
              <w:pStyle w:val="TableParagraph"/>
              <w:spacing w:before="166"/>
              <w:rPr>
                <w:i/>
                <w:sz w:val="22"/>
              </w:rPr>
            </w:pPr>
            <w:r>
              <w:rPr>
                <w:sz w:val="22"/>
              </w:rPr>
              <w:t xml:space="preserve">Gemini Advice Layer</w:t>
            </w:r>
          </w:p>
        </w:tc>
        <w:tc>
          <w:tcPr>
            <w:tcW w:w="4680" w:type="dxa"/>
          </w:tcPr>
          <w:p>
            <w:pPr>
              <w:pStyle w:val="TableParagraph"/>
              <w:spacing w:before="166"/>
              <w:rPr>
                <w:i/>
                <w:sz w:val="22"/>
              </w:rPr>
            </w:pPr>
            <w:r>
              <w:rPr>
                <w:sz w:val="22"/>
              </w:rPr>
              <w:t xml:space="preserve">Turns model JSON into plain-English advice only; uses a cache and a template fallback if the API fails.</w:t>
            </w:r>
          </w:p>
        </w:tc>
        <w:tc>
          <w:tcPr>
            <w:tcW w:w="2340" w:type="dxa"/>
          </w:tcPr>
          <w:p>
            <w:pPr>
              <w:pStyle w:val="TableParagraph"/>
              <w:spacing w:before="166"/>
              <w:rPr>
                <w:i/>
                <w:sz w:val="22"/>
              </w:rPr>
            </w:pPr>
            <w:r>
              <w:rPr>
                <w:sz w:val="22"/>
              </w:rPr>
              <w:t xml:space="preserve">Google Gemini API, JSON cache</w:t>
            </w:r>
          </w:p>
        </w:tc>
      </w:tr>
      <w:tr>
        <w:trPr>
          <w:trHeight w:val="620" w:hRule="atLeast"/>
        </w:trPr>
        <w:tc>
          <w:tcPr>
            <w:tcW w:w="2340" w:type="dxa"/>
          </w:tcPr>
          <w:p>
            <w:pPr>
              <w:pStyle w:val="TableParagraph"/>
              <w:spacing w:before="166"/>
              <w:rPr>
                <w:i/>
                <w:sz w:val="22"/>
              </w:rPr>
            </w:pPr>
            <w:r>
              <w:rPr>
                <w:sz w:val="22"/>
              </w:rPr>
              <w:t xml:space="preserve">Database / Storage</w:t>
            </w:r>
          </w:p>
        </w:tc>
        <w:tc>
          <w:tcPr>
            <w:tcW w:w="4680" w:type="dxa"/>
          </w:tcPr>
          <w:p>
            <w:pPr>
              <w:pStyle w:val="TableParagraph"/>
              <w:spacing w:before="166"/>
              <w:rPr>
                <w:i/>
                <w:sz w:val="22"/>
              </w:rPr>
            </w:pPr>
            <w:r>
              <w:rPr>
                <w:sz w:val="22"/>
              </w:rPr>
              <w:t xml:space="preserve">Holds synthetic transactions, the trained model, evaluation results and cached advice. No database server.</w:t>
            </w:r>
          </w:p>
        </w:tc>
        <w:tc>
          <w:tcPr>
            <w:tcW w:w="2340" w:type="dxa"/>
          </w:tcPr>
          <w:p>
            <w:pPr>
              <w:pStyle w:val="TableParagraph"/>
              <w:spacing w:before="166"/>
              <w:rPr>
                <w:i/>
                <w:sz w:val="22"/>
              </w:rPr>
            </w:pPr>
            <w:r>
              <w:rPr>
                <w:sz w:val="22"/>
              </w:rPr>
              <w:t xml:space="preserve">CSV, joblib, JSON files</w:t>
            </w:r>
          </w:p>
        </w:tc>
      </w:tr>
    </w:tbl>
    <w:sectPr>
      <w:pgSz w:w="12240" w:h="15840"/>
      <w:pgMar w:header="30" w:footer="0" w:top="1440" w:bottom="28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508992">
          <wp:simplePos x="0" y="0"/>
          <wp:positionH relativeFrom="page">
            <wp:posOffset>466725</wp:posOffset>
          </wp:positionH>
          <wp:positionV relativeFrom="page">
            <wp:posOffset>171450</wp:posOffset>
          </wp:positionV>
          <wp:extent cx="1828800" cy="7715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509504">
          <wp:simplePos x="0" y="0"/>
          <wp:positionH relativeFrom="page">
            <wp:posOffset>6248400</wp:posOffset>
          </wp:positionH>
          <wp:positionV relativeFrom="page">
            <wp:posOffset>304800</wp:posOffset>
          </wp:positionV>
          <wp:extent cx="1095375" cy="504825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line="313" w:lineRule="exact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75"/>
      <w:ind w:left="155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Architecture</dc:title>
  <dcterms:created xsi:type="dcterms:W3CDTF">2026-09-30T04:47:28Z</dcterms:created>
  <dcterms:modified xsi:type="dcterms:W3CDTF">2026-09-30T04:47:28Z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