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265" w:val="left" w:leader="none"/>
        </w:tabs>
        <w:spacing w:line="240" w:lineRule="auto"/>
        <w:ind w:left="570" w:right="0" w:firstLine="0"/>
        <w:rPr>
          <w:rFonts w:ascii="Times New Roman"/>
          <w:position w:val="28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355758" cy="654176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5758" cy="6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28"/>
          <w:sz w:val="20"/>
        </w:rPr>
        <w:drawing>
          <wp:inline distT="0" distB="0" distL="0" distR="0">
            <wp:extent cx="1073054" cy="49453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054" cy="49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8"/>
          <w:sz w:val="20"/>
        </w:rPr>
      </w:r>
    </w:p>
    <w:p>
      <w:pPr>
        <w:pStyle w:val="Heading1"/>
      </w:pPr>
      <w:bookmarkStart w:name="Code-Layout, Readability and Reusability" w:id="1"/>
      <w:bookmarkEnd w:id="1"/>
      <w:r>
        <w:rPr>
          <w:b w:val="0"/>
        </w:rPr>
      </w:r>
      <w:r>
        <w:rPr/>
        <w:t>Code-Layout,</w:t>
      </w:r>
      <w:r>
        <w:rPr>
          <w:spacing w:val="-9"/>
        </w:rPr>
        <w:t> </w:t>
      </w:r>
      <w:r>
        <w:rPr/>
        <w:t>Readability</w:t>
      </w:r>
      <w:r>
        <w:rPr>
          <w:spacing w:val="-9"/>
        </w:rPr>
        <w:t> </w:t>
      </w:r>
      <w:r>
        <w:rPr/>
        <w:t>and</w:t>
      </w:r>
      <w:r>
        <w:rPr>
          <w:spacing w:val="-8"/>
        </w:rPr>
        <w:t> </w:t>
      </w:r>
      <w:r>
        <w:rPr>
          <w:spacing w:val="-2"/>
        </w:rPr>
        <w:t>Reusability</w:t>
      </w:r>
    </w:p>
    <w:p>
      <w:pPr>
        <w:pStyle w:val="BodyText"/>
        <w:spacing w:before="48"/>
        <w:rPr>
          <w:rFonts w:ascii="Arial"/>
          <w:b/>
        </w:rPr>
      </w:pPr>
    </w:p>
    <w:tbl>
      <w:tblPr>
        <w:tblW w:w="0" w:type="auto"/>
        <w:jc w:val="left"/>
        <w:tblInd w:w="4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20"/>
        <w:gridCol w:w="6820"/>
      </w:tblGrid>
      <w:tr>
        <w:trPr>
          <w:trHeight w:val="419" w:hRule="atLeast"/>
        </w:trPr>
        <w:tc>
          <w:tcPr>
            <w:tcW w:w="2820" w:type="dxa"/>
          </w:tcPr>
          <w:p>
            <w:pPr>
              <w:pStyle w:val="TableParagraph"/>
              <w:spacing w:before="11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1"/>
              <w:ind w:left="143"/>
              <w:rPr>
                <w:sz w:val="20"/>
              </w:rPr>
            </w:pPr>
            <w:r>
              <w:rPr>
                <w:sz w:val="20"/>
              </w:rPr>
              <w:t xml:space="preserve">02 October 2026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06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Team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pacing w:val="-5"/>
                <w:sz w:val="20"/>
              </w:rPr>
              <w:t>ID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6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SWTID-2026-6594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Project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Name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PocketSmart AI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16"/>
              <w:ind w:left="12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Maximum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Marks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6"/>
              <w:ind w:left="143"/>
              <w:rPr>
                <w:sz w:val="20"/>
              </w:rPr>
            </w:pPr>
            <w:r>
              <w:rPr>
                <w:sz w:val="20"/>
              </w:rPr>
              <w:t>5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Marks</w:t>
            </w:r>
          </w:p>
        </w:tc>
      </w:tr>
    </w:tbl>
    <w:p>
      <w:pPr>
        <w:pStyle w:val="BodyText"/>
        <w:spacing w:before="210"/>
        <w:rPr>
          <w:rFonts w:ascii="Arial"/>
          <w:b/>
          <w:sz w:val="28"/>
        </w:rPr>
      </w:pPr>
    </w:p>
    <w:p>
      <w:pPr>
        <w:pStyle w:val="Heading2"/>
      </w:pPr>
      <w:bookmarkStart w:name="Code-Layout, Readability and Reusability" w:id="2"/>
      <w:bookmarkEnd w:id="2"/>
      <w:r>
        <w:rPr>
          <w:b w:val="0"/>
        </w:rPr>
      </w:r>
      <w:r>
        <w:rPr/>
        <w:t>Code-Layout,</w:t>
      </w:r>
      <w:r>
        <w:rPr>
          <w:spacing w:val="-9"/>
        </w:rPr>
        <w:t> </w:t>
      </w:r>
      <w:r>
        <w:rPr/>
        <w:t>Readability</w:t>
      </w:r>
      <w:r>
        <w:rPr>
          <w:spacing w:val="-9"/>
        </w:rPr>
        <w:t> </w:t>
      </w:r>
      <w:r>
        <w:rPr/>
        <w:t>and</w:t>
      </w:r>
      <w:r>
        <w:rPr>
          <w:spacing w:val="-8"/>
        </w:rPr>
        <w:t> </w:t>
      </w:r>
      <w:r>
        <w:rPr>
          <w:spacing w:val="-2"/>
        </w:rPr>
        <w:t>Reusability:</w:t>
      </w:r>
    </w:p>
    <w:p>
      <w:pPr>
        <w:pStyle w:val="BodyText"/>
        <w:spacing w:line="292" w:lineRule="auto" w:before="66"/>
        <w:ind w:left="540" w:right="768"/>
      </w:pPr>
      <w:r>
        <w:rPr/>
        <w:t>This</w:t>
      </w:r>
      <w:r>
        <w:rPr>
          <w:spacing w:val="-5"/>
        </w:rPr>
        <w:t> </w:t>
      </w:r>
      <w:r>
        <w:rPr/>
        <w:t>document</w:t>
      </w:r>
      <w:r>
        <w:rPr>
          <w:spacing w:val="-5"/>
        </w:rPr>
        <w:t> </w:t>
      </w:r>
      <w:r>
        <w:rPr/>
        <w:t>evaluates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quality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codebase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terms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its</w:t>
      </w:r>
      <w:r>
        <w:rPr>
          <w:spacing w:val="-5"/>
        </w:rPr>
        <w:t> </w:t>
      </w:r>
      <w:r>
        <w:rPr/>
        <w:t>structure,</w:t>
      </w:r>
      <w:r>
        <w:rPr>
          <w:spacing w:val="-5"/>
        </w:rPr>
        <w:t> </w:t>
      </w:r>
      <w:r>
        <w:rPr/>
        <w:t>readability,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reusability. Well-organized code with proper naming conventions, comments, and modular design ensures that the project is maintainable and can be extended or reused in future development.</w: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2"/>
        <w:spacing w:before="1" w:after="38"/>
      </w:pPr>
      <w:bookmarkStart w:name="Code Layout Checklist: " w:id="3"/>
      <w:bookmarkEnd w:id="3"/>
      <w:r>
        <w:rPr>
          <w:b w:val="0"/>
        </w:rPr>
      </w:r>
      <w:r>
        <w:rPr/>
        <w:t>Code</w:t>
      </w:r>
      <w:r>
        <w:rPr>
          <w:spacing w:val="-5"/>
        </w:rPr>
        <w:t> </w:t>
      </w:r>
      <w:r>
        <w:rPr/>
        <w:t>Layout</w:t>
      </w:r>
      <w:r>
        <w:rPr>
          <w:spacing w:val="-5"/>
        </w:rPr>
        <w:t> </w:t>
      </w:r>
      <w:r>
        <w:rPr>
          <w:spacing w:val="-2"/>
        </w:rPr>
        <w:t>Checklist: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2260"/>
        <w:gridCol w:w="3120"/>
        <w:gridCol w:w="1700"/>
        <w:gridCol w:w="2660"/>
      </w:tblGrid>
      <w:tr>
        <w:trPr>
          <w:trHeight w:val="839" w:hRule="atLeast"/>
        </w:trPr>
        <w:tc>
          <w:tcPr>
            <w:tcW w:w="580" w:type="dxa"/>
          </w:tcPr>
          <w:p>
            <w:pPr>
              <w:pStyle w:val="TableParagraph"/>
              <w:spacing w:before="3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S.No</w:t>
            </w:r>
          </w:p>
        </w:tc>
        <w:tc>
          <w:tcPr>
            <w:tcW w:w="2260" w:type="dxa"/>
          </w:tcPr>
          <w:p>
            <w:pPr>
              <w:pStyle w:val="TableParagraph"/>
              <w:spacing w:before="3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Code Quality </w:t>
            </w:r>
            <w:r>
              <w:rPr>
                <w:rFonts w:ascii="Arial"/>
                <w:b/>
                <w:spacing w:val="-2"/>
                <w:sz w:val="18"/>
              </w:rPr>
              <w:t>Parameter</w:t>
            </w:r>
          </w:p>
        </w:tc>
        <w:tc>
          <w:tcPr>
            <w:tcW w:w="3120" w:type="dxa"/>
          </w:tcPr>
          <w:p>
            <w:pPr>
              <w:pStyle w:val="TableParagraph"/>
              <w:spacing w:before="3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1700" w:type="dxa"/>
          </w:tcPr>
          <w:p>
            <w:pPr>
              <w:pStyle w:val="TableParagraph"/>
              <w:spacing w:before="122"/>
              <w:ind w:left="1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Followed</w:t>
            </w:r>
          </w:p>
          <w:p>
            <w:pPr>
              <w:pStyle w:val="TableParagraph"/>
              <w:spacing w:before="33"/>
              <w:ind w:left="1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(Yes</w:t>
            </w:r>
            <w:r>
              <w:rPr>
                <w:rFonts w:ascii="Arial"/>
                <w:b/>
                <w:spacing w:val="-3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/</w:t>
            </w:r>
            <w:r>
              <w:rPr>
                <w:rFonts w:ascii="Arial"/>
                <w:b/>
                <w:spacing w:val="-2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No</w:t>
            </w:r>
            <w:r>
              <w:rPr>
                <w:rFonts w:ascii="Arial"/>
                <w:b/>
                <w:spacing w:val="-3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/</w:t>
            </w:r>
            <w:r>
              <w:rPr>
                <w:rFonts w:ascii="Arial"/>
                <w:b/>
                <w:spacing w:val="-2"/>
                <w:sz w:val="18"/>
              </w:rPr>
              <w:t> Partial)</w:t>
            </w:r>
          </w:p>
        </w:tc>
        <w:tc>
          <w:tcPr>
            <w:tcW w:w="2660" w:type="dxa"/>
          </w:tcPr>
          <w:p>
            <w:pPr>
              <w:pStyle w:val="TableParagraph"/>
              <w:spacing w:before="35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0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260" w:type="dxa"/>
          </w:tcPr>
          <w:p>
            <w:pPr>
              <w:pStyle w:val="TableParagraph"/>
              <w:spacing w:before="132"/>
              <w:ind w:left="102"/>
              <w:rPr>
                <w:sz w:val="18"/>
              </w:rPr>
            </w:pPr>
            <w:r>
              <w:rPr>
                <w:sz w:val="18"/>
              </w:rPr>
              <w:t xml:space="preserve">Consistent Indentation</w:t>
            </w:r>
          </w:p>
        </w:tc>
        <w:tc>
          <w:tcPr>
            <w:tcW w:w="3120" w:type="dxa"/>
          </w:tcPr>
          <w:p>
            <w:pPr>
              <w:pStyle w:val="TableParagraph"/>
              <w:spacing w:before="132"/>
              <w:ind w:left="107"/>
              <w:rPr>
                <w:sz w:val="18"/>
              </w:rPr>
            </w:pPr>
            <w:r>
              <w:rPr>
                <w:sz w:val="18"/>
              </w:rPr>
              <w:t xml:space="preserve">Uniform spacing/tabs used throughout the code</w:t>
            </w:r>
          </w:p>
        </w:tc>
        <w:tc>
          <w:tcPr>
            <w:tcW w:w="1700" w:type="dxa"/>
          </w:tcPr>
          <w:p>
            <w:pPr>
              <w:pStyle w:val="TableParagraph"/>
              <w:spacing w:before="132"/>
              <w:ind w:left="93"/>
              <w:rPr>
                <w:sz w:val="18"/>
              </w:rPr>
            </w:pPr>
            <w:r>
              <w:rPr>
                <w:sz w:val="18"/>
              </w:rPr>
              <w:t xml:space="preserve">Yes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4-space PEP 8 indentation in every Python file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2"/>
              <w:ind w:left="102"/>
              <w:rPr>
                <w:sz w:val="18"/>
              </w:rPr>
            </w:pPr>
            <w:r>
              <w:rPr>
                <w:sz w:val="18"/>
              </w:rPr>
              <w:t xml:space="preserve">Proper File Structure</w:t>
            </w:r>
          </w:p>
        </w:tc>
        <w:tc>
          <w:tcPr>
            <w:tcW w:w="3120" w:type="dxa"/>
          </w:tcPr>
          <w:p>
            <w:pPr>
              <w:pStyle w:val="TableParagraph"/>
              <w:spacing w:before="122"/>
              <w:ind w:left="107" w:right="-72"/>
              <w:rPr>
                <w:sz w:val="18"/>
              </w:rPr>
            </w:pPr>
            <w:r>
              <w:rPr>
                <w:sz w:val="18"/>
              </w:rPr>
              <w:t xml:space="preserve">Files and folders are logically organized</w:t>
            </w:r>
          </w:p>
        </w:tc>
        <w:tc>
          <w:tcPr>
            <w:tcW w:w="1700" w:type="dxa"/>
          </w:tcPr>
          <w:p>
            <w:pPr>
              <w:pStyle w:val="TableParagraph"/>
              <w:spacing w:before="122"/>
              <w:ind w:left="63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Yes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Separate data/, src/, models/, results/ and api/ folders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260" w:type="dxa"/>
          </w:tcPr>
          <w:p>
            <w:pPr>
              <w:pStyle w:val="TableParagraph"/>
              <w:spacing w:before="132"/>
              <w:ind w:left="102" w:right="-72"/>
              <w:rPr>
                <w:sz w:val="18"/>
              </w:rPr>
            </w:pPr>
            <w:r>
              <w:rPr>
                <w:sz w:val="18"/>
              </w:rPr>
              <w:t xml:space="preserve">Meaningful Variable Names</w:t>
            </w:r>
          </w:p>
        </w:tc>
        <w:tc>
          <w:tcPr>
            <w:tcW w:w="3120" w:type="dxa"/>
          </w:tcPr>
          <w:p>
            <w:pPr>
              <w:pStyle w:val="TableParagraph"/>
              <w:spacing w:before="132"/>
              <w:ind w:left="107"/>
              <w:rPr>
                <w:sz w:val="18"/>
              </w:rPr>
            </w:pPr>
            <w:r>
              <w:rPr>
                <w:sz w:val="18"/>
              </w:rPr>
              <w:t xml:space="preserve">Variables reflect their purpose clearly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Yes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Names such as merchant_text, weekly_spend, y_pred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2"/>
              <w:ind w:left="102"/>
              <w:rPr>
                <w:sz w:val="18"/>
              </w:rPr>
            </w:pPr>
            <w:r>
              <w:rPr>
                <w:sz w:val="18"/>
              </w:rPr>
              <w:t xml:space="preserve">Function / Method Names</w:t>
            </w:r>
          </w:p>
        </w:tc>
        <w:tc>
          <w:tcPr>
            <w:tcW w:w="3120" w:type="dxa"/>
          </w:tcPr>
          <w:p>
            <w:pPr>
              <w:pStyle w:val="TableParagraph"/>
              <w:spacing w:before="122"/>
              <w:ind w:left="107"/>
              <w:rPr>
                <w:sz w:val="18"/>
              </w:rPr>
            </w:pPr>
            <w:r>
              <w:rPr>
                <w:sz w:val="18"/>
              </w:rPr>
              <w:t xml:space="preserve">Functions are descriptively named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Yes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Verbs such as build_features, train_classifier, detect_anomalies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260" w:type="dxa"/>
          </w:tcPr>
          <w:p>
            <w:pPr>
              <w:pStyle w:val="TableParagraph"/>
              <w:spacing w:before="132"/>
              <w:ind w:left="102"/>
              <w:rPr>
                <w:sz w:val="18"/>
              </w:rPr>
            </w:pPr>
            <w:r>
              <w:rPr>
                <w:sz w:val="18"/>
              </w:rPr>
              <w:t xml:space="preserve">Code Comments</w:t>
            </w:r>
          </w:p>
        </w:tc>
        <w:tc>
          <w:tcPr>
            <w:tcW w:w="3120" w:type="dxa"/>
          </w:tcPr>
          <w:p>
            <w:pPr>
              <w:pStyle w:val="TableParagraph"/>
              <w:spacing w:before="132"/>
              <w:ind w:left="107" w:right="-58"/>
              <w:rPr>
                <w:sz w:val="18"/>
              </w:rPr>
            </w:pPr>
            <w:r>
              <w:rPr>
                <w:sz w:val="18"/>
              </w:rPr>
              <w:t xml:space="preserve">Inline and block comments explain logic</w:t>
            </w:r>
          </w:p>
        </w:tc>
        <w:tc>
          <w:tcPr>
            <w:tcW w:w="1700" w:type="dxa"/>
          </w:tcPr>
          <w:p>
            <w:pPr>
              <w:pStyle w:val="TableParagraph"/>
              <w:spacing w:before="132"/>
              <w:ind w:left="78"/>
              <w:rPr>
                <w:sz w:val="18"/>
              </w:rPr>
            </w:pPr>
            <w:r>
              <w:rPr>
                <w:spacing w:val="-10"/>
                <w:sz w:val="18"/>
              </w:rPr>
              <w:t xml:space="preserve">Yes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Module headers and comments on modelling choices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2"/>
              <w:ind w:left="102"/>
              <w:rPr>
                <w:sz w:val="18"/>
              </w:rPr>
            </w:pPr>
            <w:r>
              <w:rPr>
                <w:sz w:val="18"/>
              </w:rPr>
              <w:t xml:space="preserve">Modular Design</w:t>
            </w:r>
          </w:p>
        </w:tc>
        <w:tc>
          <w:tcPr>
            <w:tcW w:w="3120" w:type="dxa"/>
          </w:tcPr>
          <w:p>
            <w:pPr>
              <w:pStyle w:val="TableParagraph"/>
              <w:spacing w:before="122"/>
              <w:ind w:left="107" w:right="-44"/>
              <w:rPr>
                <w:sz w:val="18"/>
              </w:rPr>
            </w:pPr>
            <w:r>
              <w:rPr>
                <w:sz w:val="18"/>
              </w:rPr>
              <w:t xml:space="preserve">Code is split into reusable functions/modules</w:t>
            </w:r>
          </w:p>
        </w:tc>
        <w:tc>
          <w:tcPr>
            <w:tcW w:w="1700" w:type="dxa"/>
          </w:tcPr>
          <w:p>
            <w:pPr>
              <w:pStyle w:val="TableParagraph"/>
              <w:spacing w:before="122"/>
              <w:ind w:left="1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Yes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One module per task in src/, FastAPI routes in api/main.py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2260" w:type="dxa"/>
          </w:tcPr>
          <w:p>
            <w:pPr>
              <w:pStyle w:val="TableParagraph"/>
              <w:spacing w:before="132"/>
              <w:ind w:left="102"/>
              <w:rPr>
                <w:sz w:val="18"/>
              </w:rPr>
            </w:pPr>
            <w:r>
              <w:rPr>
                <w:sz w:val="18"/>
              </w:rPr>
              <w:t xml:space="preserve">No Redundant Code</w:t>
            </w:r>
          </w:p>
        </w:tc>
        <w:tc>
          <w:tcPr>
            <w:tcW w:w="3120" w:type="dxa"/>
          </w:tcPr>
          <w:p>
            <w:pPr>
              <w:pStyle w:val="TableParagraph"/>
              <w:spacing w:before="132"/>
              <w:ind w:left="107"/>
              <w:rPr>
                <w:sz w:val="18"/>
              </w:rPr>
            </w:pPr>
            <w:r>
              <w:rPr>
                <w:sz w:val="18"/>
              </w:rPr>
              <w:t xml:space="preserve">Duplicate or unused code is removed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Yes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Shared feature code reused by training, API and evaluation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2"/>
              <w:ind w:left="102"/>
              <w:rPr>
                <w:sz w:val="18"/>
              </w:rPr>
            </w:pPr>
            <w:r>
              <w:rPr>
                <w:sz w:val="18"/>
              </w:rPr>
              <w:t xml:space="preserve">Error Handling</w:t>
            </w:r>
          </w:p>
        </w:tc>
        <w:tc>
          <w:tcPr>
            <w:tcW w:w="3120" w:type="dxa"/>
          </w:tcPr>
          <w:p>
            <w:pPr>
              <w:pStyle w:val="TableParagraph"/>
              <w:spacing w:before="122"/>
              <w:ind w:left="107" w:right="-72"/>
              <w:rPr>
                <w:sz w:val="18"/>
              </w:rPr>
            </w:pPr>
            <w:r>
              <w:rPr>
                <w:sz w:val="18"/>
              </w:rPr>
              <w:t xml:space="preserve">Exceptions and errors are handled gracefully</w:t>
            </w:r>
          </w:p>
        </w:tc>
        <w:tc>
          <w:tcPr>
            <w:tcW w:w="1700" w:type="dxa"/>
          </w:tcPr>
          <w:p>
            <w:pPr>
              <w:pStyle w:val="TableParagraph"/>
              <w:spacing w:before="122"/>
              <w:ind w:left="6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Yes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Pydantic validation and template fallback when Gemini fails</w:t>
            </w:r>
          </w:p>
        </w:tc>
      </w:tr>
    </w:tbl>
    <w:p>
      <w:pPr>
        <w:pStyle w:val="BodyText"/>
        <w:rPr>
          <w:rFonts w:ascii="Arial"/>
          <w:b/>
          <w:sz w:val="22"/>
        </w:rPr>
      </w:pPr>
    </w:p>
    <w:p>
      <w:pPr>
        <w:pStyle w:val="BodyText"/>
        <w:spacing w:before="30"/>
        <w:rPr>
          <w:rFonts w:ascii="Arial"/>
          <w:b/>
          <w:sz w:val="22"/>
        </w:rPr>
      </w:pPr>
    </w:p>
    <w:p>
      <w:pPr>
        <w:pStyle w:val="Heading2"/>
        <w:spacing w:after="35"/>
      </w:pPr>
      <w:bookmarkStart w:name="Reusable Components / Modules: " w:id="4"/>
      <w:bookmarkEnd w:id="4"/>
      <w:r>
        <w:rPr>
          <w:b w:val="0"/>
        </w:rPr>
      </w:r>
      <w:r>
        <w:rPr/>
        <w:t>Reusable</w:t>
      </w:r>
      <w:r>
        <w:rPr>
          <w:spacing w:val="-7"/>
        </w:rPr>
        <w:t> </w:t>
      </w:r>
      <w:r>
        <w:rPr/>
        <w:t>Components</w:t>
      </w:r>
      <w:r>
        <w:rPr>
          <w:spacing w:val="-6"/>
        </w:rPr>
        <w:t> </w:t>
      </w:r>
      <w:r>
        <w:rPr/>
        <w:t>/</w:t>
      </w:r>
      <w:r>
        <w:rPr>
          <w:spacing w:val="-6"/>
        </w:rPr>
        <w:t> </w:t>
      </w:r>
      <w:r>
        <w:rPr>
          <w:spacing w:val="-2"/>
        </w:rPr>
        <w:t>Modules: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2540"/>
        <w:gridCol w:w="1980"/>
        <w:gridCol w:w="2560"/>
        <w:gridCol w:w="2660"/>
      </w:tblGrid>
      <w:tr>
        <w:trPr>
          <w:trHeight w:val="859" w:hRule="atLeast"/>
        </w:trPr>
        <w:tc>
          <w:tcPr>
            <w:tcW w:w="580" w:type="dxa"/>
          </w:tcPr>
          <w:p>
            <w:pPr>
              <w:pStyle w:val="TableParagraph"/>
              <w:spacing w:before="40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S.No</w:t>
            </w:r>
          </w:p>
        </w:tc>
        <w:tc>
          <w:tcPr>
            <w:tcW w:w="2540" w:type="dxa"/>
          </w:tcPr>
          <w:p>
            <w:pPr>
              <w:pStyle w:val="TableParagraph"/>
              <w:spacing w:before="40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0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Component / Module </w:t>
            </w:r>
            <w:r>
              <w:rPr>
                <w:rFonts w:ascii="Arial"/>
                <w:b/>
                <w:spacing w:val="-4"/>
                <w:sz w:val="18"/>
              </w:rPr>
              <w:t>Name</w:t>
            </w:r>
          </w:p>
        </w:tc>
        <w:tc>
          <w:tcPr>
            <w:tcW w:w="1980" w:type="dxa"/>
          </w:tcPr>
          <w:p>
            <w:pPr>
              <w:pStyle w:val="TableParagraph"/>
              <w:spacing w:before="40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128" w:right="-7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Language / </w:t>
            </w:r>
            <w:r>
              <w:rPr>
                <w:rFonts w:ascii="Arial"/>
                <w:b/>
                <w:spacing w:val="-2"/>
                <w:sz w:val="18"/>
              </w:rPr>
              <w:t>Technolog</w:t>
            </w:r>
          </w:p>
        </w:tc>
        <w:tc>
          <w:tcPr>
            <w:tcW w:w="2560" w:type="dxa"/>
          </w:tcPr>
          <w:p>
            <w:pPr>
              <w:pStyle w:val="TableParagraph"/>
              <w:spacing w:before="40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ind w:left="5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yWhere </w:t>
            </w:r>
            <w:r>
              <w:rPr>
                <w:rFonts w:ascii="Arial"/>
                <w:b/>
                <w:spacing w:val="-2"/>
                <w:sz w:val="18"/>
              </w:rPr>
              <w:t>Reused</w:t>
            </w:r>
          </w:p>
        </w:tc>
        <w:tc>
          <w:tcPr>
            <w:tcW w:w="2660" w:type="dxa"/>
          </w:tcPr>
          <w:p>
            <w:pPr>
              <w:pStyle w:val="TableParagraph"/>
              <w:spacing w:line="278" w:lineRule="auto" w:before="127"/>
              <w:ind w:left="118" w:right="61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Reusability Level (High</w:t>
            </w:r>
            <w:r>
              <w:rPr>
                <w:rFonts w:ascii="Arial"/>
                <w:b/>
                <w:spacing w:val="-10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/</w:t>
            </w:r>
            <w:r>
              <w:rPr>
                <w:rFonts w:ascii="Arial"/>
                <w:b/>
                <w:spacing w:val="-10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Medium</w:t>
            </w:r>
            <w:r>
              <w:rPr>
                <w:rFonts w:ascii="Arial"/>
                <w:b/>
                <w:spacing w:val="-10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/</w:t>
            </w:r>
            <w:r>
              <w:rPr>
                <w:rFonts w:ascii="Arial"/>
                <w:b/>
                <w:spacing w:val="-10"/>
                <w:sz w:val="18"/>
              </w:rPr>
              <w:t> </w:t>
            </w:r>
            <w:r>
              <w:rPr>
                <w:rFonts w:ascii="Arial"/>
                <w:b/>
                <w:sz w:val="18"/>
              </w:rPr>
              <w:t>Low)</w:t>
            </w:r>
          </w:p>
        </w:tc>
      </w:tr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17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features.py (TF-IDF feature builder)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Python, scikit-learn</w:t>
            </w:r>
          </w:p>
        </w:tc>
        <w:tc>
          <w:tcPr>
            <w:tcW w:w="2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train_classifier.py, evaluate.py, api/main.py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High</w:t>
            </w: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type w:val="continuous"/>
          <w:pgSz w:w="11920" w:h="16840"/>
          <w:pgMar w:top="960" w:bottom="1171" w:left="708" w:right="708"/>
        </w:sectPr>
      </w:pP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2540"/>
        <w:gridCol w:w="1980"/>
        <w:gridCol w:w="2560"/>
        <w:gridCol w:w="2660"/>
      </w:tblGrid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Pydantic request/response schemas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Python, Pydantic</w:t>
            </w:r>
          </w:p>
        </w:tc>
        <w:tc>
          <w:tcPr>
            <w:tcW w:w="2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All five API endpoints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High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gemini.py (cache + fallback phrasing layer)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Python, Gemini API</w:t>
            </w:r>
          </w:p>
        </w:tc>
        <w:tc>
          <w:tcPr>
            <w:tcW w:w="2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/advice endpoint; reusable for any JSON-to-English task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Medium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2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forecast.py (baselines + SARIMAX runner)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Python, statsmodels</w:t>
            </w:r>
          </w:p>
        </w:tc>
        <w:tc>
          <w:tcPr>
            <w:tcW w:w="2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evaluate.py and /forecast endpoint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Medium</w:t>
            </w:r>
          </w:p>
        </w:tc>
      </w:tr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18"/>
              <w:ind w:left="112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54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evaluate.py (--report generator)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Python, matplotlib</w:t>
            </w:r>
          </w:p>
        </w:tc>
        <w:tc>
          <w:tcPr>
            <w:tcW w:w="25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README metrics, VIVA.md, results folder</w:t>
            </w:r>
          </w:p>
        </w:tc>
        <w:tc>
          <w:tcPr>
            <w:tcW w:w="26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Medium</w:t>
            </w:r>
          </w:p>
        </w:tc>
      </w:tr>
    </w:tbl>
    <w:p>
      <w:pPr>
        <w:pStyle w:val="BodyText"/>
        <w:rPr>
          <w:rFonts w:ascii="Arial"/>
          <w:b/>
          <w:sz w:val="22"/>
        </w:rPr>
      </w:pPr>
    </w:p>
    <w:p>
      <w:pPr>
        <w:pStyle w:val="BodyText"/>
        <w:spacing w:before="45"/>
        <w:rPr>
          <w:rFonts w:ascii="Arial"/>
          <w:b/>
          <w:sz w:val="22"/>
        </w:rPr>
      </w:pPr>
    </w:p>
    <w:p>
      <w:pPr>
        <w:pStyle w:val="Heading2"/>
        <w:spacing w:after="38"/>
      </w:pPr>
      <w:bookmarkStart w:name="Overall Code Quality Assessment: " w:id="5"/>
      <w:bookmarkEnd w:id="5"/>
      <w:r>
        <w:rPr>
          <w:b w:val="0"/>
        </w:rPr>
      </w:r>
      <w:r>
        <w:rPr/>
        <w:t>Overall</w:t>
      </w:r>
      <w:r>
        <w:rPr>
          <w:spacing w:val="-6"/>
        </w:rPr>
        <w:t> </w:t>
      </w:r>
      <w:r>
        <w:rPr/>
        <w:t>Code</w:t>
      </w:r>
      <w:r>
        <w:rPr>
          <w:spacing w:val="-6"/>
        </w:rPr>
        <w:t> </w:t>
      </w:r>
      <w:r>
        <w:rPr/>
        <w:t>Quality</w:t>
      </w:r>
      <w:r>
        <w:rPr>
          <w:spacing w:val="-6"/>
        </w:rPr>
        <w:t> </w:t>
      </w:r>
      <w:r>
        <w:rPr>
          <w:spacing w:val="-2"/>
        </w:rPr>
        <w:t>Assessment: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40"/>
        <w:gridCol w:w="1700"/>
        <w:gridCol w:w="5780"/>
      </w:tblGrid>
      <w:tr>
        <w:trPr>
          <w:trHeight w:val="540" w:hRule="atLeast"/>
        </w:trPr>
        <w:tc>
          <w:tcPr>
            <w:tcW w:w="2840" w:type="dxa"/>
          </w:tcPr>
          <w:p>
            <w:pPr>
              <w:pStyle w:val="TableParagraph"/>
              <w:spacing w:before="124"/>
              <w:ind w:left="11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Aspect</w:t>
            </w:r>
          </w:p>
        </w:tc>
        <w:tc>
          <w:tcPr>
            <w:tcW w:w="1700" w:type="dxa"/>
          </w:tcPr>
          <w:p>
            <w:pPr>
              <w:pStyle w:val="TableParagraph"/>
              <w:spacing w:before="124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Rating (1-</w:t>
            </w:r>
            <w:r>
              <w:rPr>
                <w:rFonts w:ascii="Arial"/>
                <w:b/>
                <w:spacing w:val="-5"/>
                <w:sz w:val="18"/>
              </w:rPr>
              <w:t>5)</w:t>
            </w:r>
          </w:p>
        </w:tc>
        <w:tc>
          <w:tcPr>
            <w:tcW w:w="5780" w:type="dxa"/>
          </w:tcPr>
          <w:p>
            <w:pPr>
              <w:pStyle w:val="TableParagraph"/>
              <w:spacing w:before="124"/>
              <w:ind w:left="10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Comments</w:t>
            </w:r>
          </w:p>
        </w:tc>
      </w:tr>
      <w:tr>
        <w:trPr>
          <w:trHeight w:val="520" w:hRule="atLeast"/>
        </w:trPr>
        <w:tc>
          <w:tcPr>
            <w:tcW w:w="2840" w:type="dxa"/>
          </w:tcPr>
          <w:p>
            <w:pPr>
              <w:pStyle w:val="TableParagraph"/>
              <w:spacing w:before="119"/>
              <w:ind w:left="112"/>
              <w:rPr>
                <w:sz w:val="18"/>
              </w:rPr>
            </w:pPr>
            <w:r>
              <w:rPr>
                <w:sz w:val="18"/>
              </w:rPr>
              <w:t>Code Layout &amp; </w:t>
            </w:r>
            <w:r>
              <w:rPr>
                <w:spacing w:val="-2"/>
                <w:sz w:val="18"/>
              </w:rPr>
              <w:t>Structure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Clear folder layout: data, src, models, results, api</w:t>
            </w:r>
          </w:p>
        </w:tc>
      </w:tr>
      <w:tr>
        <w:trPr>
          <w:trHeight w:val="540" w:hRule="atLeast"/>
        </w:trPr>
        <w:tc>
          <w:tcPr>
            <w:tcW w:w="2840" w:type="dxa"/>
          </w:tcPr>
          <w:p>
            <w:pPr>
              <w:pStyle w:val="TableParagraph"/>
              <w:spacing w:before="134"/>
              <w:ind w:left="112"/>
              <w:rPr>
                <w:sz w:val="18"/>
              </w:rPr>
            </w:pPr>
            <w:r>
              <w:rPr>
                <w:spacing w:val="-2"/>
                <w:sz w:val="18"/>
              </w:rPr>
              <w:t>Readability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Descriptive names, typed schemas, seeded random generator</w:t>
            </w:r>
          </w:p>
        </w:tc>
      </w:tr>
      <w:tr>
        <w:trPr>
          <w:trHeight w:val="539" w:hRule="atLeast"/>
        </w:trPr>
        <w:tc>
          <w:tcPr>
            <w:tcW w:w="2840" w:type="dxa"/>
          </w:tcPr>
          <w:p>
            <w:pPr>
              <w:pStyle w:val="TableParagraph"/>
              <w:spacing w:before="129"/>
              <w:ind w:left="112"/>
              <w:rPr>
                <w:sz w:val="18"/>
              </w:rPr>
            </w:pPr>
            <w:r>
              <w:rPr>
                <w:spacing w:val="-2"/>
                <w:sz w:val="18"/>
              </w:rPr>
              <w:t>Reusability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Shared modules reused by training, API and evaluation</w:t>
            </w:r>
          </w:p>
        </w:tc>
      </w:tr>
      <w:tr>
        <w:trPr>
          <w:trHeight w:val="539" w:hRule="atLeast"/>
        </w:trPr>
        <w:tc>
          <w:tcPr>
            <w:tcW w:w="2840" w:type="dxa"/>
          </w:tcPr>
          <w:p>
            <w:pPr>
              <w:pStyle w:val="TableParagraph"/>
              <w:spacing w:before="124"/>
              <w:ind w:left="112"/>
              <w:rPr>
                <w:sz w:val="18"/>
              </w:rPr>
            </w:pPr>
            <w:r>
              <w:rPr>
                <w:sz w:val="18"/>
              </w:rPr>
              <w:t>Documentation / </w:t>
            </w:r>
            <w:r>
              <w:rPr>
                <w:spacing w:val="-2"/>
                <w:sz w:val="18"/>
              </w:rPr>
              <w:t>Comments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README with metrics, VIVA.md with viva questions and answers</w:t>
            </w:r>
          </w:p>
        </w:tc>
      </w:tr>
      <w:tr>
        <w:trPr>
          <w:trHeight w:val="520" w:hRule="atLeast"/>
        </w:trPr>
        <w:tc>
          <w:tcPr>
            <w:tcW w:w="2840" w:type="dxa"/>
          </w:tcPr>
          <w:p>
            <w:pPr>
              <w:pStyle w:val="TableParagraph"/>
              <w:spacing w:before="119"/>
              <w:ind w:left="112"/>
              <w:rPr>
                <w:sz w:val="18"/>
              </w:rPr>
            </w:pPr>
            <w:r>
              <w:rPr>
                <w:sz w:val="18"/>
              </w:rPr>
              <w:t>Overall </w:t>
            </w:r>
            <w:r>
              <w:rPr>
                <w:spacing w:val="-2"/>
                <w:sz w:val="18"/>
              </w:rPr>
              <w:t>Score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4 / 5</w:t>
            </w:r>
          </w:p>
        </w:tc>
        <w:tc>
          <w:tcPr>
            <w:tcW w:w="57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Well structured and reusable, with room for more unit tests</w:t>
            </w:r>
          </w:p>
        </w:tc>
      </w:tr>
    </w:tbl>
    <w:sectPr>
      <w:type w:val="continuous"/>
      <w:pgSz w:w="11920" w:h="16840"/>
      <w:pgMar w:top="94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19"/>
      <w:ind w:right="12"/>
      <w:jc w:val="center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54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Code-Layout, Readability and Reusability</dc:title>
  <dcterms:created xsi:type="dcterms:W3CDTF">2026-09-30T04:49:37Z</dcterms:created>
  <dcterms:modified xsi:type="dcterms:W3CDTF">2026-09-30T04:49:37Z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