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400"/>
        <w:jc w:val="left"/>
      </w:pPr>
      <w:r>
        <w:rPr>
          <w:b/>
          <w:bCs/>
          <w:color w:val="1F3864"/>
          <w:sz w:val="64"/>
          <w:szCs w:val="64"/>
        </w:rPr>
        <w:t xml:space="preserve">IAM Solution Architect</w:t>
      </w:r>
    </w:p>
    <w:p>
      <w:pPr>
        <w:spacing w:after="200"/>
      </w:pPr>
      <w:r>
        <w:rPr>
          <w:b/>
          <w:bCs/>
          <w:color w:val="2E75B6"/>
          <w:sz w:val="64"/>
          <w:szCs w:val="64"/>
        </w:rPr>
        <w:t xml:space="preserve">Mastery Program</w:t>
      </w:r>
    </w:p>
    <w:p>
      <w:pPr>
        <w:pBdr>
          <w:bottom w:val="single" w:color="2E75B6" w:sz="6" w:space="1"/>
        </w:pBdr>
        <w:spacing w:after="120"/>
      </w:pPr>
      <w:r>
        <w:t xml:space="preserve"/>
      </w:r>
    </w:p>
    <w:p>
      <w:pPr>
        <w:spacing w:after="60"/>
      </w:pPr>
      <w:r>
        <w:rPr>
          <w:color w:val="595959"/>
          <w:sz w:val="32"/>
          <w:szCs w:val="32"/>
        </w:rPr>
        <w:t xml:space="preserve">Curriculum &amp; Reference Guide</w:t>
      </w:r>
    </w:p>
    <w:p>
      <w:pPr>
        <w:spacing w:after="600"/>
      </w:pPr>
      <w:r>
        <w:rPr>
          <w:i/>
          <w:iCs/>
          <w:color w:val="595959"/>
          <w:sz w:val="24"/>
          <w:szCs w:val="24"/>
        </w:rPr>
        <w:t xml:space="preserve">From requirement to defensible solution — across IGA, PAM, Access Management, Directory Services, PKI and Identity Proofing.</w:t>
      </w:r>
    </w:p>
    <w:p>
      <w:pPr>
        <w:spacing w:after="120" w:line="276"/>
      </w:pPr>
      <w:r>
        <w:rPr>
          <w:b/>
          <w:bCs/>
        </w:rPr>
        <w:t xml:space="preserve">Prepared for: </w:t>
      </w:r>
      <w:r>
        <w:t xml:space="preserve">Krish — Security Solution Architect</w:t>
      </w:r>
    </w:p>
    <w:p>
      <w:pPr>
        <w:spacing w:after="120" w:line="276"/>
      </w:pPr>
      <w:r>
        <w:rPr>
          <w:b/>
          <w:bCs/>
        </w:rPr>
        <w:t xml:space="preserve">Purpose: </w:t>
      </w:r>
      <w:r>
        <w:t xml:space="preserve">Structured self-study + reusable reference for solutioning, estimation, staffing and proposal work.</w:t>
      </w:r>
    </w:p>
    <w:p>
      <w:pPr>
        <w:spacing w:after="120" w:line="276"/>
      </w:pPr>
      <w:r>
        <w:rPr>
          <w:b/>
          <w:bCs/>
        </w:rPr>
        <w:t xml:space="preserve">Version: </w:t>
      </w:r>
      <w:r>
        <w:t xml:space="preserve">1.0  ·  Module 0 (Foundations) included</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How This Program Works</w:t>
      </w:r>
    </w:p>
    <w:p>
      <w:pPr>
        <w:spacing w:after="120" w:line="276"/>
      </w:pPr>
      <w:r>
        <w:t xml:space="preserve">This guide is both a syllabus and a reference. You will not read it cover to cover. Instead, we move through it one tower at a time in short, repeatable sessions, and you keep this document open as the map. The end state is concrete: given an RFP or a set of requirements, you can identify scope, break it into activities, estimate effort, propose a staffing pyramid, lay out a phase-wise plan, and justify every number to a sceptical reviewer.</w:t>
      </w:r>
    </w:p>
    <w:p>
      <w:pPr>
        <w:pStyle w:val="Heading2"/>
      </w:pPr>
      <w:r>
        <w:t xml:space="preserve">1.1 The learning method</w:t>
      </w:r>
    </w:p>
    <w:p>
      <w:pPr>
        <w:spacing w:after="120" w:line="276"/>
      </w:pPr>
      <w:r>
        <w:t xml:space="preserve">Three principles drive the design:</w:t>
      </w:r>
    </w:p>
    <w:p>
      <w:pPr>
        <w:pStyle w:val="ListParagraph"/>
        <w:numPr>
          <w:ilvl w:val="0"/>
          <w:numId w:val="2"/>
        </w:numPr>
        <w:spacing w:after="60" w:line="264"/>
      </w:pPr>
      <w:r>
        <w:rPr>
          <w:b/>
          <w:bCs/>
        </w:rPr>
        <w:t xml:space="preserve">Layer the foundation first. </w:t>
      </w:r>
      <w:r>
        <w:t xml:space="preserve">Directory Services and Access Management underpin everything else, so we learn them before IGA and PAM, which depend on them.</w:t>
      </w:r>
    </w:p>
    <w:p>
      <w:pPr>
        <w:pStyle w:val="ListParagraph"/>
        <w:numPr>
          <w:ilvl w:val="0"/>
          <w:numId w:val="2"/>
        </w:numPr>
        <w:spacing w:after="60" w:line="264"/>
      </w:pPr>
      <w:r>
        <w:rPr>
          <w:b/>
          <w:bCs/>
        </w:rPr>
        <w:t xml:space="preserve">Learn each tower through one consistent lens. </w:t>
      </w:r>
      <w:r>
        <w:t xml:space="preserve">Every tower module follows the same seven-part template (Section 3), so by the third tower the structure is automatic and comparison across towers becomes easy.</w:t>
      </w:r>
    </w:p>
    <w:p>
      <w:pPr>
        <w:pStyle w:val="ListParagraph"/>
        <w:numPr>
          <w:ilvl w:val="0"/>
          <w:numId w:val="2"/>
        </w:numPr>
        <w:spacing w:after="60" w:line="264"/>
      </w:pPr>
      <w:r>
        <w:rPr>
          <w:b/>
          <w:bCs/>
        </w:rPr>
        <w:t xml:space="preserve">Learn estimation by doing it. </w:t>
      </w:r>
      <w:r>
        <w:t xml:space="preserve">Concepts stick when you immediately turn them into a work-breakdown and an effort number. Each tower ends with a worked estimation example, not just theory.</w:t>
      </w:r>
    </w:p>
    <w:p>
      <w:pPr>
        <w:pStyle w:val="Heading2"/>
      </w:pPr>
      <w:r>
        <w:t xml:space="preserve">1.2 Time commitment</w:t>
      </w:r>
    </w:p>
    <w:p>
      <w:pPr>
        <w:spacing w:after="120" w:line="276"/>
      </w:pPr>
      <w:r>
        <w:t xml:space="preserve">The full program is roughly 75–80 hours of focused learning across fourteen modules. How long that takes in calendar weeks depends on the pace you choose: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rPr>
          <w:tblHeader/>
        </w:trPr>
        <w:tc>
          <w:tcPr>
            <w:tcW w:type="dxa" w:w="312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Pace</w:t>
            </w:r>
          </w:p>
        </w:tc>
        <w:tc>
          <w:tcPr>
            <w:tcW w:type="dxa" w:w="208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Hours / week</w:t>
            </w:r>
          </w:p>
        </w:tc>
        <w:tc>
          <w:tcPr>
            <w:tcW w:type="dxa" w:w="208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Calendar duration</w:t>
            </w:r>
          </w:p>
        </w:tc>
        <w:tc>
          <w:tcPr>
            <w:tcW w:type="dxa" w:w="208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Best when</w:t>
            </w:r>
          </w:p>
        </w:tc>
      </w:tr>
      <w:tr>
        <w:tc>
          <w:tcPr>
            <w:tcW w:type="dxa" w:w="312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bCs/>
                <w:color w:val="000000"/>
                <w:sz w:val="20"/>
                <w:szCs w:val="20"/>
              </w:rPr>
              <w:t xml:space="preserve">Light</w:t>
            </w:r>
          </w:p>
        </w:tc>
        <w:tc>
          <w:tcPr>
            <w:tcW w:type="dxa" w:w="208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~3 hrs</w:t>
            </w:r>
          </w:p>
        </w:tc>
        <w:tc>
          <w:tcPr>
            <w:tcW w:type="dxa" w:w="208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~26–28 weeks</w:t>
            </w:r>
          </w:p>
        </w:tc>
        <w:tc>
          <w:tcPr>
            <w:tcW w:type="dxa" w:w="208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Heavy delivery season; protect against burnout</w:t>
            </w:r>
          </w:p>
        </w:tc>
      </w:tr>
      <w:tr>
        <w:tc>
          <w:tcPr>
            <w:tcW w:type="dxa" w:w="312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tcPr>
          <w:p>
            <w:pPr>
              <w:spacing w:after="20" w:line="252"/>
              <w:jc w:val="left"/>
            </w:pPr>
            <w:r>
              <w:rPr>
                <w:b/>
                <w:bCs/>
                <w:color w:val="000000"/>
                <w:sz w:val="20"/>
                <w:szCs w:val="20"/>
              </w:rPr>
              <w:t xml:space="preserve">Steady (recommended)</w:t>
            </w:r>
          </w:p>
        </w:tc>
        <w:tc>
          <w:tcPr>
            <w:tcW w:type="dxa" w:w="208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tcPr>
          <w:p>
            <w:pPr>
              <w:spacing w:after="20" w:line="252"/>
              <w:jc w:val="left"/>
            </w:pPr>
            <w:r>
              <w:rPr>
                <w:b w:val="false"/>
                <w:bCs w:val="false"/>
                <w:color w:val="000000"/>
                <w:sz w:val="20"/>
                <w:szCs w:val="20"/>
              </w:rPr>
              <w:t xml:space="preserve">~4 hrs</w:t>
            </w:r>
          </w:p>
        </w:tc>
        <w:tc>
          <w:tcPr>
            <w:tcW w:type="dxa" w:w="208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tcPr>
          <w:p>
            <w:pPr>
              <w:spacing w:after="20" w:line="252"/>
              <w:jc w:val="left"/>
            </w:pPr>
            <w:r>
              <w:rPr>
                <w:b w:val="false"/>
                <w:bCs w:val="false"/>
                <w:color w:val="000000"/>
                <w:sz w:val="20"/>
                <w:szCs w:val="20"/>
              </w:rPr>
              <w:t xml:space="preserve">~18–19 weeks</w:t>
            </w:r>
          </w:p>
        </w:tc>
        <w:tc>
          <w:tcPr>
            <w:tcW w:type="dxa" w:w="208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tcPr>
          <w:p>
            <w:pPr>
              <w:spacing w:after="20" w:line="252"/>
              <w:jc w:val="left"/>
            </w:pPr>
            <w:r>
              <w:rPr>
                <w:b w:val="false"/>
                <w:bCs w:val="false"/>
                <w:color w:val="000000"/>
                <w:sz w:val="20"/>
                <w:szCs w:val="20"/>
              </w:rPr>
              <w:t xml:space="preserve">Sustainable alongside client work</w:t>
            </w:r>
          </w:p>
        </w:tc>
      </w:tr>
      <w:tr>
        <w:tc>
          <w:tcPr>
            <w:tcW w:type="dxa" w:w="312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bCs/>
                <w:color w:val="000000"/>
                <w:sz w:val="20"/>
                <w:szCs w:val="20"/>
              </w:rPr>
              <w:t xml:space="preserve">Intensive</w:t>
            </w:r>
          </w:p>
        </w:tc>
        <w:tc>
          <w:tcPr>
            <w:tcW w:type="dxa" w:w="208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~6–7 hrs</w:t>
            </w:r>
          </w:p>
        </w:tc>
        <w:tc>
          <w:tcPr>
            <w:tcW w:type="dxa" w:w="208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~12–13 weeks</w:t>
            </w:r>
          </w:p>
        </w:tc>
        <w:tc>
          <w:tcPr>
            <w:tcW w:type="dxa" w:w="208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Dedicated upskilling window before a bid</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E75B6" w:sz="18"/>
              <w:bottom w:val="none"/>
              <w:right w:val="none"/>
            </w:tcBorders>
            <w:shd w:fill="D9E2F3" w:val="clear"/>
            <w:tcMar>
              <w:top w:type="dxa" w:w="100"/>
              <w:left w:type="dxa" w:w="160"/>
              <w:bottom w:type="dxa" w:w="100"/>
              <w:right w:type="dxa" w:w="140"/>
            </w:tcMar>
          </w:tcPr>
          <w:p>
            <w:pPr>
              <w:spacing w:after="60"/>
            </w:pPr>
            <w:r>
              <w:rPr>
                <w:b/>
                <w:bCs/>
                <w:color w:val="1F3864"/>
              </w:rPr>
              <w:t xml:space="preserve">Recommended cadence</w:t>
            </w:r>
          </w:p>
          <w:p>
            <w:pPr>
              <w:spacing w:after="40" w:line="264"/>
            </w:pPr>
            <w:r>
              <w:rPr>
                <w:sz w:val="21"/>
                <w:szCs w:val="21"/>
              </w:rPr>
              <w:t xml:space="preserve">Three short weekday sessions of 30–40 minutes (one sub-topic each, taught conversationally with a worked example and a reflection prompt), plus one 90-minute weekend consolidation block where we produce that module's reference slide and estimation workbook.</w:t>
            </w:r>
          </w:p>
          <w:p>
            <w:pPr>
              <w:spacing w:after="40" w:line="264"/>
            </w:pPr>
            <w:r>
              <w:rPr>
                <w:sz w:val="21"/>
                <w:szCs w:val="21"/>
              </w:rPr>
              <w:t xml:space="preserve">This fits a deep-work morning block and a study block without competing with delivery commitments. You set the speed — say “next” to continue, “go deeper” to expand, or “estimate this” to jump to a costing exercise.</w:t>
            </w:r>
          </w:p>
        </w:tc>
      </w:tr>
    </w:tbl>
    <w:p>
      <w:pPr>
        <w:pStyle w:val="Heading2"/>
      </w:pPr>
      <w:r>
        <w:t xml:space="preserve">1.3 How we proceed, session by session</w:t>
      </w:r>
    </w:p>
    <w:p>
      <w:pPr>
        <w:pStyle w:val="ListParagraph"/>
        <w:numPr>
          <w:ilvl w:val="0"/>
          <w:numId w:val="3"/>
        </w:numPr>
        <w:spacing w:after="60" w:line="264"/>
      </w:pPr>
      <w:r>
        <w:t xml:space="preserve">You pick (or accept) the next sub-topic from the syllabus.</w:t>
      </w:r>
    </w:p>
    <w:p>
      <w:pPr>
        <w:pStyle w:val="ListParagraph"/>
        <w:numPr>
          <w:ilvl w:val="0"/>
          <w:numId w:val="3"/>
        </w:numPr>
        <w:spacing w:after="60" w:line="264"/>
      </w:pPr>
      <w:r>
        <w:t xml:space="preserve">I teach it in plain language with an analogy and a real-world example, then give one short reflection prompt to check understanding.</w:t>
      </w:r>
    </w:p>
    <w:p>
      <w:pPr>
        <w:pStyle w:val="ListParagraph"/>
        <w:numPr>
          <w:ilvl w:val="0"/>
          <w:numId w:val="3"/>
        </w:numPr>
        <w:spacing w:after="60" w:line="264"/>
      </w:pPr>
      <w:r>
        <w:t xml:space="preserve">At the end of each tower we produce its reusable artefacts: a one-page concept slide, a delivery work-breakdown, and an effort/staffing workbook you can lift into proposals.</w:t>
      </w:r>
    </w:p>
    <w:p>
      <w:pPr>
        <w:pStyle w:val="ListParagraph"/>
        <w:numPr>
          <w:ilvl w:val="0"/>
          <w:numId w:val="3"/>
        </w:numPr>
        <w:spacing w:after="60" w:line="264"/>
      </w:pPr>
      <w:r>
        <w:t xml:space="preserve">We log progress in the companion tracker (the Excel file) so nothing is lost between sessions.</w:t>
      </w:r>
    </w:p>
    <w:p>
      <w:pPr>
        <w:pStyle w:val="ListParagraph"/>
        <w:numPr>
          <w:ilvl w:val="0"/>
          <w:numId w:val="3"/>
        </w:numPr>
        <w:spacing w:after="60" w:line="264"/>
      </w:pPr>
      <w:r>
        <w:t xml:space="preserve">Modules 9–11 then zoom out to consolidate estimation, run operations and commercials across all towers, and Module 12 is a full RFP-to-solution dry run.</w:t>
      </w:r>
    </w:p>
    <w:p>
      <w:r>
        <w:br w:type="page"/>
      </w:r>
    </w:p>
    <w:p>
      <w:pPr>
        <w:pStyle w:val="Heading1"/>
      </w:pPr>
      <w:r>
        <w:t xml:space="preserve">2. The IAM Big Picture (Module 0 — Foundations)</w:t>
      </w:r>
    </w:p>
    <w:p>
      <w:pPr>
        <w:spacing w:after="120" w:line="276"/>
      </w:pPr>
      <w:r>
        <w:t xml:space="preserve">Before the towers, the shape of the whole field. Read this section once now; you will return to it often.</w:t>
      </w:r>
    </w:p>
    <w:p>
      <w:pPr>
        <w:pStyle w:val="Heading2"/>
      </w:pPr>
      <w:r>
        <w:t xml:space="preserve">2.1 What IAM actually is</w:t>
      </w:r>
    </w:p>
    <w:p>
      <w:pPr>
        <w:spacing w:after="120" w:line="276"/>
      </w:pPr>
      <w:r>
        <w:rPr>
          <w:b/>
          <w:bCs/>
          <w:i/>
          <w:iCs/>
        </w:rPr>
        <w:t xml:space="preserve">Analogy. </w:t>
      </w:r>
      <w:r>
        <w:t xml:space="preserve">Think of a large office building. Identity and Access Management is the entire system that decides who is allowed in, which doors each person can open, how the building proves a person is who they claim to be, and how it removes someone’s badge the day they leave. IAM is not one product — it is the discipline of managing digital identities and what they are allowed to do, across every application and system an organisation runs.</w:t>
      </w:r>
    </w:p>
    <w:p>
      <w:pPr>
        <w:spacing w:after="120" w:line="276"/>
      </w:pPr>
      <w:r>
        <w:rPr>
          <w:b/>
          <w:bCs/>
        </w:rPr>
        <w:t xml:space="preserve">The two verbs at its core are authentication and authorization. </w:t>
      </w:r>
      <w:r>
        <w:t xml:space="preserve">Authentication answers “are you who you say you are?” (showing your badge). Authorization answers “now that I know who you are, what are you allowed to do?” (which doors your badge opens). Almost every IAM conversation is ultimately about one of these two questions, plus the administration and governance wrapped around them.</w:t>
      </w:r>
    </w:p>
    <w:p>
      <w:pPr>
        <w:pStyle w:val="Heading2"/>
      </w:pPr>
      <w:r>
        <w:t xml:space="preserve">2.2 The identity lifecycle: Joiner – Mover – Leaver</w:t>
      </w:r>
    </w:p>
    <w:p>
      <w:pPr>
        <w:spacing w:after="120" w:line="276"/>
      </w:pPr>
      <w:r>
        <w:t xml:space="preserve">Every identity in an organisation moves through a lifecycle, and most IAM value is created by managing it well:</w:t>
      </w:r>
    </w:p>
    <w:p>
      <w:pPr>
        <w:pStyle w:val="ListParagraph"/>
        <w:numPr>
          <w:ilvl w:val="0"/>
          <w:numId w:val="2"/>
        </w:numPr>
        <w:spacing w:after="60" w:line="264"/>
      </w:pPr>
      <w:r>
        <w:rPr>
          <w:b/>
          <w:bCs/>
        </w:rPr>
        <w:t xml:space="preserve">Joiner. </w:t>
      </w:r>
      <w:r>
        <w:t xml:space="preserve">A new employee, contractor, partner or service account is created and granted the access appropriate to their role — ideally automatically, on day one.</w:t>
      </w:r>
    </w:p>
    <w:p>
      <w:pPr>
        <w:pStyle w:val="ListParagraph"/>
        <w:numPr>
          <w:ilvl w:val="0"/>
          <w:numId w:val="2"/>
        </w:numPr>
        <w:spacing w:after="60" w:line="264"/>
      </w:pPr>
      <w:r>
        <w:rPr>
          <w:b/>
          <w:bCs/>
        </w:rPr>
        <w:t xml:space="preserve">Mover. </w:t>
      </w:r>
      <w:r>
        <w:t xml:space="preserve">The person changes role, department or manager. Old access should be removed and new access granted — the stage where “access accumulation” (privilege creep) happens if controls are weak.</w:t>
      </w:r>
    </w:p>
    <w:p>
      <w:pPr>
        <w:pStyle w:val="ListParagraph"/>
        <w:numPr>
          <w:ilvl w:val="0"/>
          <w:numId w:val="2"/>
        </w:numPr>
        <w:spacing w:after="60" w:line="264"/>
      </w:pPr>
      <w:r>
        <w:rPr>
          <w:b/>
          <w:bCs/>
        </w:rPr>
        <w:t xml:space="preserve">Leaver. </w:t>
      </w:r>
      <w:r>
        <w:t xml:space="preserve">The person departs. Every credential and entitlement must be revoked promptly — the single most common audit finding when it is not.</w:t>
      </w:r>
    </w:p>
    <w:p>
      <w:pPr>
        <w:spacing w:after="120" w:line="276"/>
      </w:pPr>
      <w:r>
        <w:rPr>
          <w:b/>
          <w:bCs/>
        </w:rPr>
        <w:t xml:space="preserve">Why it matters for solutioning: </w:t>
      </w:r>
      <w:r>
        <w:t xml:space="preserve">most IGA scope, and a large share of run-operations volume, is simply JML executed reliably at scale. When you read an RFP, the maturity of a client’s JML process tells you most of what you need to know about the size of the problem.</w:t>
      </w:r>
    </w:p>
    <w:p>
      <w:pPr>
        <w:pStyle w:val="Heading2"/>
      </w:pPr>
      <w:r>
        <w:t xml:space="preserve">2.3 The six towers and how they fit together</w:t>
      </w:r>
    </w:p>
    <w:p>
      <w:pPr>
        <w:spacing w:after="120" w:line="276"/>
      </w:pPr>
      <w:r>
        <w:t xml:space="preserve">IAM is conventionally divided into towers. They are not independent silos — they stack and feed each other. A useful way to picture it:</w:t>
      </w:r>
    </w:p>
    <w:p>
      <w:pPr>
        <w:pStyle w:val="ListParagraph"/>
        <w:numPr>
          <w:ilvl w:val="0"/>
          <w:numId w:val="2"/>
        </w:numPr>
        <w:spacing w:after="60" w:line="264"/>
      </w:pPr>
      <w:r>
        <w:rPr>
          <w:b/>
          <w:bCs/>
        </w:rPr>
        <w:t xml:space="preserve">Directory Services </w:t>
      </w:r>
      <w:r>
        <w:t xml:space="preserve">is the foundation — the authoritative store of identities and their attributes. Everything else reads from or writes to it.</w:t>
      </w:r>
    </w:p>
    <w:p>
      <w:pPr>
        <w:pStyle w:val="ListParagraph"/>
        <w:numPr>
          <w:ilvl w:val="0"/>
          <w:numId w:val="2"/>
        </w:numPr>
        <w:spacing w:after="60" w:line="264"/>
      </w:pPr>
      <w:r>
        <w:rPr>
          <w:b/>
          <w:bCs/>
        </w:rPr>
        <w:t xml:space="preserve">Access Management (SSO, MFA, Federation) </w:t>
      </w:r>
      <w:r>
        <w:t xml:space="preserve">sits on top of the directory and handles the act of logging in and proving identity at runtime.</w:t>
      </w:r>
    </w:p>
    <w:p>
      <w:pPr>
        <w:pStyle w:val="ListParagraph"/>
        <w:numPr>
          <w:ilvl w:val="0"/>
          <w:numId w:val="2"/>
        </w:numPr>
        <w:spacing w:after="60" w:line="264"/>
      </w:pPr>
      <w:r>
        <w:rPr>
          <w:b/>
          <w:bCs/>
        </w:rPr>
        <w:t xml:space="preserve">Identity Governance &amp; Administration (IGA) </w:t>
      </w:r>
      <w:r>
        <w:t xml:space="preserve">manages the lifecycle and the question “should this person have this access?” — provisioning, access requests, role models and certifications.</w:t>
      </w:r>
    </w:p>
    <w:p>
      <w:pPr>
        <w:pStyle w:val="ListParagraph"/>
        <w:numPr>
          <w:ilvl w:val="0"/>
          <w:numId w:val="2"/>
        </w:numPr>
        <w:spacing w:after="60" w:line="264"/>
      </w:pPr>
      <w:r>
        <w:rPr>
          <w:b/>
          <w:bCs/>
        </w:rPr>
        <w:t xml:space="preserve">Privileged Access Management (PAM) </w:t>
      </w:r>
      <w:r>
        <w:t xml:space="preserve">is the high-security vault for the most powerful accounts (admins, root, service accounts) — credential vaulting, session control and just-in-time access.</w:t>
      </w:r>
    </w:p>
    <w:p>
      <w:pPr>
        <w:pStyle w:val="ListParagraph"/>
        <w:numPr>
          <w:ilvl w:val="0"/>
          <w:numId w:val="2"/>
        </w:numPr>
        <w:spacing w:after="60" w:line="264"/>
      </w:pPr>
      <w:r>
        <w:rPr>
          <w:b/>
          <w:bCs/>
        </w:rPr>
        <w:t xml:space="preserve">PKI &amp; Certificate Lifecycle Management </w:t>
      </w:r>
      <w:r>
        <w:t xml:space="preserve">manages the digital certificates and keys that machines and services use to prove identity and encrypt traffic.</w:t>
      </w:r>
    </w:p>
    <w:p>
      <w:pPr>
        <w:pStyle w:val="ListParagraph"/>
        <w:numPr>
          <w:ilvl w:val="0"/>
          <w:numId w:val="2"/>
        </w:numPr>
        <w:spacing w:after="60" w:line="264"/>
      </w:pPr>
      <w:r>
        <w:rPr>
          <w:b/>
          <w:bCs/>
        </w:rPr>
        <w:t xml:space="preserve">Identity Proofing &amp; Verification </w:t>
      </w:r>
      <w:r>
        <w:t xml:space="preserve">answers “is this real-world person who they claim to be?” at the point of enrolment — increasingly important for customer identity and fraud prevention.</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E75B6" w:sz="18"/>
              <w:bottom w:val="none"/>
              <w:right w:val="none"/>
            </w:tcBorders>
            <w:shd w:fill="D9E2F3" w:val="clear"/>
            <w:tcMar>
              <w:top w:type="dxa" w:w="100"/>
              <w:left w:type="dxa" w:w="160"/>
              <w:bottom w:type="dxa" w:w="100"/>
              <w:right w:type="dxa" w:w="140"/>
            </w:tcMar>
          </w:tcPr>
          <w:p>
            <w:pPr>
              <w:spacing w:after="60"/>
            </w:pPr>
            <w:r>
              <w:rPr>
                <w:b/>
                <w:bCs/>
                <w:color w:val="1F3864"/>
              </w:rPr>
              <w:t xml:space="preserve">How the towers interconnect — a single example</w:t>
            </w:r>
          </w:p>
          <w:p>
            <w:pPr>
              <w:spacing w:after="40" w:line="264"/>
            </w:pPr>
            <w:r>
              <w:rPr>
                <w:sz w:val="21"/>
                <w:szCs w:val="21"/>
              </w:rPr>
              <w:t xml:space="preserve">A new hire is verified by Identity Proofing at onboarding → their identity record is created in the Directory → IGA provisions their birthright access based on role → they log in each day through Access Management with SSO and MFA → when they need admin rights, PAM grants those just-in-time → the laptop and services they use authenticate to each other with certificates from PKI. One person, one day, six towers.</w:t>
            </w:r>
          </w:p>
        </w:tc>
      </w:tr>
    </w:tbl>
    <w:p>
      <w:pPr>
        <w:pStyle w:val="Heading2"/>
      </w:pPr>
      <w:r>
        <w:t xml:space="preserve">2.4 The standards you must recognise</w:t>
      </w:r>
    </w:p>
    <w:p>
      <w:pPr>
        <w:spacing w:after="120" w:line="276"/>
      </w:pPr>
      <w:r>
        <w:t xml:space="preserve">You do not need to implement these by hand, but you must recognise them instantly in an RFP because they determine integration effort: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Standard</w:t>
            </w:r>
          </w:p>
        </w:tc>
        <w:tc>
          <w:tcPr>
            <w:tcW w:type="dxa" w:w="71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What it does (in one line)</w:t>
            </w:r>
          </w:p>
        </w:tc>
      </w:tr>
      <w:tr>
        <w:tc>
          <w:tcPr>
            <w:tcW w:type="dxa" w:w="22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SAML 2.0</w:t>
            </w:r>
          </w:p>
        </w:tc>
        <w:tc>
          <w:tcPr>
            <w:tcW w:type="dxa" w:w="71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XML-based federation for browser SSO; still dominant in enterprise app integrations.</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OIDC / OAuth 2.0</w:t>
            </w:r>
          </w:p>
        </w:tc>
        <w:tc>
          <w:tcPr>
            <w:tcW w:type="dxa" w:w="7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Modern token-based authentication (OIDC) and authorization/delegation (OAuth); default for APIs, mobile and SaaS.</w:t>
            </w:r>
          </w:p>
        </w:tc>
      </w:tr>
      <w:tr>
        <w:tc>
          <w:tcPr>
            <w:tcW w:type="dxa" w:w="22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SCIM</w:t>
            </w:r>
          </w:p>
        </w:tc>
        <w:tc>
          <w:tcPr>
            <w:tcW w:type="dxa" w:w="71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Standard for automated user provisioning/de-provisioning to SaaS applications.</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LDAP</w:t>
            </w:r>
          </w:p>
        </w:tc>
        <w:tc>
          <w:tcPr>
            <w:tcW w:type="dxa" w:w="7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Protocol for querying and modifying directory data; the lingua franca of directories.</w:t>
            </w:r>
          </w:p>
        </w:tc>
      </w:tr>
      <w:tr>
        <w:tc>
          <w:tcPr>
            <w:tcW w:type="dxa" w:w="22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FIDO2 / WebAuthn</w:t>
            </w:r>
          </w:p>
        </w:tc>
        <w:tc>
          <w:tcPr>
            <w:tcW w:type="dxa" w:w="71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Phishing-resistant, passwordless authentication using passkeys and security keys.</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X.509</w:t>
            </w:r>
          </w:p>
        </w:tc>
        <w:tc>
          <w:tcPr>
            <w:tcW w:type="dxa" w:w="7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The certificate format underpinning PKI, TLS and machine identity.</w:t>
            </w:r>
          </w:p>
        </w:tc>
      </w:tr>
      <w:tr>
        <w:tc>
          <w:tcPr>
            <w:tcW w:type="dxa" w:w="22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NIST SP 800-63-4</w:t>
            </w:r>
          </w:p>
        </w:tc>
        <w:tc>
          <w:tcPr>
            <w:tcW w:type="dxa" w:w="71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US digital identity guideline defining assurance levels for proofing (IAL), authentication (AAL) and federation (FAL).</w:t>
            </w:r>
          </w:p>
        </w:tc>
      </w:tr>
    </w:tbl>
    <w:p>
      <w:pPr>
        <w:spacing w:after="60" w:line="276"/>
      </w:pPr>
      <w:r>
        <w:rPr>
          <w:b/>
          <w:bCs/>
        </w:rPr>
        <w:t xml:space="preserve">Rule of thumb: </w:t>
      </w:r>
      <w:r>
        <w:t xml:space="preserve">the number and type of application integrations — and which protocols they speak — is the biggest single driver of effort in an Access Management or IGA estimate. Count the apps, then classify them by protocol.</w:t>
      </w:r>
    </w:p>
    <w:p>
      <w:pPr>
        <w:pStyle w:val="Heading2"/>
      </w:pPr>
      <w:r>
        <w:t xml:space="preserve">2.5 Two things that cut across the towers: CIAM and ISPM</w:t>
      </w:r>
    </w:p>
    <w:p>
      <w:pPr>
        <w:spacing w:after="120" w:line="276"/>
      </w:pPr>
      <w:r>
        <w:t xml:space="preserve">Clients increasingly raise two terms that are not part of the classic six-tower model. It is worth being precise about where they fit, because getting this right in front of a client signals you understand the field, not just the products.</w:t>
      </w:r>
    </w:p>
    <w:p>
      <w:pPr>
        <w:spacing w:after="120" w:line="276"/>
      </w:pPr>
      <w:r>
        <w:rPr>
          <w:b/>
          <w:bCs/>
        </w:rPr>
        <w:t xml:space="preserve">CIAM (Customer / Consumer IAM) is an applied delivery domain, not a new capability tower. </w:t>
      </w:r>
      <w:r>
        <w:t xml:space="preserve">It recombines Access Management, Directory Services and Identity Proofing — plus lightweight governance — but aimed at external/consumer identities rather than employees. What makes it distinct in practice is the requirement set: self-service registration and social login, progressive profiling, consent and privacy management, bot and fraud defence, very large scale (often millions of identities), and usage-based licensing (per monthly active user or per authentication). We teach it as its own module (M7) because the delivery patterns, non-functional requirements and commercials differ enough from workforce IAM to warrant it.</w:t>
      </w:r>
    </w:p>
    <w:p>
      <w:pPr>
        <w:spacing w:after="120" w:line="276"/>
      </w:pPr>
      <w:r>
        <w:rPr>
          <w:b/>
          <w:bCs/>
        </w:rPr>
        <w:t xml:space="preserve">ISPM (Identity Security Posture Management) is a cross-cutting posture layer, not a tower. </w:t>
      </w:r>
      <w:r>
        <w:t xml:space="preserve">It sits over all the towers and continuously assesses identity risk — misconfigurations, stale and orphaned accounts, shadow admins, excessive privilege, weak MFA coverage, risky non-human identities. It has no standalone analyst quadrant; the capability appears inside IGA and Access Management evaluations. It travels with two cousins: ITDR (Identity Threat Detection &amp; Response — the reactive side, detecting and responding to active identity attacks) and CIEM (Cloud Infrastructure Entitlement Management — right-sizing entitlements in AWS/Azure/GCP). We teach ISPM, ITDR and CIEM together as a cross-cutting module (M8).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E75B6" w:sz="18"/>
              <w:bottom w:val="none"/>
              <w:right w:val="none"/>
            </w:tcBorders>
            <w:shd w:fill="D9E2F3" w:val="clear"/>
            <w:tcMar>
              <w:top w:type="dxa" w:w="100"/>
              <w:left w:type="dxa" w:w="160"/>
              <w:bottom w:type="dxa" w:w="100"/>
              <w:right w:type="dxa" w:w="140"/>
            </w:tcMar>
          </w:tcPr>
          <w:p>
            <w:pPr>
              <w:spacing w:after="60"/>
            </w:pPr>
            <w:r>
              <w:rPr>
                <w:b/>
                <w:bCs/>
                <w:color w:val="1F3864"/>
              </w:rPr>
              <w:t xml:space="preserve">How to place CIAM and ISPM in a solution</w:t>
            </w:r>
          </w:p>
          <w:p>
            <w:pPr>
              <w:spacing w:after="40" w:line="264"/>
            </w:pPr>
            <w:r>
              <w:rPr>
                <w:sz w:val="21"/>
                <w:szCs w:val="21"/>
              </w:rPr>
              <w:t xml:space="preserve">When an RFP asks for CIAM, scope it as Access Management + Directory + Proofing for external users, then add the CIAM-specific items (registration/social login, consent, scale, fraud). When it asks for ISPM/ITDR, scope it as an analytics and monitoring layer that reads from the towers you are already building — it rarely stands alone, and it is a strong differentiator when paired with IGA.</w:t>
            </w:r>
          </w:p>
        </w:tc>
      </w:tr>
    </w:tbl>
    <w:p>
      <w:pPr>
        <w:pStyle w:val="Heading2"/>
      </w:pPr>
      <w:r>
        <w:t xml:space="preserve">2.6 Capability towers vs delivery functions</w:t>
      </w:r>
    </w:p>
    <w:p>
      <w:pPr>
        <w:spacing w:after="120" w:line="276"/>
      </w:pPr>
      <w:r>
        <w:t xml:space="preserve">The towers answer “what identity problem are we solving?”. But when you walk into a real IAM organisation you also meet teams called Engineering, Testing, Business Analysis, Audit and Reporting. These are not towers — they are horizontal delivery functions (disciplines) that cut across every tower. Picture a grid: towers run vertically (the what), functions run horizontally (the how). You never build a tower with one team; you build it with engineers, testers, BAs, auditors and reporting analysts all working that tower. A team named “IAM Testing” services every tower, because it is organised by discipline, not by capability.</w:t>
      </w:r>
    </w:p>
    <w:p>
      <w:pPr>
        <w:spacing w:after="120" w:line="276"/>
      </w:pPr>
      <w:r>
        <w:t xml:space="preserve">The eight functions you will see, and where each lives in this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960"/>
        <w:gridCol w:w="3000"/>
      </w:tblGrid>
      <w:tr>
        <w:trPr>
          <w:tblHeader/>
        </w:trPr>
        <w:tc>
          <w:tcPr>
            <w:tcW w:type="dxa" w:w="24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Delivery function</w:t>
            </w:r>
          </w:p>
        </w:tc>
        <w:tc>
          <w:tcPr>
            <w:tcW w:type="dxa" w:w="39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What it does</w:t>
            </w:r>
          </w:p>
        </w:tc>
        <w:tc>
          <w:tcPr>
            <w:tcW w:type="dxa" w:w="30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Where it lives here</w:t>
            </w:r>
          </w:p>
        </w:tc>
      </w:tr>
      <w:tr>
        <w:tc>
          <w:tcPr>
            <w:tcW w:type="dxa" w:w="24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Architecture &amp; design</w:t>
            </w:r>
          </w:p>
        </w:tc>
        <w:tc>
          <w:tcPr>
            <w:tcW w:type="dxa" w:w="39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Solution/integration design, role and policy models, security and HA/DR design.</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Design phase (§6.2); Solution Architect band (§8.2).</w:t>
            </w:r>
          </w:p>
        </w:tc>
      </w:tr>
      <w:t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bCs/>
                <w:color w:val="000000"/>
                <w:sz w:val="20"/>
                <w:szCs w:val="20"/>
              </w:rPr>
              <w:t xml:space="preserve">Business analysis</w:t>
            </w:r>
          </w:p>
        </w:tc>
        <w:tc>
          <w:tcPr>
            <w:tcW w:type="dxa" w:w="39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Workshops, requirements, use-case capture, role/SoD definition, UAT and training support.</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Discovery &amp; Design phases; Run change requests.</w:t>
            </w:r>
          </w:p>
        </w:tc>
      </w:tr>
      <w:tr>
        <w:tc>
          <w:tcPr>
            <w:tcW w:type="dxa" w:w="24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bCs/>
                <w:color w:val="000000"/>
                <w:sz w:val="20"/>
                <w:szCs w:val="20"/>
              </w:rPr>
              <w:t xml:space="preserve">Engineering / build</w:t>
            </w:r>
          </w:p>
        </w:tc>
        <w:tc>
          <w:tcPr>
            <w:tcW w:type="dxa" w:w="39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Connectors, workflows, vault/CA configuration, integrations, custom development.</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Build &amp; Use-case phases; L3 in Run.</w:t>
            </w:r>
          </w:p>
        </w:tc>
      </w:tr>
      <w:t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bCs/>
                <w:color w:val="000000"/>
                <w:sz w:val="20"/>
                <w:szCs w:val="20"/>
              </w:rPr>
              <w:t xml:space="preserve">Testing / QA</w:t>
            </w:r>
          </w:p>
        </w:tc>
        <w:tc>
          <w:tcPr>
            <w:tcW w:type="dxa" w:w="39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Test strategy, case design, defect management, test automation.</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Unit/SIT/UAT phases; regression in Run.</w:t>
            </w:r>
          </w:p>
        </w:tc>
      </w:tr>
      <w:tr>
        <w:tc>
          <w:tcPr>
            <w:tcW w:type="dxa" w:w="24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Project / delivery management</w:t>
            </w:r>
          </w:p>
        </w:tc>
        <w:tc>
          <w:tcPr>
            <w:tcW w:type="dxa" w:w="39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Plan, RAID, governance, status, dependency and stakeholder management.</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Spans all phases; PMO overlay.</w:t>
            </w:r>
          </w:p>
        </w:tc>
      </w:tr>
      <w:t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Operations / run</w:t>
            </w:r>
          </w:p>
        </w:tc>
        <w:tc>
          <w:tcPr>
            <w:tcW w:type="dxa" w:w="39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L1–L3 service delivery, BAU, monitoring, incident and problem management.</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Entire Run framework (§7).</w:t>
            </w:r>
          </w:p>
        </w:tc>
      </w:tr>
      <w:tr>
        <w:tc>
          <w:tcPr>
            <w:tcW w:type="dxa" w:w="24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bCs/>
                <w:color w:val="000000"/>
                <w:sz w:val="20"/>
                <w:szCs w:val="20"/>
              </w:rPr>
              <w:t xml:space="preserve">Audit, risk &amp; compliance</w:t>
            </w:r>
          </w:p>
        </w:tc>
        <w:tc>
          <w:tcPr>
            <w:tcW w:type="dxa" w:w="39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Control mapping, evidence production, audit response, attestation, remediation tracking.</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Design control-mapping; Run evidence/audit support; IGA &amp; ISPM capability.</w:t>
            </w:r>
          </w:p>
        </w:tc>
      </w:tr>
      <w:t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bCs/>
                <w:color w:val="000000"/>
                <w:sz w:val="20"/>
                <w:szCs w:val="20"/>
              </w:rPr>
              <w:t xml:space="preserve">Reporting &amp; analytics</w:t>
            </w:r>
          </w:p>
        </w:tc>
        <w:tc>
          <w:tcPr>
            <w:tcW w:type="dxa" w:w="39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Service/SLA, operational and compliance dashboards; identity analytics.</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Design (reporting requirements); Run service reporting; IGA/ISPM analytics.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E75B6" w:sz="18"/>
              <w:bottom w:val="none"/>
              <w:right w:val="none"/>
            </w:tcBorders>
            <w:shd w:fill="D9E2F3" w:val="clear"/>
            <w:tcMar>
              <w:top w:type="dxa" w:w="100"/>
              <w:left w:type="dxa" w:w="160"/>
              <w:bottom w:type="dxa" w:w="100"/>
              <w:right w:type="dxa" w:w="140"/>
            </w:tcMar>
          </w:tcPr>
          <w:p>
            <w:pPr>
              <w:spacing w:after="60"/>
            </w:pPr>
            <w:r>
              <w:rPr>
                <w:b/>
                <w:bCs/>
                <w:color w:val="1F3864"/>
              </w:rPr>
              <w:t xml:space="preserve">Why this matters for an SA</w:t>
            </w:r>
          </w:p>
          <w:p>
            <w:pPr>
              <w:spacing w:after="40" w:line="264"/>
            </w:pPr>
            <w:r>
              <w:rPr>
                <w:sz w:val="21"/>
                <w:szCs w:val="21"/>
              </w:rPr>
              <w:t xml:space="preserve">You never staff a tower in isolation — you staff the matrix. Your role-wise view in a proposal is the function split (how many engineers, testers, BAs, auditors); your phase-wise view is those same functions arranged over time. Naming the functions explicitly is what lets you defend a shape like “three BAs in discovery, one in build”. Note that Audit and Reporting each have two homes: a product capability (delivered inside IGA/ISPM) and a delivery/run team (evidence, dashboards, audit response). Identity analytics is a capability inside IGA/ISPM, distinct from the Business Analyst role.</w:t>
            </w:r>
          </w:p>
        </w:tc>
      </w:tr>
    </w:tbl>
    <w:p>
      <w:r>
        <w:br w:type="page"/>
      </w:r>
    </w:p>
    <w:p>
      <w:pPr>
        <w:pStyle w:val="Heading1"/>
      </w:pPr>
      <w:r>
        <w:t xml:space="preserve">3. The Tower Teaching Template</w:t>
      </w:r>
    </w:p>
    <w:p>
      <w:pPr>
        <w:spacing w:after="120" w:line="276"/>
      </w:pPr>
      <w:r>
        <w:t xml:space="preserve">Every tower module (Modules 1–8, including M4B) is taught in the same seven parts. Knowing the template in advance means you always know what question we are answering and where a topic fits. CIAM (M7) and ISPM (M8) follow the same lens even though they are a cross-tower domain and a cross-cutting layer rather than classic towers; EPM (M4B) is taught as the endpoint arm of the privileged-access family.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6060"/>
      </w:tblGrid>
      <w:tr>
        <w:trPr>
          <w:tblHeader/>
        </w:trPr>
        <w:tc>
          <w:tcPr>
            <w:tcW w:type="dxa" w:w="7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w:t>
            </w:r>
          </w:p>
        </w:tc>
        <w:tc>
          <w:tcPr>
            <w:tcW w:type="dxa" w:w="26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Part</w:t>
            </w:r>
          </w:p>
        </w:tc>
        <w:tc>
          <w:tcPr>
            <w:tcW w:type="dxa" w:w="60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What it covers</w:t>
            </w:r>
          </w:p>
        </w:tc>
      </w:tr>
      <w:tr>
        <w:tc>
          <w:tcPr>
            <w:tcW w:type="dxa" w:w="7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1</w:t>
            </w:r>
          </w:p>
        </w:tc>
        <w:tc>
          <w:tcPr>
            <w:tcW w:type="dxa" w:w="26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Concepts &amp; capabilities</w:t>
            </w:r>
          </w:p>
        </w:tc>
        <w:tc>
          <w:tcPr>
            <w:tcW w:type="dxa" w:w="60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What the tower does, the core building blocks, and the vocabulary.</w:t>
            </w:r>
          </w:p>
        </w:tc>
      </w:tr>
      <w:tr>
        <w:tc>
          <w:tcPr>
            <w:tcW w:type="dxa" w:w="7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2</w:t>
            </w:r>
          </w:p>
        </w:tc>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Product landscape</w:t>
            </w:r>
          </w:p>
        </w:tc>
        <w:tc>
          <w:tcPr>
            <w:tcW w:type="dxa" w:w="60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Leading products, where each is strong, and product-specific gotchas that change effort.</w:t>
            </w:r>
          </w:p>
        </w:tc>
      </w:tr>
      <w:tr>
        <w:tc>
          <w:tcPr>
            <w:tcW w:type="dxa" w:w="7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3</w:t>
            </w:r>
          </w:p>
        </w:tc>
        <w:tc>
          <w:tcPr>
            <w:tcW w:type="dxa" w:w="26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SI &amp; Transform</w:t>
            </w:r>
          </w:p>
        </w:tc>
        <w:tc>
          <w:tcPr>
            <w:tcW w:type="dxa" w:w="60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Build / migration / upgrade / integration delivery — phases, work-breakdown and effort drivers.</w:t>
            </w:r>
          </w:p>
        </w:tc>
      </w:tr>
      <w:tr>
        <w:tc>
          <w:tcPr>
            <w:tcW w:type="dxa" w:w="7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4</w:t>
            </w:r>
          </w:p>
        </w:tc>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Run / Managed Services</w:t>
            </w:r>
          </w:p>
        </w:tc>
        <w:tc>
          <w:tcPr>
            <w:tcW w:type="dxa" w:w="60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L1–L3 operations, BAU activities, SLAs and the operating model.</w:t>
            </w:r>
          </w:p>
        </w:tc>
      </w:tr>
      <w:tr>
        <w:tc>
          <w:tcPr>
            <w:tcW w:type="dxa" w:w="7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5</w:t>
            </w:r>
          </w:p>
        </w:tc>
        <w:tc>
          <w:tcPr>
            <w:tcW w:type="dxa" w:w="26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Automation &amp; AI</w:t>
            </w:r>
          </w:p>
        </w:tc>
        <w:tc>
          <w:tcPr>
            <w:tcW w:type="dxa" w:w="60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Where to cut volume and effort, and where AI genuinely helps versus hype.</w:t>
            </w:r>
          </w:p>
        </w:tc>
      </w:tr>
      <w:tr>
        <w:tc>
          <w:tcPr>
            <w:tcW w:type="dxa" w:w="7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6</w:t>
            </w:r>
          </w:p>
        </w:tc>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Licensing &amp; commercials</w:t>
            </w:r>
          </w:p>
        </w:tc>
        <w:tc>
          <w:tcPr>
            <w:tcW w:type="dxa" w:w="60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How the products are licensed and the cost levers you can pull.</w:t>
            </w:r>
          </w:p>
        </w:tc>
      </w:tr>
      <w:tr>
        <w:tc>
          <w:tcPr>
            <w:tcW w:type="dxa" w:w="7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7</w:t>
            </w:r>
          </w:p>
        </w:tc>
        <w:tc>
          <w:tcPr>
            <w:tcW w:type="dxa" w:w="26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Worked estimation</w:t>
            </w:r>
          </w:p>
        </w:tc>
        <w:tc>
          <w:tcPr>
            <w:tcW w:type="dxa" w:w="60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A realistic mini-estimate turning the above into effort, roles and a phase plan.</w:t>
            </w:r>
          </w:p>
        </w:tc>
      </w:tr>
    </w:tbl>
    <w:p>
      <w:r>
        <w:br w:type="page"/>
      </w:r>
    </w:p>
    <w:p>
      <w:pPr>
        <w:pStyle w:val="Heading1"/>
      </w:pPr>
      <w:r>
        <w:t xml:space="preserve">4. The Module Syllabus</w:t>
      </w:r>
    </w:p>
    <w:p>
      <w:pPr>
        <w:spacing w:after="120" w:line="276"/>
      </w:pPr>
      <w:r>
        <w:t xml:space="preserve">Fourteen modules, sequenced foundation-up. Hours are focused learning time; treat them as planning figures, not contracts.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1300"/>
        <w:gridCol w:w="3760"/>
      </w:tblGrid>
      <w:tr>
        <w:trPr>
          <w:tblHeader/>
        </w:trPr>
        <w:tc>
          <w:tcPr>
            <w:tcW w:type="dxa" w:w="9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Module</w:t>
            </w:r>
          </w:p>
        </w:tc>
        <w:tc>
          <w:tcPr>
            <w:tcW w:type="dxa" w:w="34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Title</w:t>
            </w:r>
          </w:p>
        </w:tc>
        <w:tc>
          <w:tcPr>
            <w:tcW w:type="dxa" w:w="13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Est. hrs</w:t>
            </w:r>
          </w:p>
        </w:tc>
        <w:tc>
          <w:tcPr>
            <w:tcW w:type="dxa" w:w="37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Core outcome</w:t>
            </w:r>
          </w:p>
        </w:tc>
      </w:tr>
      <w:tr>
        <w:tc>
          <w:tcPr>
            <w:tcW w:type="dxa" w:w="9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bCs/>
                <w:color w:val="000000"/>
                <w:sz w:val="20"/>
                <w:szCs w:val="20"/>
              </w:rPr>
              <w:t xml:space="preserve">M0</w:t>
            </w:r>
          </w:p>
        </w:tc>
        <w:tc>
          <w:tcPr>
            <w:tcW w:type="dxa" w:w="34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Foundations &amp; IAM operating model</w:t>
            </w:r>
          </w:p>
        </w:tc>
        <w:tc>
          <w:tcPr>
            <w:tcW w:type="dxa" w:w="13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3</w:t>
            </w:r>
          </w:p>
        </w:tc>
        <w:tc>
          <w:tcPr>
            <w:tcW w:type="dxa" w:w="37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Speak the language; map any requirement to a tower.</w:t>
            </w:r>
          </w:p>
        </w:tc>
      </w:tr>
      <w:tr>
        <w:tc>
          <w:tcPr>
            <w:tcW w:type="dxa" w:w="9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bCs/>
                <w:color w:val="000000"/>
                <w:sz w:val="20"/>
                <w:szCs w:val="20"/>
              </w:rPr>
              <w:t xml:space="preserve">M1</w:t>
            </w:r>
          </w:p>
        </w:tc>
        <w:tc>
          <w:tcPr>
            <w:tcW w:type="dxa" w:w="3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Directory Services</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4</w:t>
            </w:r>
          </w:p>
        </w:tc>
        <w:tc>
          <w:tcPr>
            <w:tcW w:type="dxa" w:w="3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Design the identity foundation and sync/consolidation approach.</w:t>
            </w:r>
          </w:p>
        </w:tc>
      </w:tr>
      <w:tr>
        <w:tc>
          <w:tcPr>
            <w:tcW w:type="dxa" w:w="9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bCs/>
                <w:color w:val="000000"/>
                <w:sz w:val="20"/>
                <w:szCs w:val="20"/>
              </w:rPr>
              <w:t xml:space="preserve">M2</w:t>
            </w:r>
          </w:p>
        </w:tc>
        <w:tc>
          <w:tcPr>
            <w:tcW w:type="dxa" w:w="34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Access Management (SSO, MFA, Federation, Passwordless)</w:t>
            </w:r>
          </w:p>
        </w:tc>
        <w:tc>
          <w:tcPr>
            <w:tcW w:type="dxa" w:w="13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6</w:t>
            </w:r>
          </w:p>
        </w:tc>
        <w:tc>
          <w:tcPr>
            <w:tcW w:type="dxa" w:w="37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Scope app onboarding and authentication modernisation.</w:t>
            </w:r>
          </w:p>
        </w:tc>
      </w:tr>
      <w:tr>
        <w:tc>
          <w:tcPr>
            <w:tcW w:type="dxa" w:w="9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bCs/>
                <w:color w:val="000000"/>
                <w:sz w:val="20"/>
                <w:szCs w:val="20"/>
              </w:rPr>
              <w:t xml:space="preserve">M3</w:t>
            </w:r>
          </w:p>
        </w:tc>
        <w:tc>
          <w:tcPr>
            <w:tcW w:type="dxa" w:w="3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Identity Governance &amp; Administration (IGA)</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9</w:t>
            </w:r>
          </w:p>
        </w:tc>
        <w:tc>
          <w:tcPr>
            <w:tcW w:type="dxa" w:w="3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Scope JML, access requests, roles and certifications at scale.</w:t>
            </w:r>
          </w:p>
        </w:tc>
      </w:tr>
      <w:tr>
        <w:tc>
          <w:tcPr>
            <w:tcW w:type="dxa" w:w="9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bCs/>
                <w:color w:val="000000"/>
                <w:sz w:val="20"/>
                <w:szCs w:val="20"/>
              </w:rPr>
              <w:t xml:space="preserve">M4</w:t>
            </w:r>
          </w:p>
        </w:tc>
        <w:tc>
          <w:tcPr>
            <w:tcW w:type="dxa" w:w="34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Privileged Access Management (PAM)</w:t>
            </w:r>
          </w:p>
        </w:tc>
        <w:tc>
          <w:tcPr>
            <w:tcW w:type="dxa" w:w="13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8</w:t>
            </w:r>
          </w:p>
        </w:tc>
        <w:tc>
          <w:tcPr>
            <w:tcW w:type="dxa" w:w="37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Scope vaulting, session control and JIT for privileged accounts.</w:t>
            </w:r>
          </w:p>
        </w:tc>
      </w:tr>
      <w:tr>
        <w:tc>
          <w:tcPr>
            <w:tcW w:type="dxa" w:w="9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bCs/>
                <w:color w:val="000000"/>
                <w:sz w:val="20"/>
                <w:szCs w:val="20"/>
              </w:rPr>
              <w:t xml:space="preserve">M4B</w:t>
            </w:r>
          </w:p>
        </w:tc>
        <w:tc>
          <w:tcPr>
            <w:tcW w:type="dxa" w:w="3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Endpoint Privilege Management (EPM)</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5</w:t>
            </w:r>
          </w:p>
        </w:tc>
        <w:tc>
          <w:tcPr>
            <w:tcW w:type="dxa" w:w="3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Scope local-admin removal, application control and elevation across the endpoint estate.</w:t>
            </w:r>
          </w:p>
        </w:tc>
      </w:tr>
      <w:tr>
        <w:tc>
          <w:tcPr>
            <w:tcW w:type="dxa" w:w="9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bCs/>
                <w:color w:val="000000"/>
                <w:sz w:val="20"/>
                <w:szCs w:val="20"/>
              </w:rPr>
              <w:t xml:space="preserve">M5</w:t>
            </w:r>
          </w:p>
        </w:tc>
        <w:tc>
          <w:tcPr>
            <w:tcW w:type="dxa" w:w="34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PKI &amp; Certificate Lifecycle Management</w:t>
            </w:r>
          </w:p>
        </w:tc>
        <w:tc>
          <w:tcPr>
            <w:tcW w:type="dxa" w:w="13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6</w:t>
            </w:r>
          </w:p>
        </w:tc>
        <w:tc>
          <w:tcPr>
            <w:tcW w:type="dxa" w:w="37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Scope CA build/modernisation and certificate automation.</w:t>
            </w:r>
          </w:p>
        </w:tc>
      </w:tr>
      <w:tr>
        <w:tc>
          <w:tcPr>
            <w:tcW w:type="dxa" w:w="9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bCs/>
                <w:color w:val="000000"/>
                <w:sz w:val="20"/>
                <w:szCs w:val="20"/>
              </w:rPr>
              <w:t xml:space="preserve">M6</w:t>
            </w:r>
          </w:p>
        </w:tc>
        <w:tc>
          <w:tcPr>
            <w:tcW w:type="dxa" w:w="3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Identity Proofing &amp; Verification</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4</w:t>
            </w:r>
          </w:p>
        </w:tc>
        <w:tc>
          <w:tcPr>
            <w:tcW w:type="dxa" w:w="3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Scope CIAM proofing to assurance levels and fraud controls.</w:t>
            </w:r>
          </w:p>
        </w:tc>
      </w:tr>
      <w:tr>
        <w:tc>
          <w:tcPr>
            <w:tcW w:type="dxa" w:w="9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bCs/>
                <w:color w:val="000000"/>
                <w:sz w:val="20"/>
                <w:szCs w:val="20"/>
              </w:rPr>
              <w:t xml:space="preserve">M7</w:t>
            </w:r>
          </w:p>
        </w:tc>
        <w:tc>
          <w:tcPr>
            <w:tcW w:type="dxa" w:w="34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Customer Identity &amp; Access Management (CIAM)</w:t>
            </w:r>
          </w:p>
        </w:tc>
        <w:tc>
          <w:tcPr>
            <w:tcW w:type="dxa" w:w="13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5</w:t>
            </w:r>
          </w:p>
        </w:tc>
        <w:tc>
          <w:tcPr>
            <w:tcW w:type="dxa" w:w="37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Scope external/consumer identity, consent and scale.</w:t>
            </w:r>
          </w:p>
        </w:tc>
      </w:tr>
      <w:tr>
        <w:tc>
          <w:tcPr>
            <w:tcW w:type="dxa" w:w="9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bCs/>
                <w:color w:val="000000"/>
                <w:sz w:val="20"/>
                <w:szCs w:val="20"/>
              </w:rPr>
              <w:t xml:space="preserve">M8</w:t>
            </w:r>
          </w:p>
        </w:tc>
        <w:tc>
          <w:tcPr>
            <w:tcW w:type="dxa" w:w="3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Identity Security Posture Management (ISPM, ITDR, CIEM)</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4</w:t>
            </w:r>
          </w:p>
        </w:tc>
        <w:tc>
          <w:tcPr>
            <w:tcW w:type="dxa" w:w="3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Scope posture, threat detection and cloud entitlements across towers.</w:t>
            </w:r>
          </w:p>
        </w:tc>
      </w:tr>
      <w:tr>
        <w:tc>
          <w:tcPr>
            <w:tcW w:type="dxa" w:w="9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bCs/>
                <w:color w:val="000000"/>
                <w:sz w:val="20"/>
                <w:szCs w:val="20"/>
              </w:rPr>
              <w:t xml:space="preserve">M9</w:t>
            </w:r>
          </w:p>
        </w:tc>
        <w:tc>
          <w:tcPr>
            <w:tcW w:type="dxa" w:w="34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Estimation, Staffing &amp; Project Planning</w:t>
            </w:r>
          </w:p>
        </w:tc>
        <w:tc>
          <w:tcPr>
            <w:tcW w:type="dxa" w:w="13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7</w:t>
            </w:r>
          </w:p>
        </w:tc>
        <w:tc>
          <w:tcPr>
            <w:tcW w:type="dxa" w:w="37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Build defensible estimates, pyramids and phase plans cross-tower.</w:t>
            </w:r>
          </w:p>
        </w:tc>
      </w:tr>
      <w:tr>
        <w:tc>
          <w:tcPr>
            <w:tcW w:type="dxa" w:w="9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bCs/>
                <w:color w:val="000000"/>
                <w:sz w:val="20"/>
                <w:szCs w:val="20"/>
              </w:rPr>
              <w:t xml:space="preserve">M10</w:t>
            </w:r>
          </w:p>
        </w:tc>
        <w:tc>
          <w:tcPr>
            <w:tcW w:type="dxa" w:w="3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Run / Managed Services operating model</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6</w:t>
            </w:r>
          </w:p>
        </w:tc>
        <w:tc>
          <w:tcPr>
            <w:tcW w:type="dxa" w:w="3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Design L1–L3 managed services with volume-reduction levers.</w:t>
            </w:r>
          </w:p>
        </w:tc>
      </w:tr>
      <w:tr>
        <w:tc>
          <w:tcPr>
            <w:tcW w:type="dxa" w:w="9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bCs/>
                <w:color w:val="000000"/>
                <w:sz w:val="20"/>
                <w:szCs w:val="20"/>
              </w:rPr>
              <w:t xml:space="preserve">M11</w:t>
            </w:r>
          </w:p>
        </w:tc>
        <w:tc>
          <w:tcPr>
            <w:tcW w:type="dxa" w:w="34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Commercials &amp; Licensing</w:t>
            </w:r>
          </w:p>
        </w:tc>
        <w:tc>
          <w:tcPr>
            <w:tcW w:type="dxa" w:w="13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4</w:t>
            </w:r>
          </w:p>
        </w:tc>
        <w:tc>
          <w:tcPr>
            <w:tcW w:type="dxa" w:w="37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Compare licensing models and shape competitive pricing.</w:t>
            </w:r>
          </w:p>
        </w:tc>
      </w:tr>
      <w:tr>
        <w:tc>
          <w:tcPr>
            <w:tcW w:type="dxa" w:w="9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bCs/>
                <w:color w:val="000000"/>
                <w:sz w:val="20"/>
                <w:szCs w:val="20"/>
              </w:rPr>
              <w:t xml:space="preserve">M12</w:t>
            </w:r>
          </w:p>
        </w:tc>
        <w:tc>
          <w:tcPr>
            <w:tcW w:type="dxa" w:w="3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RFP-to-Solution Capstone</w:t>
            </w:r>
          </w:p>
        </w:tc>
        <w:tc>
          <w:tcPr>
            <w:tcW w:type="dxa" w:w="1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6</w:t>
            </w:r>
          </w:p>
        </w:tc>
        <w:tc>
          <w:tcPr>
            <w:tcW w:type="dxa" w:w="3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Take a sample RFP end-to-end: scope → estimate → staffing → plan → justification.</w:t>
            </w:r>
          </w:p>
        </w:tc>
      </w:tr>
    </w:tbl>
    <w:p>
      <w:pPr>
        <w:spacing w:after="40"/>
      </w:pPr>
      <w:r>
        <w:t xml:space="preserve"/>
      </w:r>
    </w:p>
    <w:p>
      <w:pPr>
        <w:spacing w:after="120" w:line="276"/>
      </w:pPr>
      <w:r>
        <w:rPr>
          <w:b/>
          <w:bCs/>
        </w:rPr>
        <w:t xml:space="preserve">Note on weaving: </w:t>
      </w:r>
      <w:r>
        <w:t xml:space="preserve">SI/Transform, Run, automation/AI, licensing and estimation appear inside every tower module (parts 3–7 of the template). Modules 9–11 are the cross-tower deep dives that consolidate those skills so you can reason about a multi-tower programme as a whole.</w:t>
      </w:r>
    </w:p>
    <w:p>
      <w:r>
        <w:br w:type="page"/>
      </w:r>
    </w:p>
    <w:p>
      <w:pPr>
        <w:pStyle w:val="Heading1"/>
      </w:pPr>
      <w:r>
        <w:t xml:space="preserve">5. Product Landscape by Tower</w:t>
      </w:r>
    </w:p>
    <w:p>
      <w:pPr>
        <w:spacing w:after="120" w:line="276"/>
      </w:pPr>
      <w:r>
        <w:t xml:space="preserve">A current, vendor-neutral reference. We will go deeper per tower; this is the map and the naming you must get right in front of clients. Market positions reflect 2025–2026 analyst coverage and are summarised, not endorsements.</w:t>
      </w:r>
    </w:p>
    <w:p>
      <w:pPr>
        <w:pStyle w:val="Heading2"/>
      </w:pPr>
      <w:r>
        <w:t xml:space="preserve">5.1 Directory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Product</w:t>
            </w:r>
          </w:p>
        </w:tc>
        <w:tc>
          <w:tcPr>
            <w:tcW w:type="dxa" w:w="30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Type / deployment</w:t>
            </w:r>
          </w:p>
        </w:tc>
        <w:tc>
          <w:tcPr>
            <w:tcW w:type="dxa" w:w="33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Notes</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Microsoft Entra ID (formerly Azure AD)</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Cloud identity directory</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Default for Microsoft 365 estates; the rebrand from “Azure AD” is recent — use the current name.</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Active Directory Domain Services (AD DS)</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On-premises directory</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Still the backbone of most enterprises; usually synced to Entra ID.</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Okta Universal Directory</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Cloud directory</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Common in cloud-first and multi-SaaS organisations.</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Ping (PingDirectory)</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On-prem / hybrid</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High-scale directory; strong in CIAM and telco/finance.</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Oracle Unified / Internet Directory</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On-prem / hybrid</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Found in large Oracle estates.</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Radiant Logic</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Virtual directory / identity data fabric</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Consolidates many sources into one logical view — useful in M&amp;A and messy estates.</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OpenLDAP, 389 DS</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Open source</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Cost-sensitive or Linux-centric environments.</w:t>
            </w:r>
          </w:p>
        </w:tc>
      </w:tr>
    </w:tbl>
    <w:p>
      <w:pPr>
        <w:pStyle w:val="Heading2"/>
      </w:pPr>
      <w:r>
        <w:t xml:space="preserve">5.2 Access Management (SSO, MFA, Federation)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Product</w:t>
            </w:r>
          </w:p>
        </w:tc>
        <w:tc>
          <w:tcPr>
            <w:tcW w:type="dxa" w:w="30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Position</w:t>
            </w:r>
          </w:p>
        </w:tc>
        <w:tc>
          <w:tcPr>
            <w:tcW w:type="dxa" w:w="33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Notes</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bCs/>
                <w:color w:val="000000"/>
                <w:sz w:val="20"/>
                <w:szCs w:val="20"/>
              </w:rPr>
              <w:t xml:space="preserve">Microsoft Entra ID</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Market leader</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Conditional Access, MFA, SSO; strongest inside the Microsoft ecosystem.</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bCs/>
                <w:color w:val="000000"/>
                <w:sz w:val="20"/>
                <w:szCs w:val="20"/>
              </w:rPr>
              <w:t xml:space="preserve">Okta</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Market leader</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Workforce + Customer Identity; broad SaaS integration network. Owns Auth0 (CIAM).</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bCs/>
                <w:color w:val="000000"/>
                <w:sz w:val="20"/>
                <w:szCs w:val="20"/>
              </w:rPr>
              <w:t xml:space="preserve">Ping Identity</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Market leader</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PingOne / PingFederate / PingAccess; absorbed ForgeRock under Thoma Bravo.</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IBM Security Verify</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Established</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Strong in regulated and hybrid enterprises.</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Cisco Duo</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MFA specialist</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Widely used for MFA and device trust.</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RSA SecurID</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MFA / token heritage</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Legacy strong base in finance and government.</w:t>
            </w:r>
          </w:p>
        </w:tc>
      </w:tr>
    </w:tbl>
    <w:p>
      <w:pPr>
        <w:pStyle w:val="Heading2"/>
      </w:pPr>
      <w:r>
        <w:t xml:space="preserve">5.3 Identity Governance &amp; Administration (IGA)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Product</w:t>
            </w:r>
          </w:p>
        </w:tc>
        <w:tc>
          <w:tcPr>
            <w:tcW w:type="dxa" w:w="30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Position</w:t>
            </w:r>
          </w:p>
        </w:tc>
        <w:tc>
          <w:tcPr>
            <w:tcW w:type="dxa" w:w="33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Notes</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bCs/>
                <w:color w:val="000000"/>
                <w:sz w:val="20"/>
                <w:szCs w:val="20"/>
              </w:rPr>
              <w:t xml:space="preserve">SailPoint</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Market leader</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Identity Security Cloud (SaaS) and IdentityIQ (software); deep governance and analytics.</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bCs/>
                <w:color w:val="000000"/>
                <w:sz w:val="20"/>
                <w:szCs w:val="20"/>
              </w:rPr>
              <w:t xml:space="preserve">Saviynt</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Leader / Customers’ Choice</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Cloud-native; converges IGA with PAM and CIEM on one platform.</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Microsoft Entra ID Governance</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Fast-growing</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Native to Microsoft estates; entitlement management and access reviews.</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One Identity (Identity Manager)</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Established</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Strong in complex on-prem and hybrid.</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Omada Identity</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Established</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Microsoft-aligned, configuration-led delivery.</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Oracle Identity Governance (OIG/OIM)</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Legacy enterprise</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Large installed base; heavy customisation in older deployments.</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SAP Cloud IAG, IBM Verify Governance</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Niche / ecosystem</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Found where the wider vendor stack already dominates.</w:t>
            </w:r>
          </w:p>
        </w:tc>
      </w:tr>
    </w:tbl>
    <w:p>
      <w:pPr>
        <w:pStyle w:val="Heading2"/>
      </w:pPr>
      <w:r>
        <w:t xml:space="preserve">5.4 Privileged Access Management (PAM)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Product</w:t>
            </w:r>
          </w:p>
        </w:tc>
        <w:tc>
          <w:tcPr>
            <w:tcW w:type="dxa" w:w="30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Position</w:t>
            </w:r>
          </w:p>
        </w:tc>
        <w:tc>
          <w:tcPr>
            <w:tcW w:type="dxa" w:w="33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Notes</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bCs/>
                <w:color w:val="000000"/>
                <w:sz w:val="20"/>
                <w:szCs w:val="20"/>
              </w:rPr>
              <w:t xml:space="preserve">CyberArk</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Leader (vision)</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Broadest capability incl. secrets and workload identity; CORA AI features.</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bCs/>
                <w:color w:val="000000"/>
                <w:sz w:val="20"/>
                <w:szCs w:val="20"/>
              </w:rPr>
              <w:t xml:space="preserve">BeyondTrust</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Leader (execution)</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Strong customer experience; initial setup can be complex.</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bCs/>
                <w:color w:val="000000"/>
                <w:sz w:val="20"/>
                <w:szCs w:val="20"/>
              </w:rPr>
              <w:t xml:space="preserve">Delinea</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Leader</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Ease-of-use focus; runtime AI authorization for cloud.</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One Identity (Safeguard)</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Strong challenger</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Often bundled with its IGA.</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Wallix, ARCON</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Regional / mid-market</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Competitive on price and specific geographies.</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ManageEngine PAM360</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Mid-market</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Cost-effective for smaller estates.</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Saviynt PAM</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Challenger</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Attractive when converging with Saviynt IGA.</w:t>
            </w:r>
          </w:p>
        </w:tc>
      </w:tr>
    </w:tbl>
    <w:p>
      <w:pPr>
        <w:pStyle w:val="Heading2"/>
      </w:pPr>
      <w:r>
        <w:t xml:space="preserve">5.4B Endpoint Privilege Management (EPM)</w:t>
      </w:r>
    </w:p>
    <w:p>
      <w:pPr>
        <w:spacing w:after="120" w:line="276"/>
      </w:pPr>
      <w:r>
        <w:t xml:space="preserve">EPM is privilege elevation and delegation (PEDM) applied to the endpoint estate — sometimes called “endpoint PAM”. It removes standing local admin rights and elevates specific applications/tasks just-in-time per policy, with application control (allow / elevate / block / restrict, plus ring-fencing). The big three PAM vendors all ship mature EPM; specialists and the Microsoft-native option round out the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Product</w:t>
            </w:r>
          </w:p>
        </w:tc>
        <w:tc>
          <w:tcPr>
            <w:tcW w:type="dxa" w:w="30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Position</w:t>
            </w:r>
          </w:p>
        </w:tc>
        <w:tc>
          <w:tcPr>
            <w:tcW w:type="dxa" w:w="33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Notes</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bCs/>
                <w:color w:val="000000"/>
                <w:sz w:val="20"/>
                <w:szCs w:val="20"/>
              </w:rPr>
              <w:t xml:space="preserve">CyberArk Endpoint Privilege Manager</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Leader</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SaaS; local-admin removal, app control/ring-fencing, threat protection; Windows, macOS, Linux.</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bCs/>
                <w:color w:val="000000"/>
                <w:sz w:val="20"/>
                <w:szCs w:val="20"/>
              </w:rPr>
              <w:t xml:space="preserve">BeyondTrust Endpoint Privilege Management</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Leader</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Mature, deep policy engine; Windows/Mac/Unix-Linux (formerly Avecto Defendpoint).</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bCs/>
                <w:color w:val="000000"/>
                <w:sz w:val="20"/>
                <w:szCs w:val="20"/>
              </w:rPr>
              <w:t xml:space="preserve">Delinea Privilege Manager</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Leader / mid-market</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App control + endpoint least privilege (formerly Thycotic); sits beside its PAM.</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ThreatLocker</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Specialist</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Application allow-listing and ring-fencing; deny-by-default Zero Trust posture.</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Admin By Request</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Specialist</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Fast deployment, clean UX, cross-platform; can grant time-boxed admin sessions.</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Microsoft Intune Endpoint Privilege Management</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Native (MS stack)</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Add-on in the Intune Suite; Windows-only today; strong for Microsoft-stack, SMB and government.</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Securden, Action1, ManageEngine</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Mid-market</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Cost-effective endpoint least-privilege options.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E75B6" w:sz="18"/>
              <w:bottom w:val="none"/>
              <w:right w:val="none"/>
            </w:tcBorders>
            <w:shd w:fill="D9E2F3" w:val="clear"/>
            <w:tcMar>
              <w:top w:type="dxa" w:w="100"/>
              <w:left w:type="dxa" w:w="160"/>
              <w:bottom w:type="dxa" w:w="100"/>
              <w:right w:type="dxa" w:w="140"/>
            </w:tcMar>
          </w:tcPr>
          <w:p>
            <w:pPr>
              <w:spacing w:after="60"/>
            </w:pPr>
            <w:r>
              <w:rPr>
                <w:b/>
                <w:bCs/>
                <w:color w:val="1F3864"/>
              </w:rPr>
              <w:t xml:space="preserve">How to place EPM in a solution</w:t>
            </w:r>
          </w:p>
          <w:p>
            <w:pPr>
              <w:spacing w:after="40" w:line="264"/>
            </w:pPr>
            <w:r>
              <w:rPr>
                <w:sz w:val="21"/>
                <w:szCs w:val="21"/>
              </w:rPr>
              <w:t xml:space="preserve">PAM and EPM are two arms of the same family and are best scoped together: PAM secures privileged accounts, secrets and server sessions (the “keys to the kingdom”); EPM enforces least privilege across the broad endpoint estate by removing local admin and elevating per application. The decisive estimate driver is the endpoint count and OS mix, and the rollout almost always runs in audit/learning mode first (to build allow-lists from real usage) before enforcing — price that phasing explicitly.</w:t>
            </w:r>
          </w:p>
        </w:tc>
      </w:tr>
    </w:tbl>
    <w:p>
      <w:pPr>
        <w:pStyle w:val="Heading2"/>
      </w:pPr>
      <w:r>
        <w:t xml:space="preserve">5.5 PKI &amp; Certificate Lifecycle Management (CLM)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Product</w:t>
            </w:r>
          </w:p>
        </w:tc>
        <w:tc>
          <w:tcPr>
            <w:tcW w:type="dxa" w:w="30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Role</w:t>
            </w:r>
          </w:p>
        </w:tc>
        <w:tc>
          <w:tcPr>
            <w:tcW w:type="dxa" w:w="33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Notes</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Microsoft AD CS</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On-prem Certificate Authority</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Ubiquitous internal CA; often the thing being modernised.</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CyberArk Certificate Manager (formerly Venafi)</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CLM / machine identity</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CyberArk acquired Venafi in 2024; large-scale machine identity governance.</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Keyfactor (Command + EJBCA)</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CLM + CA</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Deep AD CS support; strong post-quantum readiness.</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DigiCert (CertCentral / Trust Lifecycle Manager)</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CA + CLM</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Strong if already a DigiCert certificate customer.</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AppViewX (AVX ONE)</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CLM automation</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Excellent network-device and DevOps workflow automation.</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Sectigo, Entrust</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CA + CLM</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CA-integrated lifecycle management.</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HashiCorp Vault PKI</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Short-lived certs</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API-driven, on-demand certificates for cloud-native workloads.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E75B6" w:sz="18"/>
              <w:bottom w:val="none"/>
              <w:right w:val="none"/>
            </w:tcBorders>
            <w:shd w:fill="FFF2CC" w:val="clear"/>
            <w:tcMar>
              <w:top w:type="dxa" w:w="100"/>
              <w:left w:type="dxa" w:w="160"/>
              <w:bottom w:type="dxa" w:w="100"/>
              <w:right w:type="dxa" w:w="140"/>
            </w:tcMar>
          </w:tcPr>
          <w:p>
            <w:pPr>
              <w:spacing w:after="60"/>
            </w:pPr>
            <w:r>
              <w:rPr>
                <w:b/>
                <w:bCs/>
                <w:color w:val="1F3864"/>
              </w:rPr>
              <w:t xml:space="preserve">Why PKI is suddenly urgent</w:t>
            </w:r>
          </w:p>
          <w:p>
            <w:pPr>
              <w:spacing w:after="40" w:line="264"/>
            </w:pPr>
            <w:r>
              <w:rPr>
                <w:sz w:val="21"/>
                <w:szCs w:val="21"/>
              </w:rPr>
              <w:t xml:space="preserve">The CA/Browser Forum is cutting the maximum life of public TLS certificates from ~398 days toward 200 days (2026), 100 days (2027) and 47 days (2029). That roughly multiplies renewal frequency by eight, so manual, spreadsheet-tracked renewal breaks. Automated discovery and renewal move from “nice to have” to mandatory — which is a recurring driver in PKI/CLM proposals.</w:t>
            </w:r>
          </w:p>
        </w:tc>
      </w:tr>
    </w:tbl>
    <w:p>
      <w:pPr>
        <w:pStyle w:val="Heading2"/>
      </w:pPr>
      <w:r>
        <w:t xml:space="preserve">5.6 Identity Proofing &amp; Verification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Product</w:t>
            </w:r>
          </w:p>
        </w:tc>
        <w:tc>
          <w:tcPr>
            <w:tcW w:type="dxa" w:w="30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Focus</w:t>
            </w:r>
          </w:p>
        </w:tc>
        <w:tc>
          <w:tcPr>
            <w:tcW w:type="dxa" w:w="33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Notes</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Onfido (now Entrust)</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Document + biometric proofing</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Acquired by Entrust; common in CIAM onboarding.</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Jumio</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Document + liveness</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Broad regulated-industry use.</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Socure</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Identity verification + fraud</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Strong analytics/fraud signal in financial services.</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ID.me</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Federated proofing</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Large-scale government and consumer use (US).</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Incode, iProov, Persona, AU10TIX</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Biometrics / orchestration</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Liveness, deepfake resistance and verification orchestration.</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Microsoft Entra Verified ID</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Verifiable credentials</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Reusable, wallet-based credentials within the Microsoft ecosystem.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E75B6" w:sz="18"/>
              <w:bottom w:val="none"/>
              <w:right w:val="none"/>
            </w:tcBorders>
            <w:shd w:fill="D9E2F3" w:val="clear"/>
            <w:tcMar>
              <w:top w:type="dxa" w:w="100"/>
              <w:left w:type="dxa" w:w="160"/>
              <w:bottom w:type="dxa" w:w="100"/>
              <w:right w:type="dxa" w:w="140"/>
            </w:tcMar>
          </w:tcPr>
          <w:p>
            <w:pPr>
              <w:spacing w:after="60"/>
            </w:pPr>
            <w:r>
              <w:rPr>
                <w:b/>
                <w:bCs/>
                <w:color w:val="1F3864"/>
              </w:rPr>
              <w:t xml:space="preserve">What changed in the standard</w:t>
            </w:r>
          </w:p>
          <w:p>
            <w:pPr>
              <w:spacing w:after="40" w:line="264"/>
            </w:pPr>
            <w:r>
              <w:rPr>
                <w:sz w:val="21"/>
                <w:szCs w:val="21"/>
              </w:rPr>
              <w:t xml:space="preserve">NIST finalised SP 800-63 Revision 4 in mid-2025 (it supersedes Revision 3). It restructures identity proofing into four types — Remote Unattended, Remote Attended, Onsite Unattended, Onsite Attended — and adds explicit controls for injection attacks and forged media (deepfakes), plus support for syncable passkeys and user-controlled wallets. When a requirement cites an assurance level (IAL/AAL/FAL), it is pointing at this document.</w:t>
            </w:r>
          </w:p>
        </w:tc>
      </w:tr>
    </w:tbl>
    <w:p>
      <w:pPr>
        <w:pStyle w:val="Heading2"/>
      </w:pPr>
      <w:r>
        <w:t xml:space="preserve">5.7 CIAM (Customer / Consumer Identity)</w:t>
      </w:r>
    </w:p>
    <w:p>
      <w:pPr>
        <w:spacing w:after="120" w:line="276"/>
      </w:pPr>
      <w:r>
        <w:t xml:space="preserve">CIAM is delivered on Access Management and Directory platforms tuned for external scale, so several names overlap with the Access Management table — but the product editions and licensing differ.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Product</w:t>
            </w:r>
          </w:p>
        </w:tc>
        <w:tc>
          <w:tcPr>
            <w:tcW w:type="dxa" w:w="30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Position</w:t>
            </w:r>
          </w:p>
        </w:tc>
        <w:tc>
          <w:tcPr>
            <w:tcW w:type="dxa" w:w="33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Notes</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bCs/>
                <w:color w:val="000000"/>
                <w:sz w:val="20"/>
                <w:szCs w:val="20"/>
              </w:rPr>
              <w:t xml:space="preserve">Okta Customer Identity / Auth0</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Leader</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Auth0 (developer-first) sits under Okta; broad integration network.</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bCs/>
                <w:color w:val="000000"/>
                <w:sz w:val="20"/>
                <w:szCs w:val="20"/>
              </w:rPr>
              <w:t xml:space="preserve">Ping Identity (+ ForgeRock)</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Leader</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Flexible authentication; high-scale CIAM in telco/finance.</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bCs/>
                <w:color w:val="000000"/>
                <w:sz w:val="20"/>
                <w:szCs w:val="20"/>
              </w:rPr>
              <w:t xml:space="preserve">Microsoft Entra External ID</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Leader</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Replaced Azure AD B2C; deep Microsoft-ecosystem integration.</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Thales OneWelcome</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Established</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Strong on consent, privacy and regulatory compliance.</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Transmit Security, SAP CDC (ex-Gigya)</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Established</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Fraud-aware CIAM; SAP CDC common in retail/B2C.</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AWS Cognito, LoginRadius, Frontegg, Descope</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Cloud / developer</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Cloud-native and developer-first options for B2C/B2B SaaS.</w:t>
            </w:r>
          </w:p>
        </w:tc>
      </w:tr>
    </w:tbl>
    <w:p>
      <w:pPr>
        <w:spacing w:after="120" w:line="276"/>
      </w:pPr>
      <w:r>
        <w:rPr>
          <w:b/>
          <w:bCs/>
        </w:rPr>
        <w:t xml:space="preserve">Licensing watch-out: </w:t>
      </w:r>
      <w:r>
        <w:t xml:space="preserve">CIAM is usually priced per monthly active user (MAU) or per authentication, not per named user — so the cost model swings on traffic, not headcount. Always pin down the MAU definition and peak-load assumptions.</w:t>
      </w:r>
    </w:p>
    <w:p>
      <w:pPr>
        <w:pStyle w:val="Heading2"/>
      </w:pPr>
      <w:r>
        <w:t xml:space="preserve">5.8 ISPM, ITDR &amp; CIEM (cross-cutting)</w:t>
      </w:r>
    </w:p>
    <w:p>
      <w:pPr>
        <w:spacing w:after="120" w:line="276"/>
      </w:pPr>
      <w:r>
        <w:t xml:space="preserve">These are posture and threat layers over the towers, not standalone towers. There is no dedicated Magic Quadrant; capabilities appear inside IGA and Access Management coverage and in the Hype Cycle for Digital Identity. Many tools converge ISPM, ITDR and CIEM on one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Product</w:t>
            </w:r>
          </w:p>
        </w:tc>
        <w:tc>
          <w:tcPr>
            <w:tcW w:type="dxa" w:w="30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Type</w:t>
            </w:r>
          </w:p>
        </w:tc>
        <w:tc>
          <w:tcPr>
            <w:tcW w:type="dxa" w:w="33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Notes</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Microsoft (Entra posture + ITDR)</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Native</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Posture and identity threat detection within Microsoft estates.</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Silverfort</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Specialist</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Inline AD analysis; strong on non-human identity and posture.</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CrowdStrike Falcon Identity</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Specialist</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Unified ISPM, CIEM and ITDR from one platform.</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Radiant Logic</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Specialist</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Identity data fabric feeding posture analytics.</w:t>
            </w:r>
          </w:p>
        </w:tc>
      </w:tr>
      <w:tr>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SailPoint, Saviynt (ISPM), Veza</w:t>
            </w:r>
          </w:p>
        </w:tc>
        <w:tc>
          <w:tcPr>
            <w:tcW w:type="dxa" w:w="30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From IGA</w:t>
            </w:r>
          </w:p>
        </w:tc>
        <w:tc>
          <w:tcPr>
            <w:tcW w:type="dxa" w:w="33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Posture/analytics that extend governance platforms.</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Okta, One Identity, Palo Alto</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Adjacent</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Posture and threat features bundled with broader suites.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E75B6" w:sz="18"/>
              <w:bottom w:val="none"/>
              <w:right w:val="none"/>
            </w:tcBorders>
            <w:shd w:fill="D9E2F3" w:val="clear"/>
            <w:tcMar>
              <w:top w:type="dxa" w:w="100"/>
              <w:left w:type="dxa" w:w="160"/>
              <w:bottom w:type="dxa" w:w="100"/>
              <w:right w:type="dxa" w:w="140"/>
            </w:tcMar>
          </w:tcPr>
          <w:p>
            <w:pPr>
              <w:spacing w:after="60"/>
            </w:pPr>
            <w:r>
              <w:rPr>
                <w:b/>
                <w:bCs/>
                <w:color w:val="1F3864"/>
              </w:rPr>
              <w:t xml:space="preserve">Where the trio differ</w:t>
            </w:r>
          </w:p>
          <w:p>
            <w:pPr>
              <w:spacing w:after="40" w:line="264"/>
            </w:pPr>
            <w:r>
              <w:rPr>
                <w:sz w:val="21"/>
                <w:szCs w:val="21"/>
              </w:rPr>
              <w:t xml:space="preserve">ISPM is proactive — it finds risky configuration and excess access before an attack. ITDR is reactive — it detects and responds to live identity attacks (credential theft, privilege escalation). CIEM is cloud-specific — it right-sizes entitlements across AWS, Azure and GCP. IGA, by contrast, governs access on scheduled review cycles. In a proposal, position ISPM/ITDR as the always-on monitoring layer that reads from the IGA, PAM and directory you are already standing up.</w:t>
            </w:r>
          </w:p>
        </w:tc>
      </w:tr>
    </w:tbl>
    <w:p>
      <w:r>
        <w:br w:type="page"/>
      </w:r>
    </w:p>
    <w:p>
      <w:pPr>
        <w:pStyle w:val="Heading1"/>
      </w:pPr>
      <w:r>
        <w:t xml:space="preserve">6. SI &amp; Transform Delivery Framework</w:t>
      </w:r>
    </w:p>
    <w:p>
      <w:pPr>
        <w:spacing w:after="120" w:line="276"/>
      </w:pPr>
      <w:r>
        <w:t xml:space="preserve">“SI &amp; Transform” covers the project work that builds or changes capability, as opposed to running it day to day. This framework is the same across every tower; only the content of each phase changes.</w:t>
      </w:r>
    </w:p>
    <w:p>
      <w:pPr>
        <w:pStyle w:val="Heading2"/>
      </w:pPr>
      <w:r>
        <w:t xml:space="preserve">6.1 The project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Type</w:t>
            </w:r>
          </w:p>
        </w:tc>
        <w:tc>
          <w:tcPr>
            <w:tcW w:type="dxa" w:w="67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What it means</w:t>
            </w:r>
          </w:p>
        </w:tc>
      </w:tr>
      <w:tr>
        <w:tc>
          <w:tcPr>
            <w:tcW w:type="dxa" w:w="26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Greenfield / new build</w:t>
            </w:r>
          </w:p>
        </w:tc>
        <w:tc>
          <w:tcPr>
            <w:tcW w:type="dxa" w:w="67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Stand up a capability that does not exist yet (e.g. first IGA platform).</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Migration</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Move from one product or version to another (e.g. OIM → SailPoint), preserving data and behaviour.</w:t>
            </w:r>
          </w:p>
        </w:tc>
      </w:tr>
      <w:tr>
        <w:tc>
          <w:tcPr>
            <w:tcW w:type="dxa" w:w="26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Upgrade</w:t>
            </w:r>
          </w:p>
        </w:tc>
        <w:tc>
          <w:tcPr>
            <w:tcW w:type="dxa" w:w="67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Move to a newer release of the same product; smaller scope but real regression risk.</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New feature addition</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Add a capability to an existing platform (e.g. add access certifications to a live IGA).</w:t>
            </w:r>
          </w:p>
        </w:tc>
      </w:tr>
      <w:tr>
        <w:tc>
          <w:tcPr>
            <w:tcW w:type="dxa" w:w="26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Integration / onboarding</w:t>
            </w:r>
          </w:p>
        </w:tc>
        <w:tc>
          <w:tcPr>
            <w:tcW w:type="dxa" w:w="67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Connect additional applications or accounts into an existing platform — usually the highest-volume, most repeatable work.</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Enhancement</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Improve or extend existing use cases (new workflows, connectors, reports).</w:t>
            </w:r>
          </w:p>
        </w:tc>
      </w:tr>
    </w:tbl>
    <w:p>
      <w:pPr>
        <w:pStyle w:val="Heading2"/>
      </w:pPr>
      <w:r>
        <w:t xml:space="preserve">6.2 The phase model</w:t>
      </w:r>
    </w:p>
    <w:p>
      <w:pPr>
        <w:spacing w:after="120" w:line="276"/>
      </w:pPr>
      <w:r>
        <w:t xml:space="preserve">Almost every IAM build follows the same backbone. You will reuse this exact spine in proposals:</w:t>
      </w:r>
    </w:p>
    <w:p>
      <w:pPr>
        <w:pStyle w:val="ListParagraph"/>
        <w:numPr>
          <w:ilvl w:val="0"/>
          <w:numId w:val="3"/>
        </w:numPr>
        <w:spacing w:after="60" w:line="264"/>
      </w:pPr>
      <w:r>
        <w:rPr>
          <w:b/>
          <w:bCs/>
        </w:rPr>
        <w:t xml:space="preserve">Requirements &amp; Discovery. </w:t>
      </w:r>
      <w:r>
        <w:t xml:space="preserve">Workshops, current-state assessment, application/account inventory, use-case capture, success criteria.</w:t>
      </w:r>
    </w:p>
    <w:p>
      <w:pPr>
        <w:pStyle w:val="ListParagraph"/>
        <w:numPr>
          <w:ilvl w:val="0"/>
          <w:numId w:val="3"/>
        </w:numPr>
        <w:spacing w:after="60" w:line="264"/>
      </w:pPr>
      <w:r>
        <w:rPr>
          <w:b/>
          <w:bCs/>
        </w:rPr>
        <w:t xml:space="preserve">Design. </w:t>
      </w:r>
      <w:r>
        <w:t xml:space="preserve">Solution architecture, integration design, role/policy model, environment and HA/DR design, security design.</w:t>
      </w:r>
    </w:p>
    <w:p>
      <w:pPr>
        <w:pStyle w:val="ListParagraph"/>
        <w:numPr>
          <w:ilvl w:val="0"/>
          <w:numId w:val="3"/>
        </w:numPr>
        <w:spacing w:after="60" w:line="264"/>
      </w:pPr>
      <w:r>
        <w:rPr>
          <w:b/>
          <w:bCs/>
        </w:rPr>
        <w:t xml:space="preserve">Build &amp; Setup. </w:t>
      </w:r>
      <w:r>
        <w:t xml:space="preserve">Platform install/configure across environments, base connectors, core workflows.</w:t>
      </w:r>
    </w:p>
    <w:p>
      <w:pPr>
        <w:pStyle w:val="ListParagraph"/>
        <w:numPr>
          <w:ilvl w:val="0"/>
          <w:numId w:val="3"/>
        </w:numPr>
        <w:spacing w:after="60" w:line="264"/>
      </w:pPr>
      <w:r>
        <w:rPr>
          <w:b/>
          <w:bCs/>
        </w:rPr>
        <w:t xml:space="preserve">Use-case Implementation. </w:t>
      </w:r>
      <w:r>
        <w:t xml:space="preserve">The bulk of variable effort — building each in-scope use case, connector or application onboarding.</w:t>
      </w:r>
    </w:p>
    <w:p>
      <w:pPr>
        <w:pStyle w:val="ListParagraph"/>
        <w:numPr>
          <w:ilvl w:val="0"/>
          <w:numId w:val="3"/>
        </w:numPr>
        <w:spacing w:after="60" w:line="264"/>
      </w:pPr>
      <w:r>
        <w:rPr>
          <w:b/>
          <w:bCs/>
        </w:rPr>
        <w:t xml:space="preserve">Unit Testing. </w:t>
      </w:r>
      <w:r>
        <w:t xml:space="preserve">Component-level verification by the build team.</w:t>
      </w:r>
    </w:p>
    <w:p>
      <w:pPr>
        <w:pStyle w:val="ListParagraph"/>
        <w:numPr>
          <w:ilvl w:val="0"/>
          <w:numId w:val="3"/>
        </w:numPr>
        <w:spacing w:after="60" w:line="264"/>
      </w:pPr>
      <w:r>
        <w:rPr>
          <w:b/>
          <w:bCs/>
        </w:rPr>
        <w:t xml:space="preserve">System Integration Testing (SIT). </w:t>
      </w:r>
      <w:r>
        <w:t xml:space="preserve">End-to-end testing across integrated systems.</w:t>
      </w:r>
    </w:p>
    <w:p>
      <w:pPr>
        <w:pStyle w:val="ListParagraph"/>
        <w:numPr>
          <w:ilvl w:val="0"/>
          <w:numId w:val="3"/>
        </w:numPr>
        <w:spacing w:after="60" w:line="264"/>
      </w:pPr>
      <w:r>
        <w:rPr>
          <w:b/>
          <w:bCs/>
        </w:rPr>
        <w:t xml:space="preserve">User Acceptance Testing (UAT). </w:t>
      </w:r>
      <w:r>
        <w:t xml:space="preserve">Business validates against acceptance criteria.</w:t>
      </w:r>
    </w:p>
    <w:p>
      <w:pPr>
        <w:pStyle w:val="ListParagraph"/>
        <w:numPr>
          <w:ilvl w:val="0"/>
          <w:numId w:val="3"/>
        </w:numPr>
        <w:spacing w:after="60" w:line="264"/>
      </w:pPr>
      <w:r>
        <w:rPr>
          <w:b/>
          <w:bCs/>
        </w:rPr>
        <w:t xml:space="preserve">Deployment &amp; Go-Live. </w:t>
      </w:r>
      <w:r>
        <w:t xml:space="preserve">Production cutover, data load, smoke tests, go/no-go.</w:t>
      </w:r>
    </w:p>
    <w:p>
      <w:pPr>
        <w:pStyle w:val="ListParagraph"/>
        <w:numPr>
          <w:ilvl w:val="0"/>
          <w:numId w:val="3"/>
        </w:numPr>
        <w:spacing w:after="60" w:line="264"/>
      </w:pPr>
      <w:r>
        <w:rPr>
          <w:b/>
          <w:bCs/>
        </w:rPr>
        <w:t xml:space="preserve">Hypercare. </w:t>
      </w:r>
      <w:r>
        <w:t xml:space="preserve">Heightened post-go-live support before transition to Run.</w:t>
      </w:r>
    </w:p>
    <w:p>
      <w:pPr>
        <w:pStyle w:val="Heading2"/>
      </w:pPr>
      <w:r>
        <w:t xml:space="preserve">6.3 Environments</w:t>
      </w:r>
    </w:p>
    <w:p>
      <w:pPr>
        <w:spacing w:after="120" w:line="276"/>
      </w:pPr>
      <w:r>
        <w:rPr>
          <w:b/>
          <w:bCs/>
        </w:rPr>
        <w:t xml:space="preserve">Plan for at least two environments — Non-Production and Production — and price both. </w:t>
      </w:r>
      <w:r>
        <w:t xml:space="preserve">Non-Production typically covers development, test/SIT and a UAT/staging tier; Production is the live system, often with HA/DR. A frequent estimating error is to design and build for one environment and forget that every configuration, connector and use case must be promoted and re-verified across environments. Environment count is a direct multiplier on build and test effort.</w:t>
      </w:r>
    </w:p>
    <w:p>
      <w:pPr>
        <w:pStyle w:val="Heading2"/>
      </w:pPr>
      <w:r>
        <w:t xml:space="preserve">6.4 Effort drivers (what makes the number go up)</w:t>
      </w:r>
    </w:p>
    <w:p>
      <w:pPr>
        <w:pStyle w:val="ListParagraph"/>
        <w:numPr>
          <w:ilvl w:val="0"/>
          <w:numId w:val="2"/>
        </w:numPr>
        <w:spacing w:after="60" w:line="264"/>
      </w:pPr>
      <w:r>
        <w:t xml:space="preserve">Number of applications / accounts / certificates to onboard, and their protocol/complexity mix.</w:t>
      </w:r>
    </w:p>
    <w:p>
      <w:pPr>
        <w:pStyle w:val="ListParagraph"/>
        <w:numPr>
          <w:ilvl w:val="0"/>
          <w:numId w:val="2"/>
        </w:numPr>
        <w:spacing w:after="60" w:line="264"/>
      </w:pPr>
      <w:r>
        <w:t xml:space="preserve">Number and complexity of use cases (a simple birthright provisioning rule vs. a multi-level approval workflow with SoD checks).</w:t>
      </w:r>
    </w:p>
    <w:p>
      <w:pPr>
        <w:pStyle w:val="ListParagraph"/>
        <w:numPr>
          <w:ilvl w:val="0"/>
          <w:numId w:val="2"/>
        </w:numPr>
        <w:spacing w:after="60" w:line="264"/>
      </w:pPr>
      <w:r>
        <w:t xml:space="preserve">Number of environments and HA/DR requirements.</w:t>
      </w:r>
    </w:p>
    <w:p>
      <w:pPr>
        <w:pStyle w:val="ListParagraph"/>
        <w:numPr>
          <w:ilvl w:val="0"/>
          <w:numId w:val="2"/>
        </w:numPr>
        <w:spacing w:after="60" w:line="264"/>
      </w:pPr>
      <w:r>
        <w:t xml:space="preserve">Data quality and the state of source systems (poor HR data inflates every downstream estimate).</w:t>
      </w:r>
    </w:p>
    <w:p>
      <w:pPr>
        <w:pStyle w:val="ListParagraph"/>
        <w:numPr>
          <w:ilvl w:val="0"/>
          <w:numId w:val="2"/>
        </w:numPr>
        <w:spacing w:after="60" w:line="264"/>
      </w:pPr>
      <w:r>
        <w:t xml:space="preserve">Integration style (standards-based SCIM/SAML is cheap; custom/legacy connectors are expensive).</w:t>
      </w:r>
    </w:p>
    <w:p>
      <w:pPr>
        <w:pStyle w:val="ListParagraph"/>
        <w:numPr>
          <w:ilvl w:val="0"/>
          <w:numId w:val="2"/>
        </w:numPr>
        <w:spacing w:after="60" w:line="264"/>
      </w:pPr>
      <w:r>
        <w:t xml:space="preserve">Compliance and audit scope (regulated industries add design, evidence and testing overhead).</w:t>
      </w:r>
    </w:p>
    <w:p>
      <w:pPr>
        <w:pStyle w:val="ListParagraph"/>
        <w:numPr>
          <w:ilvl w:val="0"/>
          <w:numId w:val="2"/>
        </w:numPr>
        <w:spacing w:after="60" w:line="264"/>
      </w:pPr>
      <w:r>
        <w:t xml:space="preserve">Migration data volume and the need to preserve historical state.</w:t>
      </w:r>
    </w:p>
    <w:p>
      <w:r>
        <w:br w:type="page"/>
      </w:r>
    </w:p>
    <w:p>
      <w:pPr>
        <w:pStyle w:val="Heading1"/>
      </w:pPr>
      <w:r>
        <w:t xml:space="preserve">7. Run / Managed Services Framework</w:t>
      </w:r>
    </w:p>
    <w:p>
      <w:pPr>
        <w:spacing w:after="120" w:line="276"/>
      </w:pPr>
      <w:r>
        <w:t xml:space="preserve">Run is the ongoing operation of a live capability under agreed service levels. In IAM, Run is where most of the long-term revenue and most of the automation opportunity lives.</w:t>
      </w:r>
    </w:p>
    <w:p>
      <w:pPr>
        <w:pStyle w:val="Heading2"/>
      </w:pPr>
      <w:r>
        <w:t xml:space="preserve">7.1 The support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660"/>
      </w:tblGrid>
      <w:tr>
        <w:trPr>
          <w:tblHeader/>
        </w:trPr>
        <w:tc>
          <w:tcPr>
            <w:tcW w:type="dxa" w:w="15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Tier</w:t>
            </w:r>
          </w:p>
        </w:tc>
        <w:tc>
          <w:tcPr>
            <w:tcW w:type="dxa" w:w="32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Nature of work</w:t>
            </w:r>
          </w:p>
        </w:tc>
        <w:tc>
          <w:tcPr>
            <w:tcW w:type="dxa" w:w="46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IAM examples</w:t>
            </w:r>
          </w:p>
        </w:tc>
      </w:tr>
      <w:tr>
        <w:tc>
          <w:tcPr>
            <w:tcW w:type="dxa" w:w="15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bCs/>
                <w:color w:val="000000"/>
                <w:sz w:val="20"/>
                <w:szCs w:val="20"/>
              </w:rPr>
              <w:t xml:space="preserve">L1</w:t>
            </w:r>
          </w:p>
        </w:tc>
        <w:tc>
          <w:tcPr>
            <w:tcW w:type="dxa" w:w="32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First response; scripted, high-volume</w:t>
            </w:r>
          </w:p>
        </w:tc>
        <w:tc>
          <w:tcPr>
            <w:tcW w:type="dxa" w:w="46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Password resets, access-request status, basic account unlocks, ticket triage and routing.</w:t>
            </w:r>
          </w:p>
        </w:tc>
      </w:tr>
      <w:tr>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bCs/>
                <w:color w:val="000000"/>
                <w:sz w:val="20"/>
                <w:szCs w:val="20"/>
              </w:rPr>
              <w:t xml:space="preserve">L2</w:t>
            </w:r>
          </w:p>
        </w:tc>
        <w:tc>
          <w:tcPr>
            <w:tcW w:type="dxa" w:w="3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Configuration and known-problem resolution</w:t>
            </w:r>
          </w:p>
        </w:tc>
        <w:tc>
          <w:tcPr>
            <w:tcW w:type="dxa" w:w="46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Connector/workflow fixes, onboarding standard apps, certification campaign support, break-fix within known patterns.</w:t>
            </w:r>
          </w:p>
        </w:tc>
      </w:tr>
      <w:tr>
        <w:tc>
          <w:tcPr>
            <w:tcW w:type="dxa" w:w="15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bCs/>
                <w:color w:val="000000"/>
                <w:sz w:val="20"/>
                <w:szCs w:val="20"/>
              </w:rPr>
              <w:t xml:space="preserve">L3</w:t>
            </w:r>
          </w:p>
        </w:tc>
        <w:tc>
          <w:tcPr>
            <w:tcW w:type="dxa" w:w="32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Deep expertise / engineering</w:t>
            </w:r>
          </w:p>
        </w:tc>
        <w:tc>
          <w:tcPr>
            <w:tcW w:type="dxa" w:w="46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Complex defects, new connector development, platform tuning, vendor escalation, root-cause analysis.</w:t>
            </w:r>
          </w:p>
        </w:tc>
      </w:tr>
    </w:tbl>
    <w:p>
      <w:pPr>
        <w:pStyle w:val="Heading2"/>
      </w:pPr>
      <w:r>
        <w:t xml:space="preserve">7.2 BAU activities to scope (beyond L1–L3)</w:t>
      </w:r>
    </w:p>
    <w:p>
      <w:pPr>
        <w:pStyle w:val="ListParagraph"/>
        <w:numPr>
          <w:ilvl w:val="0"/>
          <w:numId w:val="2"/>
        </w:numPr>
        <w:spacing w:after="60" w:line="264"/>
      </w:pPr>
      <w:r>
        <w:t xml:space="preserve">Application / account onboarding (recurring, often the largest BAU volume).</w:t>
      </w:r>
    </w:p>
    <w:p>
      <w:pPr>
        <w:pStyle w:val="ListParagraph"/>
        <w:numPr>
          <w:ilvl w:val="0"/>
          <w:numId w:val="2"/>
        </w:numPr>
        <w:spacing w:after="60" w:line="264"/>
      </w:pPr>
      <w:r>
        <w:t xml:space="preserve">Access certification / recertification campaigns (periodic, labour-intensive without automation).</w:t>
      </w:r>
    </w:p>
    <w:p>
      <w:pPr>
        <w:pStyle w:val="ListParagraph"/>
        <w:numPr>
          <w:ilvl w:val="0"/>
          <w:numId w:val="2"/>
        </w:numPr>
        <w:spacing w:after="60" w:line="264"/>
      </w:pPr>
      <w:r>
        <w:t xml:space="preserve">Role and policy maintenance; SoD rule upkeep.</w:t>
      </w:r>
    </w:p>
    <w:p>
      <w:pPr>
        <w:pStyle w:val="ListParagraph"/>
        <w:numPr>
          <w:ilvl w:val="0"/>
          <w:numId w:val="2"/>
        </w:numPr>
        <w:spacing w:after="60" w:line="264"/>
      </w:pPr>
      <w:r>
        <w:t xml:space="preserve">Joiner/Mover/Leaver exception handling.</w:t>
      </w:r>
    </w:p>
    <w:p>
      <w:pPr>
        <w:pStyle w:val="ListParagraph"/>
        <w:numPr>
          <w:ilvl w:val="0"/>
          <w:numId w:val="2"/>
        </w:numPr>
        <w:spacing w:after="60" w:line="264"/>
      </w:pPr>
      <w:r>
        <w:t xml:space="preserve">Certificate renewals and rotation (PKI), credential rotation (PAM).</w:t>
      </w:r>
    </w:p>
    <w:p>
      <w:pPr>
        <w:pStyle w:val="ListParagraph"/>
        <w:numPr>
          <w:ilvl w:val="0"/>
          <w:numId w:val="2"/>
        </w:numPr>
        <w:spacing w:after="60" w:line="264"/>
      </w:pPr>
      <w:r>
        <w:t xml:space="preserve">Patching, upgrades and health monitoring of the platform.</w:t>
      </w:r>
    </w:p>
    <w:p>
      <w:pPr>
        <w:pStyle w:val="ListParagraph"/>
        <w:numPr>
          <w:ilvl w:val="0"/>
          <w:numId w:val="2"/>
        </w:numPr>
        <w:spacing w:after="60" w:line="264"/>
      </w:pPr>
      <w:r>
        <w:t xml:space="preserve">Audit support, evidence production and compliance reporting.</w:t>
      </w:r>
    </w:p>
    <w:p>
      <w:pPr>
        <w:pStyle w:val="ListParagraph"/>
        <w:numPr>
          <w:ilvl w:val="0"/>
          <w:numId w:val="2"/>
        </w:numPr>
        <w:spacing w:after="60" w:line="264"/>
      </w:pPr>
      <w:r>
        <w:t xml:space="preserve">Service reporting, SLA management and continual service improvement.</w:t>
      </w:r>
    </w:p>
    <w:p>
      <w:pPr>
        <w:pStyle w:val="Heading2"/>
      </w:pPr>
      <w:r>
        <w:t xml:space="preserve">7.3 Operating-model levers</w:t>
      </w:r>
    </w:p>
    <w:p>
      <w:pPr>
        <w:pStyle w:val="ListParagraph"/>
        <w:numPr>
          <w:ilvl w:val="0"/>
          <w:numId w:val="2"/>
        </w:numPr>
        <w:spacing w:after="60" w:line="264"/>
      </w:pPr>
      <w:r>
        <w:rPr>
          <w:b/>
          <w:bCs/>
        </w:rPr>
        <w:t xml:space="preserve">Shift model &amp; coverage. </w:t>
      </w:r>
      <w:r>
        <w:t xml:space="preserve">8x5 vs 24x7 vs follow-the-sun dramatically changes headcount and cost.</w:t>
      </w:r>
    </w:p>
    <w:p>
      <w:pPr>
        <w:pStyle w:val="ListParagraph"/>
        <w:numPr>
          <w:ilvl w:val="0"/>
          <w:numId w:val="2"/>
        </w:numPr>
        <w:spacing w:after="60" w:line="264"/>
      </w:pPr>
      <w:r>
        <w:rPr>
          <w:b/>
          <w:bCs/>
        </w:rPr>
        <w:t xml:space="preserve">Location mix. </w:t>
      </w:r>
      <w:r>
        <w:t xml:space="preserve">Onshore/nearshore/offshore blend drives the rate card and therefore the price.</w:t>
      </w:r>
    </w:p>
    <w:p>
      <w:pPr>
        <w:pStyle w:val="ListParagraph"/>
        <w:numPr>
          <w:ilvl w:val="0"/>
          <w:numId w:val="2"/>
        </w:numPr>
        <w:spacing w:after="60" w:line="264"/>
      </w:pPr>
      <w:r>
        <w:rPr>
          <w:b/>
          <w:bCs/>
        </w:rPr>
        <w:t xml:space="preserve">SLA tiers. </w:t>
      </w:r>
      <w:r>
        <w:t xml:space="preserve">Tighter response/resolution targets raise staffing and on-call cost.</w:t>
      </w:r>
    </w:p>
    <w:p>
      <w:pPr>
        <w:pStyle w:val="ListParagraph"/>
        <w:numPr>
          <w:ilvl w:val="0"/>
          <w:numId w:val="2"/>
        </w:numPr>
        <w:spacing w:after="60" w:line="264"/>
      </w:pPr>
      <w:r>
        <w:rPr>
          <w:b/>
          <w:bCs/>
        </w:rPr>
        <w:t xml:space="preserve">Volume baseline &amp; assumptions. </w:t>
      </w:r>
      <w:r>
        <w:t xml:space="preserve">Ticket volumes and onboarding cadence are the basis of FTE sizing — document them explicitly so they are defensible and re-priceable.</w:t>
      </w:r>
    </w:p>
    <w:p>
      <w:r>
        <w:br w:type="page"/>
      </w:r>
    </w:p>
    <w:p>
      <w:pPr>
        <w:pStyle w:val="Heading1"/>
      </w:pPr>
      <w:r>
        <w:t xml:space="preserve">8. Estimation &amp; Staffing Framework Primer</w:t>
      </w:r>
    </w:p>
    <w:p>
      <w:pPr>
        <w:spacing w:after="120" w:line="276"/>
      </w:pPr>
      <w:r>
        <w:t xml:space="preserve">This is the spine of the SA craft. We go deep in Module 7, but the mental model belongs here at the front.</w:t>
      </w:r>
    </w:p>
    <w:p>
      <w:pPr>
        <w:pStyle w:val="Heading2"/>
      </w:pPr>
      <w:r>
        <w:t xml:space="preserve">8.1 Four estimation approaches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Approach</w:t>
            </w:r>
          </w:p>
        </w:tc>
        <w:tc>
          <w:tcPr>
            <w:tcW w:type="dxa" w:w="44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How it works</w:t>
            </w:r>
          </w:p>
        </w:tc>
        <w:tc>
          <w:tcPr>
            <w:tcW w:type="dxa" w:w="25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Best for</w:t>
            </w:r>
          </w:p>
        </w:tc>
      </w:tr>
      <w:tr>
        <w:tc>
          <w:tcPr>
            <w:tcW w:type="dxa" w:w="24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Bottom-up</w:t>
            </w:r>
          </w:p>
        </w:tc>
        <w:tc>
          <w:tcPr>
            <w:tcW w:type="dxa" w:w="44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Decompose into a WBS; estimate each activity; sum up.</w:t>
            </w:r>
          </w:p>
        </w:tc>
        <w:tc>
          <w:tcPr>
            <w:tcW w:type="dxa" w:w="25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Detailed proposals; highest defensibility.</w:t>
            </w:r>
          </w:p>
        </w:tc>
      </w:tr>
      <w:t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Parametric</w:t>
            </w:r>
          </w:p>
        </w:tc>
        <w:tc>
          <w:tcPr>
            <w:tcW w:type="dxa" w:w="4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Multiply a unit effort by a count (e.g. hrs per app onboarding × number of apps).</w:t>
            </w:r>
          </w:p>
        </w:tc>
        <w:tc>
          <w:tcPr>
            <w:tcW w:type="dxa" w:w="2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Repeatable, high-volume work like onboarding.</w:t>
            </w:r>
          </w:p>
        </w:tc>
      </w:tr>
      <w:tr>
        <w:tc>
          <w:tcPr>
            <w:tcW w:type="dxa" w:w="24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Analogous</w:t>
            </w:r>
          </w:p>
        </w:tc>
        <w:tc>
          <w:tcPr>
            <w:tcW w:type="dxa" w:w="44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Scale from a similar past engagement.</w:t>
            </w:r>
          </w:p>
        </w:tc>
        <w:tc>
          <w:tcPr>
            <w:tcW w:type="dxa" w:w="25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Early sizing, rough order of magnitude.</w:t>
            </w:r>
          </w:p>
        </w:tc>
      </w:tr>
      <w:tr>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Top-down</w:t>
            </w:r>
          </w:p>
        </w:tc>
        <w:tc>
          <w:tcPr>
            <w:tcW w:type="dxa" w:w="4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Allocate a total budget across phases by percentage.</w:t>
            </w:r>
          </w:p>
        </w:tc>
        <w:tc>
          <w:tcPr>
            <w:tcW w:type="dxa" w:w="2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Sanity-checking and budget-constrained bids.</w:t>
            </w:r>
          </w:p>
        </w:tc>
      </w:tr>
    </w:tbl>
    <w:p>
      <w:pPr>
        <w:spacing w:after="120" w:line="276"/>
      </w:pPr>
      <w:r>
        <w:rPr>
          <w:b/>
          <w:bCs/>
        </w:rPr>
        <w:t xml:space="preserve">Best practice: </w:t>
      </w:r>
      <w:r>
        <w:t xml:space="preserve">build bottom-up for the detailed estimate, then cross-check with parametric and analogous methods. When the methods disagree by a lot, you have found an assumption worth examining — exactly the kind of reconciliation senior reviewers respect.</w:t>
      </w:r>
    </w:p>
    <w:p>
      <w:pPr>
        <w:pStyle w:val="Heading2"/>
      </w:pPr>
      <w:r>
        <w:t xml:space="preserve">8.2 From estimate to staffing pyramid</w:t>
      </w:r>
    </w:p>
    <w:p>
      <w:pPr>
        <w:spacing w:after="120" w:line="276"/>
      </w:pPr>
      <w:r>
        <w:t xml:space="preserve">Effort (in person-days) becomes people through three steps: (1) distribute effort across roles by phase; (2) convert to FTEs over the timeline; (3) shape the pyramid — the ratio of senior architects to mid-level engineers to junior/offshore staff. A healthy pyramid keeps cost competitive while preserving enough senior coverage to manage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Role band</w:t>
            </w:r>
          </w:p>
        </w:tc>
        <w:tc>
          <w:tcPr>
            <w:tcW w:type="dxa" w:w="32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Typical IAM responsibilities</w:t>
            </w:r>
          </w:p>
        </w:tc>
        <w:tc>
          <w:tcPr>
            <w:tcW w:type="dxa" w:w="35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Pyramid role</w:t>
            </w:r>
          </w:p>
        </w:tc>
      </w:tr>
      <w:tr>
        <w:tc>
          <w:tcPr>
            <w:tcW w:type="dxa" w:w="26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Solution Architect / Lead</w:t>
            </w:r>
          </w:p>
        </w:tc>
        <w:tc>
          <w:tcPr>
            <w:tcW w:type="dxa" w:w="32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Design, governance, client/SME coordination, estimation</w:t>
            </w:r>
          </w:p>
        </w:tc>
        <w:tc>
          <w:tcPr>
            <w:tcW w:type="dxa" w:w="35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Apex — few, high-leverage</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Senior Engineer / Consultant</w:t>
            </w:r>
          </w:p>
        </w:tc>
        <w:tc>
          <w:tcPr>
            <w:tcW w:type="dxa" w:w="3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Complex use cases, integration design, SIT leadership</w:t>
            </w:r>
          </w:p>
        </w:tc>
        <w:tc>
          <w:tcPr>
            <w:tcW w:type="dxa" w:w="3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Upper-middle</w:t>
            </w:r>
          </w:p>
        </w:tc>
      </w:tr>
      <w:tr>
        <w:tc>
          <w:tcPr>
            <w:tcW w:type="dxa" w:w="26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Engineer / Developer</w:t>
            </w:r>
          </w:p>
        </w:tc>
        <w:tc>
          <w:tcPr>
            <w:tcW w:type="dxa" w:w="32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Connector/use-case build, unit testing</w:t>
            </w:r>
          </w:p>
        </w:tc>
        <w:tc>
          <w:tcPr>
            <w:tcW w:type="dxa" w:w="35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Broad middle</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Analyst / Offshore</w:t>
            </w:r>
          </w:p>
        </w:tc>
        <w:tc>
          <w:tcPr>
            <w:tcW w:type="dxa" w:w="3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Repeatable onboarding, testing support, documentation</w:t>
            </w:r>
          </w:p>
        </w:tc>
        <w:tc>
          <w:tcPr>
            <w:tcW w:type="dxa" w:w="3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Base — volume &amp; cost efficiency</w:t>
            </w:r>
          </w:p>
        </w:tc>
      </w:tr>
    </w:tbl>
    <w:p>
      <w:pPr>
        <w:spacing w:after="120" w:line="276"/>
      </w:pPr>
      <w:r>
        <w:rPr>
          <w:b/>
          <w:bCs/>
        </w:rPr>
        <w:t xml:space="preserve">Read this alongside the delivery functions in §2.6: </w:t>
      </w:r>
      <w:r>
        <w:t xml:space="preserve">the bands above are seniority; the functions (engineering, testing, BA, audit, reporting, etc.) are discipline. A staffing plan is the two crossed together — e.g. a senior BA and two analyst BAs in discovery, a senior engineer and three offshore engineers in build. That cross-tabulation is your role-wise view.</w:t>
      </w:r>
    </w:p>
    <w:p>
      <w:pPr>
        <w:pStyle w:val="Heading2"/>
      </w:pPr>
      <w:r>
        <w:t xml:space="preserve">8.3 The estimate-to-justification chain</w:t>
      </w:r>
    </w:p>
    <w:p>
      <w:pPr>
        <w:spacing w:after="120" w:line="276"/>
      </w:pPr>
      <w:r>
        <w:t xml:space="preserve">An estimate is only as good as your ability to defend it. Keep this chain intact and traceable:</w:t>
      </w:r>
    </w:p>
    <w:p>
      <w:pPr>
        <w:spacing w:after="120" w:line="276"/>
      </w:pPr>
      <w:r>
        <w:rPr>
          <w:b/>
          <w:bCs/>
          <w:color w:val="1F3864"/>
        </w:rPr>
        <w:t xml:space="preserve">Requirement → Scope item → Activities (WBS) → Effort driver &amp; assumption → Effort → Role split → FTE → Cost → Phase plan.</w:t>
      </w:r>
    </w:p>
    <w:p>
      <w:pPr>
        <w:spacing w:after="120" w:line="276"/>
      </w:pPr>
      <w:r>
        <w:t xml:space="preserve">If a reviewer challenges a number, you walk back up the chain to the assumption and the driver. That traceability is what separates a credible SA from someone quoting a gut feel.</w:t>
      </w:r>
    </w:p>
    <w:p>
      <w:r>
        <w:br w:type="page"/>
      </w:r>
    </w:p>
    <w:p>
      <w:pPr>
        <w:pStyle w:val="Heading1"/>
      </w:pPr>
      <w:r>
        <w:t xml:space="preserve">9. Automation &amp; AI Across IAM (Cross-Cutting)</w:t>
      </w:r>
    </w:p>
    <w:p>
      <w:pPr>
        <w:spacing w:after="120" w:line="276"/>
      </w:pPr>
      <w:r>
        <w:t xml:space="preserve">Each tower module covers its own automation in detail. The cross-cutting levers — your standing toolkit for volume reduction, productivity, efficiency and cost optimisation — are:</w:t>
      </w:r>
    </w:p>
    <w:p>
      <w:pPr>
        <w:pStyle w:val="ListParagraph"/>
        <w:numPr>
          <w:ilvl w:val="0"/>
          <w:numId w:val="2"/>
        </w:numPr>
        <w:spacing w:after="60" w:line="264"/>
      </w:pPr>
      <w:r>
        <w:rPr>
          <w:b/>
          <w:bCs/>
        </w:rPr>
        <w:t xml:space="preserve">Volume reduction at L1. </w:t>
      </w:r>
      <w:r>
        <w:t xml:space="preserve">Self-service password reset, self-service access requests, and chatbot/virtual-agent deflection remove the highest-volume tickets before a human touches them.</w:t>
      </w:r>
    </w:p>
    <w:p>
      <w:pPr>
        <w:pStyle w:val="ListParagraph"/>
        <w:numPr>
          <w:ilvl w:val="0"/>
          <w:numId w:val="2"/>
        </w:numPr>
        <w:spacing w:after="60" w:line="264"/>
      </w:pPr>
      <w:r>
        <w:rPr>
          <w:b/>
          <w:bCs/>
        </w:rPr>
        <w:t xml:space="preserve">Workflow automation. </w:t>
      </w:r>
      <w:r>
        <w:t xml:space="preserve">Automated JML, birthright provisioning and de-provisioning eliminate manual, error-prone steps and shrink leaver-related audit risk.</w:t>
      </w:r>
    </w:p>
    <w:p>
      <w:pPr>
        <w:pStyle w:val="ListParagraph"/>
        <w:numPr>
          <w:ilvl w:val="0"/>
          <w:numId w:val="2"/>
        </w:numPr>
        <w:spacing w:after="60" w:line="264"/>
      </w:pPr>
      <w:r>
        <w:rPr>
          <w:b/>
          <w:bCs/>
        </w:rPr>
        <w:t xml:space="preserve">AI-assisted access governance. </w:t>
      </w:r>
      <w:r>
        <w:t xml:space="preserve">Outlier and peer-group analytics flag risky or anomalous access so certifications focus on the few exceptions instead of rubber-stamping thousands of lines.</w:t>
      </w:r>
    </w:p>
    <w:p>
      <w:pPr>
        <w:pStyle w:val="ListParagraph"/>
        <w:numPr>
          <w:ilvl w:val="0"/>
          <w:numId w:val="2"/>
        </w:numPr>
        <w:spacing w:after="60" w:line="264"/>
      </w:pPr>
      <w:r>
        <w:rPr>
          <w:b/>
          <w:bCs/>
        </w:rPr>
        <w:t xml:space="preserve">Intelligent recommendations. </w:t>
      </w:r>
      <w:r>
        <w:t xml:space="preserve">Role mining and access recommendations speed up role design and request approvals.</w:t>
      </w:r>
    </w:p>
    <w:p>
      <w:pPr>
        <w:pStyle w:val="ListParagraph"/>
        <w:numPr>
          <w:ilvl w:val="0"/>
          <w:numId w:val="2"/>
        </w:numPr>
        <w:spacing w:after="60" w:line="264"/>
      </w:pPr>
      <w:r>
        <w:rPr>
          <w:b/>
          <w:bCs/>
        </w:rPr>
        <w:t xml:space="preserve">Certificate &amp; credential automation. </w:t>
      </w:r>
      <w:r>
        <w:t xml:space="preserve">Automated discovery, renewal and rotation are now essential given shrinking certificate lifetimes.</w:t>
      </w:r>
    </w:p>
    <w:p>
      <w:pPr>
        <w:pStyle w:val="ListParagraph"/>
        <w:numPr>
          <w:ilvl w:val="0"/>
          <w:numId w:val="2"/>
        </w:numPr>
        <w:spacing w:after="60" w:line="264"/>
      </w:pPr>
      <w:r>
        <w:rPr>
          <w:b/>
          <w:bCs/>
        </w:rPr>
        <w:t xml:space="preserve">Delivery productivity. </w:t>
      </w:r>
      <w:r>
        <w:t xml:space="preserve">AI assists connector/config generation, test-case creation, documentation and RFP analysis — compressing build and proposal effort.</w:t>
      </w:r>
    </w:p>
    <w:p>
      <w:pPr>
        <w:pStyle w:val="ListParagraph"/>
        <w:numPr>
          <w:ilvl w:val="0"/>
          <w:numId w:val="2"/>
        </w:numPr>
        <w:spacing w:after="60" w:line="264"/>
      </w:pPr>
      <w:r>
        <w:rPr>
          <w:b/>
          <w:bCs/>
        </w:rPr>
        <w:t xml:space="preserve">Non-human &amp; agentic identity. </w:t>
      </w:r>
      <w:r>
        <w:t xml:space="preserve">A fast-growing scope area: governing service accounts, workload identities and AI agents with the same rigour as humans.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E75B6" w:sz="18"/>
              <w:bottom w:val="none"/>
              <w:right w:val="none"/>
            </w:tcBorders>
            <w:shd w:fill="D9E2F3" w:val="clear"/>
            <w:tcMar>
              <w:top w:type="dxa" w:w="100"/>
              <w:left w:type="dxa" w:w="160"/>
              <w:bottom w:type="dxa" w:w="100"/>
              <w:right w:type="dxa" w:w="140"/>
            </w:tcMar>
          </w:tcPr>
          <w:p>
            <w:pPr>
              <w:spacing w:after="60"/>
            </w:pPr>
            <w:r>
              <w:rPr>
                <w:b/>
                <w:bCs/>
                <w:color w:val="1F3864"/>
              </w:rPr>
              <w:t xml:space="preserve">How to use automation in an estimate</w:t>
            </w:r>
          </w:p>
          <w:p>
            <w:pPr>
              <w:spacing w:after="40" w:line="264"/>
            </w:pPr>
            <w:r>
              <w:rPr>
                <w:sz w:val="21"/>
                <w:szCs w:val="21"/>
              </w:rPr>
              <w:t xml:space="preserve">Automation is both a cost lever and a differentiator. Quantify it twice: first as a productivity factor that reduces build/run effort (and therefore price), and second as a client benefit (fewer tickets, faster onboarding, lower audit risk). Showing the before/after volume curve is one of the most persuasive things you can put in a proposal.</w:t>
            </w:r>
          </w:p>
        </w:tc>
      </w:tr>
    </w:tbl>
    <w:p>
      <w:r>
        <w:br w:type="page"/>
      </w:r>
    </w:p>
    <w:p>
      <w:pPr>
        <w:pStyle w:val="Heading1"/>
      </w:pPr>
      <w:r>
        <w:t xml:space="preserve">10. Licensing &amp; Commercials Primer</w:t>
      </w:r>
    </w:p>
    <w:p>
      <w:pPr>
        <w:spacing w:after="120" w:line="276"/>
      </w:pPr>
      <w:r>
        <w:t xml:space="preserve">Module 9 goes deep; this is the vocabulary. License cost is the client’s, but you must model it because it shapes the total cost of ownership and your competitiveness.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Licensing model</w:t>
            </w:r>
          </w:p>
        </w:tc>
        <w:tc>
          <w:tcPr>
            <w:tcW w:type="dxa" w:w="64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What to watch</w:t>
            </w:r>
          </w:p>
        </w:tc>
      </w:tr>
      <w:tr>
        <w:tc>
          <w:tcPr>
            <w:tcW w:type="dxa" w:w="29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Per identity / per user</w:t>
            </w:r>
          </w:p>
        </w:tc>
        <w:tc>
          <w:tcPr>
            <w:tcW w:type="dxa" w:w="64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Most common in IGA and Access Management; watch whether contractors, B2B and non-human identities are counted.</w:t>
            </w:r>
          </w:p>
        </w:tc>
      </w:tr>
      <w:tr>
        <w:tc>
          <w:tcPr>
            <w:tcW w:type="dxa" w:w="29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Per managed/privileged account</w:t>
            </w:r>
          </w:p>
        </w:tc>
        <w:tc>
          <w:tcPr>
            <w:tcW w:type="dxa" w:w="64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Common in PAM; the count of vaulted accounts and sessions drives cost.</w:t>
            </w:r>
          </w:p>
        </w:tc>
      </w:tr>
      <w:tr>
        <w:tc>
          <w:tcPr>
            <w:tcW w:type="dxa" w:w="29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Per certificate / per CA</w:t>
            </w:r>
          </w:p>
        </w:tc>
        <w:tc>
          <w:tcPr>
            <w:tcW w:type="dxa" w:w="64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PKI/CLM; shrinking certificate lifetimes increase volumes and can change tiering.</w:t>
            </w:r>
          </w:p>
        </w:tc>
      </w:tr>
      <w:tr>
        <w:tc>
          <w:tcPr>
            <w:tcW w:type="dxa" w:w="29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Per transaction / per verification</w:t>
            </w:r>
          </w:p>
        </w:tc>
        <w:tc>
          <w:tcPr>
            <w:tcW w:type="dxa" w:w="64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Identity proofing; cost scales with onboarding/verification volume.</w:t>
            </w:r>
          </w:p>
        </w:tc>
      </w:tr>
      <w:tr>
        <w:tc>
          <w:tcPr>
            <w:tcW w:type="dxa" w:w="29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Module / capability-based</w:t>
            </w:r>
          </w:p>
        </w:tc>
        <w:tc>
          <w:tcPr>
            <w:tcW w:type="dxa" w:w="64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Many platforms (e.g. IGA) charge per module — provisioning, governance, analytics priced separately.</w:t>
            </w:r>
          </w:p>
        </w:tc>
      </w:tr>
      <w:tr>
        <w:tc>
          <w:tcPr>
            <w:tcW w:type="dxa" w:w="29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SaaS subscription vs perpetual + support</w:t>
            </w:r>
          </w:p>
        </w:tc>
        <w:tc>
          <w:tcPr>
            <w:tcW w:type="dxa" w:w="64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SaaS shifts cost to opex and includes upgrades; on-prem adds infrastructure and upgrade projects.</w:t>
            </w:r>
          </w:p>
        </w:tc>
      </w:tr>
    </w:tbl>
    <w:p>
      <w:pPr>
        <w:spacing w:after="60" w:line="276"/>
      </w:pPr>
      <w:r>
        <w:rPr>
          <w:b/>
          <w:bCs/>
        </w:rPr>
        <w:t xml:space="preserve">Cost levers you can pull: </w:t>
      </w:r>
      <w:r>
        <w:t xml:space="preserve">right-size identity counts and tiers; phase module adoption; use automation to reduce run FTEs; optimise the location/shift mix; and challenge whether every requested capability is truly day-one scope or a later phase. Note that implementation, training and run typically dwarf initial licensing in total cost of ownership — so effort optimisation often beats licence haggling.</w:t>
      </w:r>
    </w:p>
    <w:p>
      <w:r>
        <w:br w:type="page"/>
      </w:r>
    </w:p>
    <w:p>
      <w:pPr>
        <w:pStyle w:val="Heading1"/>
      </w:pPr>
      <w:r>
        <w:t xml:space="preserve">11.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Term</w:t>
            </w:r>
          </w:p>
        </w:tc>
        <w:tc>
          <w:tcPr>
            <w:tcW w:type="dxa" w:w="71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tcPr>
          <w:p>
            <w:pPr>
              <w:spacing w:after="20" w:line="252"/>
              <w:jc w:val="left"/>
            </w:pPr>
            <w:r>
              <w:rPr>
                <w:b/>
                <w:bCs/>
                <w:color w:val="FFFFFF"/>
                <w:sz w:val="20"/>
                <w:szCs w:val="20"/>
              </w:rPr>
              <w:t xml:space="preserve">Meaning</w:t>
            </w:r>
          </w:p>
        </w:tc>
      </w:tr>
      <w:tr>
        <w:tc>
          <w:tcPr>
            <w:tcW w:type="dxa" w:w="22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AAL / IAL / FAL</w:t>
            </w:r>
          </w:p>
        </w:tc>
        <w:tc>
          <w:tcPr>
            <w:tcW w:type="dxa" w:w="71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Authentication / Identity / Federation Assurance Levels (NIST SP 800-63-4) — graded strength of authentication, proofing and federation.</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BAU</w:t>
            </w:r>
          </w:p>
        </w:tc>
        <w:tc>
          <w:tcPr>
            <w:tcW w:type="dxa" w:w="7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Business as usual — recurring operational activities in Run.</w:t>
            </w:r>
          </w:p>
        </w:tc>
      </w:tr>
      <w:tr>
        <w:tc>
          <w:tcPr>
            <w:tcW w:type="dxa" w:w="22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CA</w:t>
            </w:r>
          </w:p>
        </w:tc>
        <w:tc>
          <w:tcPr>
            <w:tcW w:type="dxa" w:w="71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Certificate Authority — issues digital certificates in PKI.</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CIAM</w:t>
            </w:r>
          </w:p>
        </w:tc>
        <w:tc>
          <w:tcPr>
            <w:tcW w:type="dxa" w:w="7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Customer IAM — identity for external/consumer users (vs workforce IAM).</w:t>
            </w:r>
          </w:p>
        </w:tc>
      </w:tr>
      <w:tr>
        <w:tc>
          <w:tcPr>
            <w:tcW w:type="dxa" w:w="22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CIEM</w:t>
            </w:r>
          </w:p>
        </w:tc>
        <w:tc>
          <w:tcPr>
            <w:tcW w:type="dxa" w:w="71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Cloud Infrastructure Entitlement Management — right-sizing identities and permissions across AWS/Azure/GCP.</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CLM</w:t>
            </w:r>
          </w:p>
        </w:tc>
        <w:tc>
          <w:tcPr>
            <w:tcW w:type="dxa" w:w="7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Certificate Lifecycle Management — discovery, issuance, renewal, revocation of certificates.</w:t>
            </w:r>
          </w:p>
        </w:tc>
      </w:tr>
      <w:tr>
        <w:tc>
          <w:tcPr>
            <w:tcW w:type="dxa" w:w="22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EPM</w:t>
            </w:r>
          </w:p>
        </w:tc>
        <w:tc>
          <w:tcPr>
            <w:tcW w:type="dxa" w:w="71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Endpoint Privilege Management — removing standing local admin on endpoints and elevating specific apps/tasks just-in-time per policy, with application control.</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Federation</w:t>
            </w:r>
          </w:p>
        </w:tc>
        <w:tc>
          <w:tcPr>
            <w:tcW w:type="dxa" w:w="7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Trust between identity domains so one login works across organisations/apps (SAML, OIDC).</w:t>
            </w:r>
          </w:p>
        </w:tc>
      </w:tr>
      <w:tr>
        <w:tc>
          <w:tcPr>
            <w:tcW w:type="dxa" w:w="22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IGA</w:t>
            </w:r>
          </w:p>
        </w:tc>
        <w:tc>
          <w:tcPr>
            <w:tcW w:type="dxa" w:w="71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Identity Governance &amp; Administration — lifecycle, access requests, roles, certifications.</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ISPM</w:t>
            </w:r>
          </w:p>
        </w:tc>
        <w:tc>
          <w:tcPr>
            <w:tcW w:type="dxa" w:w="7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Identity Security Posture Management — continuous assessment of identity risk and misconfiguration across the identity fabric.</w:t>
            </w:r>
          </w:p>
        </w:tc>
      </w:tr>
      <w:tr>
        <w:tc>
          <w:tcPr>
            <w:tcW w:type="dxa" w:w="22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ITDR</w:t>
            </w:r>
          </w:p>
        </w:tc>
        <w:tc>
          <w:tcPr>
            <w:tcW w:type="dxa" w:w="71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Identity Threat Detection &amp; Response — detecting and responding to active identity-based attacks.</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JIT</w:t>
            </w:r>
          </w:p>
        </w:tc>
        <w:tc>
          <w:tcPr>
            <w:tcW w:type="dxa" w:w="7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Just-in-time access — privileges granted only when needed, for a limited time.</w:t>
            </w:r>
          </w:p>
        </w:tc>
      </w:tr>
      <w:tr>
        <w:tc>
          <w:tcPr>
            <w:tcW w:type="dxa" w:w="22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JML</w:t>
            </w:r>
          </w:p>
        </w:tc>
        <w:tc>
          <w:tcPr>
            <w:tcW w:type="dxa" w:w="71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Joiner-Mover-Leaver — the identity lifecycle.</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MAU</w:t>
            </w:r>
          </w:p>
        </w:tc>
        <w:tc>
          <w:tcPr>
            <w:tcW w:type="dxa" w:w="7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Monthly Active Users — common CIAM licensing metric (cost scales with active users, not named users).</w:t>
            </w:r>
          </w:p>
        </w:tc>
      </w:tr>
      <w:tr>
        <w:tc>
          <w:tcPr>
            <w:tcW w:type="dxa" w:w="22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MFA</w:t>
            </w:r>
          </w:p>
        </w:tc>
        <w:tc>
          <w:tcPr>
            <w:tcW w:type="dxa" w:w="71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Multi-factor authentication — more than one proof of identity.</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NHI</w:t>
            </w:r>
          </w:p>
        </w:tc>
        <w:tc>
          <w:tcPr>
            <w:tcW w:type="dxa" w:w="7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Non-human identity — service accounts, workloads, bots, AI agents.</w:t>
            </w:r>
          </w:p>
        </w:tc>
      </w:tr>
      <w:tr>
        <w:tc>
          <w:tcPr>
            <w:tcW w:type="dxa" w:w="22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PAM</w:t>
            </w:r>
          </w:p>
        </w:tc>
        <w:tc>
          <w:tcPr>
            <w:tcW w:type="dxa" w:w="71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Privileged Access Management — securing powerful/admin accounts.</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PEDM</w:t>
            </w:r>
          </w:p>
        </w:tc>
        <w:tc>
          <w:tcPr>
            <w:tcW w:type="dxa" w:w="7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Privilege Elevation &amp; Delegation Management — granting elevation without full standing admin; EPM is PEDM applied to the endpoint.</w:t>
            </w:r>
          </w:p>
        </w:tc>
      </w:tr>
      <w:tr>
        <w:tc>
          <w:tcPr>
            <w:tcW w:type="dxa" w:w="22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PIM</w:t>
            </w:r>
          </w:p>
        </w:tc>
        <w:tc>
          <w:tcPr>
            <w:tcW w:type="dxa" w:w="71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Privileged Identity Management — time-bound elevation of privileged roles (esp. Microsoft Entra).</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PKI</w:t>
            </w:r>
          </w:p>
        </w:tc>
        <w:tc>
          <w:tcPr>
            <w:tcW w:type="dxa" w:w="7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Public Key Infrastructure — the system of CAs, keys and certificates.</w:t>
            </w:r>
          </w:p>
        </w:tc>
      </w:tr>
      <w:tr>
        <w:tc>
          <w:tcPr>
            <w:tcW w:type="dxa" w:w="22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RBAC / ABAC</w:t>
            </w:r>
          </w:p>
        </w:tc>
        <w:tc>
          <w:tcPr>
            <w:tcW w:type="dxa" w:w="71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Role- / Attribute-based access control models.</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SCIM</w:t>
            </w:r>
          </w:p>
        </w:tc>
        <w:tc>
          <w:tcPr>
            <w:tcW w:type="dxa" w:w="7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System for Cross-domain Identity Management — standard provisioning protocol.</w:t>
            </w:r>
          </w:p>
        </w:tc>
      </w:tr>
      <w:tr>
        <w:tc>
          <w:tcPr>
            <w:tcW w:type="dxa" w:w="22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SoD</w:t>
            </w:r>
          </w:p>
        </w:tc>
        <w:tc>
          <w:tcPr>
            <w:tcW w:type="dxa" w:w="71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Segregation of Duties — preventing toxic combinations of access.</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SSO</w:t>
            </w:r>
          </w:p>
        </w:tc>
        <w:tc>
          <w:tcPr>
            <w:tcW w:type="dxa" w:w="7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Single Sign-On — one authentication grants access to many apps.</w:t>
            </w:r>
          </w:p>
        </w:tc>
      </w:tr>
      <w:tr>
        <w:tc>
          <w:tcPr>
            <w:tcW w:type="dxa" w:w="220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WBS</w:t>
            </w:r>
          </w:p>
        </w:tc>
        <w:tc>
          <w:tcPr>
            <w:tcW w:type="dxa" w:w="7160"/>
            <w:tcBorders>
              <w:top w:val="single" w:color="BBBBBB" w:sz="1"/>
              <w:left w:val="single" w:color="BBBBBB" w:sz="1"/>
              <w:bottom w:val="single" w:color="BBBBBB" w:sz="1"/>
              <w:right w:val="single" w:color="BBBBBB" w:sz="1"/>
            </w:tcBorders>
            <w:shd w:fill="EAF0FA" w:val="clear"/>
            <w:tcMar>
              <w:top w:type="dxa" w:w="60"/>
              <w:left w:type="dxa" w:w="110"/>
              <w:bottom w:type="dxa" w:w="60"/>
              <w:right w:type="dxa" w:w="110"/>
            </w:tcMar>
          </w:tcPr>
          <w:p>
            <w:pPr>
              <w:spacing w:after="20" w:line="252"/>
              <w:jc w:val="left"/>
            </w:pPr>
            <w:r>
              <w:rPr>
                <w:b w:val="false"/>
                <w:bCs w:val="false"/>
                <w:color w:val="000000"/>
                <w:sz w:val="20"/>
                <w:szCs w:val="20"/>
              </w:rPr>
              <w:t xml:space="preserve">Work Breakdown Structure — hierarchical decomposition of project work.</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ZSP</w:t>
            </w:r>
          </w:p>
        </w:tc>
        <w:tc>
          <w:tcPr>
            <w:tcW w:type="dxa" w:w="7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20" w:line="252"/>
              <w:jc w:val="left"/>
            </w:pPr>
            <w:r>
              <w:rPr>
                <w:b w:val="false"/>
                <w:bCs w:val="false"/>
                <w:color w:val="000000"/>
                <w:sz w:val="20"/>
                <w:szCs w:val="20"/>
              </w:rPr>
              <w:t xml:space="preserve">Zero Standing Privilege — no permanent privileged access; everything just-in-time.</w:t>
            </w:r>
          </w:p>
        </w:tc>
      </w:tr>
    </w:tbl>
    <w:p>
      <w:r>
        <w:br w:type="page"/>
      </w:r>
    </w:p>
    <w:p>
      <w:pPr>
        <w:pStyle w:val="Heading1"/>
      </w:pPr>
      <w:r>
        <w:t xml:space="preserve">12. Sources &amp; Further Reading</w:t>
      </w:r>
    </w:p>
    <w:p>
      <w:pPr>
        <w:spacing w:after="120" w:line="276"/>
      </w:pPr>
      <w:r>
        <w:t xml:space="preserve">Reference points behind the landscape and standards in this guide (current as of mid-2026):</w:t>
      </w:r>
    </w:p>
    <w:p>
      <w:pPr>
        <w:pStyle w:val="ListParagraph"/>
        <w:numPr>
          <w:ilvl w:val="0"/>
          <w:numId w:val="2"/>
        </w:numPr>
        <w:spacing w:after="60" w:line="264"/>
      </w:pPr>
      <w:r>
        <w:t xml:space="preserve">NIST SP 800-63-4, Digital Identity Guidelines (finalised 2025) — pages.nist.gov/800-63-4.</w:t>
      </w:r>
    </w:p>
    <w:p>
      <w:pPr>
        <w:pStyle w:val="ListParagraph"/>
        <w:numPr>
          <w:ilvl w:val="0"/>
          <w:numId w:val="2"/>
        </w:numPr>
        <w:spacing w:after="60" w:line="264"/>
      </w:pPr>
      <w:r>
        <w:t xml:space="preserve">Gartner Magic Quadrants 2025: Access Management; Identity Governance &amp; Administration; Privileged Access Management.</w:t>
      </w:r>
    </w:p>
    <w:p>
      <w:pPr>
        <w:pStyle w:val="ListParagraph"/>
        <w:numPr>
          <w:ilvl w:val="0"/>
          <w:numId w:val="2"/>
        </w:numPr>
        <w:spacing w:after="60" w:line="264"/>
      </w:pPr>
      <w:r>
        <w:t xml:space="preserve">CA/Browser Forum Ballot SC-081v3 (2025) — phased reduction of TLS certificate lifetimes.</w:t>
      </w:r>
    </w:p>
    <w:p>
      <w:pPr>
        <w:pStyle w:val="ListParagraph"/>
        <w:numPr>
          <w:ilvl w:val="0"/>
          <w:numId w:val="2"/>
        </w:numPr>
        <w:spacing w:after="60" w:line="264"/>
      </w:pPr>
      <w:r>
        <w:t xml:space="preserve">Vendor product documentation: Microsoft Entra, Okta, Ping, SailPoint, Saviynt, CyberArk, BeyondTrust, Delinea, Keyfactor, DigiCert, AppViewX, Entrust.</w:t>
      </w:r>
    </w:p>
    <w:p>
      <w:pPr>
        <w:spacing w:after="120"/>
      </w:pPr>
      <w:r>
        <w:t xml:space="preserve"/>
      </w:r>
    </w:p>
    <w:p>
      <w:pPr>
        <w:pBdr>
          <w:bottom w:val="single" w:color="2E75B6" w:sz="6" w:space="1"/>
        </w:pBdr>
        <w:spacing w:after="120"/>
      </w:pPr>
      <w:r>
        <w:t xml:space="preserve"/>
      </w:r>
    </w:p>
    <w:p>
      <w:pPr>
        <w:spacing w:after="120" w:line="276"/>
      </w:pPr>
      <w:r>
        <w:rPr>
          <w:b/>
          <w:bCs/>
        </w:rPr>
        <w:t xml:space="preserve">Next step: </w:t>
      </w:r>
      <w:r>
        <w:t xml:space="preserve">Module 1 — Directory Services. We start with why the directory is the foundation, then design a sync/consolidation approach and run our first worked estimate.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Curriculum &amp; Reference Guide  v1.0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2"/>
      </w:pBdr>
      <w:jc w:val="right"/>
    </w:pPr>
    <w:r>
      <w:rPr>
        <w:color w:val="595959"/>
        <w:sz w:val="16"/>
        <w:szCs w:val="16"/>
      </w:rPr>
      <w:t xml:space="preserve">IAM Solution Architect Mastery Program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4"/>
      </w:pBdr>
      <w:spacing w:after="160" w:before="280"/>
      <w:outlineLvl w:val="0"/>
    </w:pPr>
    <w:rPr>
      <w:rFonts w:ascii="Arial" w:cs="Arial" w:eastAsia="Arial" w:hAnsi="Arial"/>
      <w:b/>
      <w:bCs/>
      <w:color w:val="1F3864"/>
      <w:sz w:val="34"/>
      <w:szCs w:val="34"/>
    </w:rPr>
  </w:style>
  <w:style w:type="paragraph" w:styleId="Heading2">
    <w:name w:val="Heading 2"/>
    <w:basedOn w:val="Normal"/>
    <w:next w:val="Normal"/>
    <w:qFormat/>
    <w:pPr>
      <w:spacing w:after="100" w:before="22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IAM Mastery Program</dc:creator>
  <cp:lastModifiedBy>Un-named</cp:lastModifiedBy>
  <cp:revision>1</cp:revision>
  <dcterms:created xsi:type="dcterms:W3CDTF">2026-06-22T20:46:41.495Z</dcterms:created>
  <dcterms:modified xsi:type="dcterms:W3CDTF">2026-06-22T20:46:41.508Z</dcterms:modified>
</cp:coreProperties>
</file>

<file path=docProps/custom.xml><?xml version="1.0" encoding="utf-8"?>
<Properties xmlns="http://schemas.openxmlformats.org/officeDocument/2006/custom-properties" xmlns:vt="http://schemas.openxmlformats.org/officeDocument/2006/docPropsVTypes"/>
</file>