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FF0000"/>
          <w:sz w:val="24"/>
        </w:rPr>
        <w:t xml:space="preserve">Evaluation Warning: The document was created with Spire.Doc for Python.</w:t>
      </w:r>
    </w:p>
    <w:tbl>
      <w:tblPr>
        <w:tblStyle w:val="NormalTable"/>
        <w:tblW w:w="5000" w:type="pct"/>
        <w:tblInd w:w="495" w:type="dxa"/>
        <w:tblCellMar>
          <w:top w:w="15" w:type="dxa"/>
          <w:left w:w="15" w:type="dxa"/>
          <w:bottom w:w="15" w:type="dxa"/>
          <w:right w:w="15" w:type="dxa"/>
        </w:tblCellMar>
        <w:tblLook w:val="05E0"/>
      </w:tblPr>
      <w:tblGrid>
        <w:gridCol w:w="2560"/>
        <w:gridCol w:w="5973"/>
      </w:tblGrid>
      <w:tr>
        <w:tblPrEx>
          <w:tblW w:w="5000" w:type="pct"/>
          <w:tblInd w:w="495" w:type="dxa"/>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Name of Proposed Owner</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KRISHNAN ARUNBHAI PANDYA</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Name of Intended Purchaser</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RAJ SHAH</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Location of the Property</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AHMEDABAD</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Fair Market Value </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Realizable Sale Value </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Distress Sale Value </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DLC / Registration Value </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Insurable Value</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Property Front View</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trike w:val="0"/>
                <w:sz w:val="20"/>
                <w:szCs w:val="20"/>
                <w:u w:val="none"/>
              </w:rPr>
              <w:drawing>
                <wp:inline>
                  <wp:extent cx="304800" cy="304800"/>
                  <wp:docPr id="100001" name="" descr="Property Fro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82777"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Name and Address of Branch</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Name of Customer (s)/ Borrowal unit </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1</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Customer details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Name</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Application No.</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2</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Property details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Address</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Legal Address</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Nearby Landmark/Google Map</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Independent access to the property</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Yes</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3</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Document Details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1074"/>
              <w:gridCol w:w="2739"/>
              <w:gridCol w:w="1425"/>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sz w:val="20"/>
                      <w:szCs w:val="20"/>
                    </w:rPr>
                  </w:pPr>
                  <w:r>
                    <w:rPr>
                      <w:sz w:val="20"/>
                      <w:szCs w:val="20"/>
                    </w:rPr>
                    <w:t xml:space="preserve">Yes/No</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sz w:val="20"/>
                      <w:szCs w:val="20"/>
                    </w:rPr>
                  </w:pPr>
                  <w:r>
                    <w:rPr>
                      <w:sz w:val="20"/>
                      <w:szCs w:val="20"/>
                    </w:rPr>
                    <w:t xml:space="preserve">Name of Approving Authority</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center"/>
                    <w:rPr>
                      <w:sz w:val="20"/>
                      <w:szCs w:val="20"/>
                    </w:rPr>
                  </w:pPr>
                  <w:r>
                    <w:rPr>
                      <w:sz w:val="20"/>
                      <w:szCs w:val="20"/>
                    </w:rPr>
                    <w:t xml:space="preserve">Approval No.</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Layout Plan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Building Plan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Construction Permission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BU Permission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Legal Documents</w:t>
                  </w:r>
                </w:p>
              </w:tc>
              <w:tc>
                <w:tcPr>
                  <w:tcBorders>
                    <w:top w:val="single" w:sz="6" w:space="0" w:color="000000"/>
                    <w:left w:val="single" w:sz="6" w:space="0" w:color="000000"/>
                    <w:right w:val="single" w:sz="6" w:space="0" w:color="000000"/>
                  </w:tcBorders>
                  <w:tcMar>
                    <w:top w:w="128" w:type="dxa"/>
                    <w:left w:w="188" w:type="dxa"/>
                    <w:bottom w:w="125"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right w:val="single" w:sz="6" w:space="0" w:color="000000"/>
                  </w:tcBorders>
                  <w:tcMar>
                    <w:top w:w="128" w:type="dxa"/>
                    <w:left w:w="188" w:type="dxa"/>
                    <w:bottom w:w="125" w:type="dxa"/>
                    <w:right w:w="188" w:type="dxa"/>
                  </w:tcMar>
                  <w:vAlign w:val="top"/>
                </w:tcPr>
                <w:p>
                  <w:pPr>
                    <w:spacing w:line="326" w:lineRule="atLeast"/>
                    <w:jc w:val="left"/>
                    <w:rPr>
                      <w:sz w:val="20"/>
                      <w:szCs w:val="20"/>
                    </w:rPr>
                  </w:pPr>
                  <w:r>
                    <w:rPr>
                      <w:sz w:val="20"/>
                      <w:szCs w:val="20"/>
                    </w:rPr>
                    <w:t xml:space="preserve">-</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4</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Physical Details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center"/>
                    <w:rPr>
                      <w:b/>
                      <w:bCs/>
                      <w:sz w:val="20"/>
                      <w:szCs w:val="20"/>
                    </w:rPr>
                  </w:pPr>
                  <w:r>
                    <w:rPr>
                      <w:b/>
                      <w:bCs/>
                      <w:sz w:val="20"/>
                      <w:szCs w:val="20"/>
                    </w:rPr>
                    <w:t xml:space="preserve">Adjoining Properties</w:t>
                  </w:r>
                </w:p>
              </w:tc>
              <w:tc>
                <w:tcPr>
                  <w:tcBorders>
                    <w:left w:val="single" w:sz="6" w:space="0" w:color="000000"/>
                    <w:bottom w:val="single" w:sz="6" w:space="0" w:color="000000"/>
                  </w:tcBorders>
                  <w:tcMar>
                    <w:top w:w="5" w:type="dxa"/>
                    <w:left w:w="8" w:type="dxa"/>
                    <w:bottom w:w="8" w:type="dxa"/>
                    <w:right w:w="5" w:type="dxa"/>
                  </w:tcMar>
                  <w:vAlign w:val="top"/>
                </w:tcPr>
                <w:tbl>
                  <w:tblPr>
                    <w:tblStyle w:val="NormalTable"/>
                    <w:tblW w:w="5000" w:type="pct"/>
                    <w:tblCellMar>
                      <w:top w:w="15" w:type="dxa"/>
                      <w:left w:w="15" w:type="dxa"/>
                      <w:bottom w:w="15" w:type="dxa"/>
                      <w:right w:w="15" w:type="dxa"/>
                    </w:tblCellMar>
                    <w:tblLook w:val="05E0"/>
                  </w:tblPr>
                  <w:tblGrid>
                    <w:gridCol w:w="1572"/>
                    <w:gridCol w:w="3666"/>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East</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West</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North</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South</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North East</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North West</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South West</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right w:val="single" w:sz="6" w:space="0" w:color="000000"/>
                        </w:tcBorders>
                        <w:tcMar>
                          <w:top w:w="125" w:type="dxa"/>
                          <w:left w:w="185" w:type="dxa"/>
                          <w:bottom w:w="125" w:type="dxa"/>
                          <w:right w:w="188" w:type="dxa"/>
                        </w:tcMar>
                        <w:vAlign w:val="top"/>
                      </w:tcPr>
                      <w:p>
                        <w:pPr>
                          <w:spacing w:line="326" w:lineRule="atLeast"/>
                          <w:jc w:val="left"/>
                          <w:rPr>
                            <w:b/>
                            <w:bCs/>
                            <w:sz w:val="20"/>
                            <w:szCs w:val="20"/>
                          </w:rPr>
                        </w:pPr>
                        <w:r>
                          <w:rPr>
                            <w:b/>
                            <w:bCs/>
                            <w:sz w:val="20"/>
                            <w:szCs w:val="20"/>
                          </w:rPr>
                          <w:t xml:space="preserve">South East</w:t>
                        </w:r>
                      </w:p>
                    </w:tc>
                    <w:tc>
                      <w:tcPr>
                        <w:tcBorders>
                          <w:left w:val="single" w:sz="6" w:space="0" w:color="000000"/>
                        </w:tcBorders>
                        <w:tcMar>
                          <w:top w:w="125"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Matching of Boundaries</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Plot demarcated</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Approved land use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Type of property</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No. of Rooms</w:t>
                  </w:r>
                </w:p>
              </w:tc>
              <w:tc>
                <w:tcPr>
                  <w:tcBorders>
                    <w:top w:val="single" w:sz="6" w:space="0" w:color="000000"/>
                    <w:left w:val="single" w:sz="6" w:space="0" w:color="000000"/>
                    <w:bottom w:val="single" w:sz="6" w:space="0" w:color="000000"/>
                  </w:tcBorders>
                  <w:tcMar>
                    <w:top w:w="8" w:type="dxa"/>
                    <w:left w:w="8" w:type="dxa"/>
                    <w:bottom w:w="8" w:type="dxa"/>
                    <w:right w:w="5" w:type="dxa"/>
                  </w:tcMar>
                  <w:vAlign w:val="top"/>
                </w:tcPr>
                <w:tbl>
                  <w:tblPr>
                    <w:tblStyle w:val="NormalTable"/>
                    <w:tblW w:w="5000" w:type="pct"/>
                    <w:tblCellMar>
                      <w:top w:w="15" w:type="dxa"/>
                      <w:left w:w="15" w:type="dxa"/>
                      <w:bottom w:w="15" w:type="dxa"/>
                      <w:right w:w="15" w:type="dxa"/>
                    </w:tblCellMar>
                    <w:tblLook w:val="05E0"/>
                  </w:tblPr>
                  <w:tblGrid>
                    <w:gridCol w:w="1572"/>
                    <w:gridCol w:w="3666"/>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Living/ Dining</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Bed rooms</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Toilets</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Kitchen</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Total No of Floors</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Floor on which the property is located</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Approx age of the Property</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Residual age of the Property</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Type of structure</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5</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Tenure / Occupancy Details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Status of Tenure</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No. of years of occupancy</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Relationship of tenant or owner</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6</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Stage of Construction (for which valuation report is sought)</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Stage of construction</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If under construction, extent of completion</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7</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Violations if any observed</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right w:val="single" w:sz="6" w:space="0" w:color="000000"/>
                  </w:tcBorders>
                  <w:tcMar>
                    <w:top w:w="125" w:type="dxa"/>
                    <w:left w:w="185" w:type="dxa"/>
                    <w:bottom w:w="125" w:type="dxa"/>
                    <w:right w:w="188" w:type="dxa"/>
                  </w:tcMar>
                  <w:vAlign w:val="top"/>
                </w:tcPr>
                <w:p>
                  <w:pPr>
                    <w:spacing w:line="326" w:lineRule="atLeast"/>
                    <w:jc w:val="left"/>
                    <w:rPr>
                      <w:b/>
                      <w:bCs/>
                      <w:sz w:val="20"/>
                      <w:szCs w:val="20"/>
                    </w:rPr>
                  </w:pPr>
                  <w:r>
                    <w:rPr>
                      <w:b/>
                      <w:bCs/>
                      <w:sz w:val="20"/>
                      <w:szCs w:val="20"/>
                    </w:rPr>
                    <w:t xml:space="preserve">Nature and extent of violations</w:t>
                  </w:r>
                </w:p>
              </w:tc>
              <w:tc>
                <w:tcPr>
                  <w:tcBorders>
                    <w:left w:val="single" w:sz="6" w:space="0" w:color="000000"/>
                  </w:tcBorders>
                  <w:tcMar>
                    <w:top w:w="125"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8</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Area Details of the property</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Site Area</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 square feet / - square yard / - square meter</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Plinth Area</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 square feet / - square yard / - square meter</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Carpet Area</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 square feet / - square yard / - square meter</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Saleable Area</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 square feet / - square yard / - square meter</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Remarks</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9</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Valuation</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7452"/>
              <w:gridCol w:w="30"/>
            </w:tblGrid>
            <w:tr>
              <w:tblPrEx>
                <w:tblW w:w="5000" w:type="pct"/>
                <w:tblCellMar>
                  <w:top w:w="15" w:type="dxa"/>
                  <w:left w:w="15" w:type="dxa"/>
                  <w:bottom w:w="15" w:type="dxa"/>
                  <w:right w:w="15" w:type="dxa"/>
                </w:tblCellMar>
                <w:tblLook w:val="05E0"/>
              </w:tblPrEx>
              <w:tc>
                <w:tcPr>
                  <w:tcBorders>
                    <w:bottom w:val="single" w:sz="6" w:space="0" w:color="000000"/>
                  </w:tcBorders>
                  <w:tcMar>
                    <w:top w:w="185" w:type="dxa"/>
                    <w:left w:w="185" w:type="dxa"/>
                    <w:bottom w:w="188" w:type="dxa"/>
                    <w:right w:w="185" w:type="dxa"/>
                  </w:tcMar>
                  <w:vAlign w:val="top"/>
                </w:tcPr>
                <w:p>
                  <w:pPr>
                    <w:spacing w:line="326" w:lineRule="atLeast"/>
                    <w:jc w:val="both"/>
                    <w:rPr>
                      <w:sz w:val="20"/>
                      <w:szCs w:val="20"/>
                    </w:rPr>
                  </w:pPr>
                  <w:r>
                    <w:rPr>
                      <w:sz w:val="20"/>
                      <w:szCs w:val="20"/>
                    </w:rPr>
                    <w:t xml:space="preserve">We conducted an extensive local market inquiry to determine the prevailing market or composite rate of the property in the surrounding area. This included consultations with local real estate experts and engaging with community residents familiar with property values and market trends. By analysing recent transactions and pricing dynamics, we've gained a comprehensive understanding of current market conditions. This information forms the basis for our informed estimation of the property's composite rate, ensuring accuracy and transparency in our valuation process. </w:t>
                  </w:r>
                </w:p>
              </w:tc>
              <w:tc>
                <w:tcPr>
                  <w:vAlign w:val="center"/>
                </w:tcPr>
                <w:p>
                  <w:pPr>
                    <w:rPr>
                      <w:sz w:val="20"/>
                      <w:szCs w:val="20"/>
                    </w:rPr>
                  </w:pPr>
                </w:p>
              </w:tc>
            </w:tr>
            <w:tr>
              <w:tblPrEx>
                <w:tblCellMar>
                  <w:top w:w="15" w:type="dxa"/>
                  <w:left w:w="15" w:type="dxa"/>
                  <w:bottom w:w="15" w:type="dxa"/>
                  <w:right w:w="15" w:type="dxa"/>
                </w:tblCellMar>
                <w:tblLook w:val="05E0"/>
              </w:tblPrEx>
              <w:tc>
                <w:tcPr>
                  <w:tcBorders>
                    <w:top w:val="single" w:sz="6" w:space="0" w:color="000000"/>
                    <w:bottom w:val="single" w:sz="6" w:space="0" w:color="000000"/>
                  </w:tcBorders>
                  <w:tcMar>
                    <w:top w:w="8" w:type="dxa"/>
                    <w:left w:w="5" w:type="dxa"/>
                    <w:bottom w:w="8" w:type="dxa"/>
                    <w:right w:w="5" w:type="dxa"/>
                  </w:tcMar>
                  <w:vAlign w:val="top"/>
                </w:tcPr>
                <w:tbl>
                  <w:tblPr>
                    <w:tblStyle w:val="NormalTable"/>
                    <w:tblW w:w="5000" w:type="pct"/>
                    <w:tblCellMar>
                      <w:top w:w="15" w:type="dxa"/>
                      <w:left w:w="15" w:type="dxa"/>
                      <w:bottom w:w="15" w:type="dxa"/>
                      <w:right w:w="15" w:type="dxa"/>
                    </w:tblCellMar>
                    <w:tblLook w:val="05E0"/>
                  </w:tblPr>
                  <w:tblGrid>
                    <w:gridCol w:w="2205"/>
                    <w:gridCol w:w="1326"/>
                    <w:gridCol w:w="3922"/>
                  </w:tblGrid>
                  <w:tr>
                    <w:tblPrEx>
                      <w:tblW w:w="5000" w:type="pct"/>
                      <w:tblCellMar>
                        <w:top w:w="15" w:type="dxa"/>
                        <w:left w:w="15" w:type="dxa"/>
                        <w:bottom w:w="15" w:type="dxa"/>
                        <w:right w:w="15" w:type="dxa"/>
                      </w:tblCellMar>
                      <w:tblLook w:val="05E0"/>
                    </w:tblPrEx>
                    <w:tc>
                      <w:tcPr>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Particulars</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left"/>
                          <w:rPr>
                            <w:b/>
                            <w:bCs/>
                            <w:sz w:val="20"/>
                            <w:szCs w:val="20"/>
                          </w:rPr>
                        </w:pPr>
                        <w:r>
                          <w:rPr>
                            <w:b/>
                            <w:bCs/>
                            <w:sz w:val="20"/>
                            <w:szCs w:val="20"/>
                          </w:rPr>
                          <w:t xml:space="preserve">Range</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b/>
                            <w:bCs/>
                            <w:sz w:val="20"/>
                            <w:szCs w:val="20"/>
                          </w:rPr>
                        </w:pPr>
                        <w:r>
                          <w:rPr>
                            <w:b/>
                            <w:bCs/>
                            <w:sz w:val="20"/>
                            <w:szCs w:val="20"/>
                          </w:rPr>
                          <w:t xml:space="preserve">Source</w:t>
                        </w: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center"/>
                          <w:rPr>
                            <w:sz w:val="20"/>
                            <w:szCs w:val="20"/>
                          </w:rPr>
                        </w:pPr>
                        <w:r>
                          <w:rPr>
                            <w:sz w:val="20"/>
                            <w:szCs w:val="20"/>
                          </w:rPr>
                          <w:t xml:space="preserve">Exploring the market conditions in the surrounding area</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center"/>
                          <w:rPr>
                            <w:sz w:val="20"/>
                            <w:szCs w:val="20"/>
                          </w:rPr>
                        </w:pPr>
                        <w:r>
                          <w:rPr>
                            <w:sz w:val="20"/>
                            <w:szCs w:val="20"/>
                          </w:rPr>
                          <w:t xml:space="preserve">₹ 2700.00 - ₹ 3200.00</w:t>
                        </w:r>
                        <w:r>
                          <w:rPr>
                            <w:sz w:val="20"/>
                            <w:szCs w:val="20"/>
                          </w:rPr>
                          <w:br/>
                        </w:r>
                        <w:r>
                          <w:rPr>
                            <w:sz w:val="20"/>
                            <w:szCs w:val="20"/>
                          </w:rPr>
                          <w:t xml:space="preserve">₹ / s. feet</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Online portal</w:t>
                        </w:r>
                        <w:r>
                          <w:rPr>
                            <w:sz w:val="20"/>
                            <w:szCs w:val="20"/>
                          </w:rPr>
                          <w:br/>
                        </w:r>
                        <w:r>
                          <w:rPr>
                            <w:sz w:val="20"/>
                            <w:szCs w:val="20"/>
                          </w:rPr>
                          <w:t xml:space="preserve">(Copy attached)</w:t>
                        </w: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center"/>
                          <w:rPr>
                            <w:sz w:val="20"/>
                            <w:szCs w:val="20"/>
                          </w:rPr>
                        </w:pPr>
                        <w:r>
                          <w:rPr>
                            <w:sz w:val="20"/>
                            <w:szCs w:val="20"/>
                          </w:rPr>
                          <w:t xml:space="preserve">Exploring the market conditions in the surrounding area</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center"/>
                          <w:rPr>
                            <w:sz w:val="20"/>
                            <w:szCs w:val="20"/>
                          </w:rPr>
                        </w:pPr>
                        <w:r>
                          <w:rPr>
                            <w:sz w:val="20"/>
                            <w:szCs w:val="20"/>
                          </w:rPr>
                          <w:t xml:space="preserve">₹ 2700.00 - ₹ 3200.00</w:t>
                        </w:r>
                        <w:r>
                          <w:rPr>
                            <w:sz w:val="20"/>
                            <w:szCs w:val="20"/>
                          </w:rPr>
                          <w:br/>
                        </w:r>
                        <w:r>
                          <w:rPr>
                            <w:sz w:val="20"/>
                            <w:szCs w:val="20"/>
                          </w:rPr>
                          <w:t xml:space="preserve">₹ / s. feet</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 local market inquiry was conducted, involving local real estate brokers and residents, among others.</w:t>
                        </w:r>
                      </w:p>
                    </w:tc>
                  </w:tr>
                  <w:tr>
                    <w:tblPrEx>
                      <w:tblCellMar>
                        <w:top w:w="15" w:type="dxa"/>
                        <w:left w:w="15" w:type="dxa"/>
                        <w:bottom w:w="15" w:type="dxa"/>
                        <w:right w:w="15" w:type="dxa"/>
                      </w:tblCellMar>
                      <w:tblLook w:val="05E0"/>
                    </w:tblPrEx>
                    <w:tc>
                      <w:tcPr>
                        <w:gridSpan w:val="3"/>
                        <w:tcBorders>
                          <w:top w:val="single" w:sz="6" w:space="0" w:color="000000"/>
                        </w:tcBorders>
                        <w:tcMar>
                          <w:top w:w="188" w:type="dxa"/>
                          <w:left w:w="185" w:type="dxa"/>
                          <w:bottom w:w="185" w:type="dxa"/>
                          <w:right w:w="185" w:type="dxa"/>
                        </w:tcMar>
                        <w:vAlign w:val="top"/>
                      </w:tcPr>
                      <w:p>
                        <w:pPr>
                          <w:spacing w:line="326" w:lineRule="atLeast"/>
                          <w:jc w:val="both"/>
                          <w:rPr>
                            <w:sz w:val="20"/>
                            <w:szCs w:val="20"/>
                          </w:rPr>
                        </w:pPr>
                        <w:r>
                          <w:rPr>
                            <w:sz w:val="20"/>
                            <w:szCs w:val="20"/>
                          </w:rPr>
                          <w:t xml:space="preserve">Incorporating the information presented earlier, encompassing a range of factors such as property location, size, condition, and the specifics outlined in part 10 paragraph no. VI, the prevailing market / land rate for a comparable property in the nearby vicinity is currently estimated to fall between Rs. 35,000.00 and Rs. 45,000.00 per square yard. Taking all these factors into careful consideration, including the unique characteristics and location of the subject property, we have determined the unit rate as follows, drawing from our comprehensive evaluation. </w:t>
                        </w:r>
                      </w:p>
                    </w:tc>
                  </w:tr>
                </w:tbl>
                <w:p>
                  <w:pPr>
                    <w:rPr>
                      <w:sz w:val="20"/>
                      <w:szCs w:val="20"/>
                    </w:rPr>
                  </w:pPr>
                </w:p>
              </w:tc>
              <w:tc>
                <w:tcPr>
                  <w:vAlign w:val="center"/>
                </w:tcPr>
                <w:p>
                  <w:pPr>
                    <w:rPr>
                      <w:sz w:val="20"/>
                      <w:szCs w:val="20"/>
                    </w:rPr>
                  </w:pPr>
                </w:p>
              </w:tc>
            </w:tr>
            <w:tr>
              <w:tblPrEx>
                <w:tblCellMar>
                  <w:top w:w="15" w:type="dxa"/>
                  <w:left w:w="15" w:type="dxa"/>
                  <w:bottom w:w="15" w:type="dxa"/>
                  <w:right w:w="15" w:type="dxa"/>
                </w:tblCellMar>
                <w:tblLook w:val="05E0"/>
              </w:tblPrEx>
              <w:tc>
                <w:tcPr>
                  <w:gridSpan w:val="2"/>
                  <w:tcBorders>
                    <w:top w:val="single" w:sz="6" w:space="0" w:color="000000"/>
                    <w:bottom w:val="single" w:sz="6" w:space="0" w:color="000000"/>
                  </w:tcBorders>
                  <w:tcMar>
                    <w:top w:w="8" w:type="dxa"/>
                    <w:left w:w="5" w:type="dxa"/>
                    <w:bottom w:w="8" w:type="dxa"/>
                    <w:right w:w="5" w:type="dxa"/>
                  </w:tcMar>
                  <w:vAlign w:val="top"/>
                </w:tcPr>
                <w:tbl>
                  <w:tblPr>
                    <w:tblStyle w:val="NormalTable"/>
                    <w:tblW w:w="5000" w:type="pct"/>
                    <w:tblCellMar>
                      <w:top w:w="15" w:type="dxa"/>
                      <w:left w:w="15" w:type="dxa"/>
                      <w:bottom w:w="15" w:type="dxa"/>
                      <w:right w:w="15" w:type="dxa"/>
                    </w:tblCellMar>
                    <w:tblLook w:val="05E0"/>
                  </w:tblPr>
                  <w:tblGrid>
                    <w:gridCol w:w="3670"/>
                    <w:gridCol w:w="802"/>
                    <w:gridCol w:w="1308"/>
                    <w:gridCol w:w="1703"/>
                  </w:tblGrid>
                  <w:tr>
                    <w:tblPrEx>
                      <w:tblW w:w="5000" w:type="pct"/>
                      <w:tblCellMar>
                        <w:top w:w="15" w:type="dxa"/>
                        <w:left w:w="15" w:type="dxa"/>
                        <w:bottom w:w="15" w:type="dxa"/>
                        <w:right w:w="15" w:type="dxa"/>
                      </w:tblCellMar>
                      <w:tblLook w:val="05E0"/>
                    </w:tblPrEx>
                    <w:tc>
                      <w:tcPr>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center"/>
                          <w:rPr>
                            <w:b/>
                            <w:bCs/>
                            <w:sz w:val="20"/>
                            <w:szCs w:val="20"/>
                          </w:rPr>
                        </w:pPr>
                        <w:r>
                          <w:rPr>
                            <w:b/>
                            <w:bCs/>
                            <w:sz w:val="20"/>
                            <w:szCs w:val="20"/>
                          </w:rPr>
                          <w:t xml:space="preserve">Description</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b/>
                            <w:bCs/>
                            <w:sz w:val="20"/>
                            <w:szCs w:val="20"/>
                          </w:rPr>
                        </w:pPr>
                        <w:r>
                          <w:rPr>
                            <w:b/>
                            <w:bCs/>
                            <w:sz w:val="20"/>
                            <w:szCs w:val="20"/>
                          </w:rPr>
                          <w:t xml:space="preserve">Qty.</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b/>
                            <w:bCs/>
                            <w:sz w:val="20"/>
                            <w:szCs w:val="20"/>
                          </w:rPr>
                        </w:pPr>
                        <w:r>
                          <w:rPr>
                            <w:b/>
                            <w:bCs/>
                            <w:sz w:val="20"/>
                            <w:szCs w:val="20"/>
                          </w:rPr>
                          <w:t xml:space="preserve">Rate per unit (in ₹)</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center"/>
                          <w:rPr>
                            <w:b/>
                            <w:bCs/>
                            <w:sz w:val="20"/>
                            <w:szCs w:val="20"/>
                          </w:rPr>
                        </w:pPr>
                        <w:r>
                          <w:rPr>
                            <w:b/>
                            <w:bCs/>
                            <w:sz w:val="20"/>
                            <w:szCs w:val="20"/>
                          </w:rPr>
                          <w:t xml:space="preserve">Estimated fair value (in ₹)</w:t>
                        </w: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sz w:val="20"/>
                            <w:szCs w:val="20"/>
                          </w:rPr>
                        </w:pPr>
                        <w:r>
                          <w:rPr>
                            <w:sz w:val="20"/>
                            <w:szCs w:val="20"/>
                          </w:rPr>
                          <w:t xml:space="preserve">Present value of the building (incl. car parking, if provided)</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sz w:val="20"/>
                            <w:szCs w:val="20"/>
                          </w:rPr>
                        </w:pPr>
                        <w:r>
                          <w:rPr>
                            <w:sz w:val="20"/>
                            <w:szCs w:val="20"/>
                          </w:rPr>
                          <w:t xml:space="preserve">Additional Value</w:t>
                        </w:r>
                      </w:p>
                    </w:tc>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center"/>
                          <w:rPr>
                            <w:sz w:val="20"/>
                            <w:szCs w:val="20"/>
                          </w:rPr>
                        </w:pPr>
                        <w:r>
                          <w:rPr>
                            <w:sz w:val="20"/>
                            <w:szCs w:val="20"/>
                          </w:rPr>
                          <w:t xml:space="preserve">Combined</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gridSpan w:val="3"/>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sz w:val="20"/>
                            <w:szCs w:val="20"/>
                          </w:rPr>
                        </w:pPr>
                        <w:r>
                          <w:rPr>
                            <w:sz w:val="20"/>
                            <w:szCs w:val="20"/>
                          </w:rPr>
                          <w:t xml:space="preserve">Total Fair Value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sz w:val="20"/>
                            <w:szCs w:val="20"/>
                          </w:rPr>
                        </w:pPr>
                        <w:r>
                          <w:rPr>
                            <w:sz w:val="20"/>
                            <w:szCs w:val="20"/>
                          </w:rPr>
                          <w:t xml:space="preserve">Total Fair Value</w:t>
                        </w:r>
                        <w:r>
                          <w:rPr>
                            <w:sz w:val="20"/>
                            <w:szCs w:val="20"/>
                          </w:rPr>
                          <w:br/>
                        </w:r>
                        <w:r>
                          <w:rPr>
                            <w:sz w:val="20"/>
                            <w:szCs w:val="20"/>
                          </w:rPr>
                          <w:t xml:space="preserve">(Rounded off &amp; in words)</w:t>
                        </w:r>
                      </w:p>
                    </w:tc>
                    <w:tc>
                      <w:tcPr>
                        <w:gridSpan w:val="3"/>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p>
                    </w:tc>
                  </w:tr>
                </w:tbl>
                <w:p>
                  <w:pPr>
                    <w:rPr>
                      <w:sz w:val="20"/>
                      <w:szCs w:val="20"/>
                    </w:rPr>
                  </w:pPr>
                </w:p>
              </w:tc>
            </w:tr>
            <w:tr>
              <w:tblPrEx>
                <w:tblCellMar>
                  <w:top w:w="15" w:type="dxa"/>
                  <w:left w:w="15" w:type="dxa"/>
                  <w:bottom w:w="15" w:type="dxa"/>
                  <w:right w:w="15" w:type="dxa"/>
                </w:tblCellMar>
                <w:tblLook w:val="05E0"/>
              </w:tblPrEx>
              <w:tc>
                <w:tcPr>
                  <w:gridSpan w:val="2"/>
                  <w:tcBorders>
                    <w:top w:val="single" w:sz="6" w:space="0" w:color="000000"/>
                  </w:tcBorders>
                  <w:tcMar>
                    <w:top w:w="188" w:type="dxa"/>
                    <w:left w:w="185" w:type="dxa"/>
                    <w:bottom w:w="185" w:type="dxa"/>
                    <w:right w:w="185" w:type="dxa"/>
                  </w:tcMar>
                  <w:vAlign w:val="top"/>
                </w:tcPr>
                <w:p>
                  <w:pPr>
                    <w:spacing w:line="326" w:lineRule="atLeast"/>
                    <w:jc w:val="both"/>
                    <w:rPr>
                      <w:sz w:val="20"/>
                      <w:szCs w:val="20"/>
                    </w:rPr>
                  </w:pPr>
                  <w:r>
                    <w:rPr>
                      <w:sz w:val="20"/>
                      <w:szCs w:val="20"/>
                    </w:rPr>
                    <w:t xml:space="preserve">As a result of our appraisal and analysis, it is our considered opinion that the present fair market value of the above property in the prevailing condition with aforesaid specifications is &lt;</w:t>
                  </w:r>
                  <w:r>
                    <w:rPr>
                      <w:sz w:val="20"/>
                      <w:szCs w:val="20"/>
                    </w:rPr>
                    <w:t xml:space="preserve">&gt;. The book value of the above property is &lt;</w:t>
                  </w:r>
                  <w:r>
                    <w:rPr>
                      <w:sz w:val="20"/>
                      <w:szCs w:val="20"/>
                    </w:rPr>
                    <w:t xml:space="preserve">&gt; &lt;</w:t>
                  </w:r>
                  <w:r>
                    <w:rPr>
                      <w:sz w:val="20"/>
                      <w:szCs w:val="20"/>
                    </w:rPr>
                    <w:t xml:space="preserve">&gt; ( As per sale deed ). And the distress sale value &lt;</w:t>
                  </w:r>
                  <w:r>
                    <w:rPr>
                      <w:sz w:val="20"/>
                      <w:szCs w:val="20"/>
                    </w:rPr>
                    <w:t xml:space="preserve">&gt;. </w:t>
                  </w:r>
                </w:p>
              </w:tc>
            </w:tr>
          </w:tbl>
          <w:p>
            <w:pPr>
              <w:rPr>
                <w:sz w:val="20"/>
                <w:szCs w:val="20"/>
              </w:rPr>
            </w:pP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Fair Market Value</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The concept of Fair Market Value, as defined, centres around the estimated sum at which an asset could feasibly be exchanged on the designated valuation date. This exchange would transpire between two willing participants in a transaction that is impartial and equitable. This transaction follows a comprehensive marketing process, and the parties involved are expected to make well-informed, prudent decisions devoid of any undue influence or pressure.</w:t>
            </w:r>
            <w:r>
              <w:rPr>
                <w:sz w:val="20"/>
                <w:szCs w:val="20"/>
              </w:rPr>
              <w:br/>
            </w:r>
            <w:r>
              <w:rPr>
                <w:sz w:val="20"/>
                <w:szCs w:val="20"/>
              </w:rPr>
              <w:br/>
            </w:r>
            <w:r>
              <w:rPr>
                <w:sz w:val="20"/>
                <w:szCs w:val="20"/>
              </w:rPr>
              <w:t xml:space="preserve"> Given the existing state of usability and the specific attributes of the property under consideration, and drawing on my professional judgement, I propose considering the rounded-up value as the final figure, which I denote as &lt;</w:t>
            </w:r>
            <w:r>
              <w:rPr>
                <w:sz w:val="20"/>
                <w:szCs w:val="20"/>
              </w:rPr>
              <w:t xml:space="preserve">&gt;. </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Realizable Value</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Realizable value pertains to the inherent worth of an asset that can be achieved through its successful sale, factoring in a prudent assessment of the associated costs.</w:t>
            </w:r>
            <w:r>
              <w:rPr>
                <w:sz w:val="20"/>
                <w:szCs w:val="20"/>
              </w:rPr>
              <w:br/>
            </w:r>
            <w:r>
              <w:rPr>
                <w:sz w:val="20"/>
                <w:szCs w:val="20"/>
              </w:rPr>
              <w:br/>
            </w:r>
            <w:r>
              <w:rPr>
                <w:sz w:val="20"/>
                <w:szCs w:val="20"/>
              </w:rPr>
              <w:t xml:space="preserve"> In light of a &lt;</w:t>
            </w:r>
            <w:r>
              <w:rPr>
                <w:sz w:val="20"/>
                <w:szCs w:val="20"/>
              </w:rPr>
              <w:t xml:space="preserve">&gt;% discount, we assert our view that the Realizable value of the aforementioned property, in its current condition and with the specified attributes, stands at &lt;</w:t>
            </w:r>
            <w:r>
              <w:rPr>
                <w:sz w:val="20"/>
                <w:szCs w:val="20"/>
              </w:rPr>
              <w:t xml:space="preserve">&gt;. This assessment considers the potential financial impact of the discount, ensuring a comprehensive understanding of the property's market value in relation to the costs involved. </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Forced Sale/ Distress Value</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The fair value delineated above finds its application in a theoretical realm of an ideal market scenario. However, when the scenario shifts to circumstances where a financial institution seeks to recuperate its outstanding dues by initiating property sale proceedings, the aforementioned market price might not be directly applicable. This is due to the conventional nature of property payments, often spread out across a duration and paid through instalments. Yet, when a lender seeks to sell a property under enforcement, the expectation is for an immediate, lump-sum payment. However, this alignment might not be viable within an imperfect property market context. It's widely acknowledged that sales orchestrated by enforcing authorities often yield a value significantly lower than what the market could command. This discrepancy between the market price and the realised sale price becomes more pronounced. This contrast essentially stems from factors such as market dynamics, borrower cooperation, and prevailing market conditions, all contributing to the gap between perceived and realised values.</w:t>
            </w:r>
            <w:r>
              <w:rPr>
                <w:sz w:val="20"/>
                <w:szCs w:val="20"/>
              </w:rPr>
              <w:br/>
            </w:r>
            <w:r>
              <w:rPr>
                <w:sz w:val="20"/>
                <w:szCs w:val="20"/>
              </w:rPr>
              <w:br/>
            </w:r>
            <w:r>
              <w:rPr>
                <w:sz w:val="20"/>
                <w:szCs w:val="20"/>
              </w:rPr>
              <w:t xml:space="preserve"> The determination of the appropriate discount for a particular property hinges on a multitude of variables, including but not limited to market influences, borrower's stance, property marketability, and prevailing conditions. As we delve into the specific property under consideration, our perspective leads us to opine that the forced sale value could likely hover between 20% to 30% below the market value. In light of these considerations, an average discount of approximately 25% is prudent for the purpose of this valuation.</w:t>
            </w:r>
            <w:r>
              <w:rPr>
                <w:sz w:val="20"/>
                <w:szCs w:val="20"/>
              </w:rPr>
              <w:br/>
            </w:r>
            <w:r>
              <w:rPr>
                <w:sz w:val="20"/>
                <w:szCs w:val="20"/>
              </w:rPr>
              <w:br/>
            </w:r>
            <w:r>
              <w:rPr>
                <w:sz w:val="20"/>
                <w:szCs w:val="20"/>
              </w:rPr>
              <w:t xml:space="preserve"> Thus, based on our assessment, the estimated forced sale or distress value of the subject property amounts to &lt;</w:t>
            </w:r>
            <w:r>
              <w:rPr>
                <w:sz w:val="20"/>
                <w:szCs w:val="20"/>
              </w:rPr>
              <w:t xml:space="preserve">&gt;. This value encapsulates a careful synthesis of market realities, borrower behaviour, and the unique circumstances surrounding the sale. </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Government guideline value</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Prevailing Govt. GuideLine/ Jantri rate derives to be &lt;</w:t>
            </w:r>
            <w:r>
              <w:rPr>
                <w:sz w:val="20"/>
                <w:szCs w:val="20"/>
              </w:rPr>
              <w:t xml:space="preserve">&gt; per square meter for reasonably identical property, based on inquiry from the local revenue practitioners / registration - jantri value derived by the State Government represents guideline value fixed for stamp duty / registration purpose.</w:t>
            </w:r>
            <w:r>
              <w:rPr>
                <w:sz w:val="20"/>
                <w:szCs w:val="20"/>
              </w:rPr>
              <w:br/>
            </w:r>
            <w:r>
              <w:rPr>
                <w:sz w:val="20"/>
                <w:szCs w:val="20"/>
              </w:rPr>
              <w:br/>
            </w:r>
            <w:r>
              <w:rPr>
                <w:sz w:val="20"/>
                <w:szCs w:val="20"/>
              </w:rPr>
              <w:t xml:space="preserve"> The Govt. of Gujarat has revised the Jantri rate vide Tharav No. STP-122023-20-H.1, Dated 13/04/2023 &amp; implemented the same from dated 15/04/2023. For residential flat premises, Jantri rate is considered 1.8 times of rate of Jantri - 2011 ( Copy attached ). </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4266"/>
              <w:gridCol w:w="2181"/>
              <w:gridCol w:w="2086"/>
            </w:tblGrid>
            <w:tr>
              <w:tblPrEx>
                <w:tblW w:w="5000" w:type="pct"/>
                <w:tblCellMar>
                  <w:top w:w="15" w:type="dxa"/>
                  <w:left w:w="15" w:type="dxa"/>
                  <w:bottom w:w="15" w:type="dxa"/>
                  <w:right w:w="15" w:type="dxa"/>
                </w:tblCellMar>
                <w:tblLook w:val="05E0"/>
              </w:tblPrEx>
              <w:tc>
                <w:tcPr>
                  <w:tcW w:w="2500" w:type="pct"/>
                  <w:tcBorders>
                    <w:bottom w:val="single" w:sz="6" w:space="0" w:color="000000"/>
                    <w:right w:val="single" w:sz="6" w:space="0" w:color="000000"/>
                  </w:tcBorders>
                  <w:tcMar>
                    <w:top w:w="125" w:type="dxa"/>
                    <w:left w:w="185" w:type="dxa"/>
                    <w:bottom w:w="128" w:type="dxa"/>
                    <w:right w:w="188" w:type="dxa"/>
                  </w:tcMar>
                  <w:vAlign w:val="top"/>
                </w:tcPr>
                <w:p>
                  <w:pPr>
                    <w:jc w:val="left"/>
                    <w:rPr>
                      <w:b/>
                      <w:bCs/>
                      <w:sz w:val="24"/>
                      <w:szCs w:val="24"/>
                    </w:rPr>
                  </w:pPr>
                  <w:r>
                    <w:rPr>
                      <w:b/>
                      <w:bCs/>
                      <w:sz w:val="24"/>
                      <w:szCs w:val="24"/>
                    </w:rPr>
                    <w:t xml:space="preserve">Jantri rate for residential flat premises - year 2011</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left"/>
                    <w:rPr>
                      <w:sz w:val="20"/>
                      <w:szCs w:val="20"/>
                    </w:rPr>
                  </w:pP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tcW w:w="2500" w:type="pct"/>
                  <w:tcBorders>
                    <w:top w:val="single" w:sz="6" w:space="0" w:color="000000"/>
                    <w:right w:val="single" w:sz="6" w:space="0" w:color="000000"/>
                  </w:tcBorders>
                  <w:tcMar>
                    <w:top w:w="128" w:type="dxa"/>
                    <w:left w:w="185" w:type="dxa"/>
                    <w:bottom w:w="125" w:type="dxa"/>
                    <w:right w:w="188" w:type="dxa"/>
                  </w:tcMar>
                  <w:vAlign w:val="top"/>
                </w:tcPr>
                <w:p>
                  <w:pPr>
                    <w:jc w:val="left"/>
                    <w:rPr>
                      <w:b/>
                      <w:bCs/>
                      <w:sz w:val="24"/>
                      <w:szCs w:val="24"/>
                    </w:rPr>
                  </w:pPr>
                  <w:r>
                    <w:rPr>
                      <w:b/>
                      <w:bCs/>
                      <w:sz w:val="24"/>
                      <w:szCs w:val="24"/>
                    </w:rPr>
                    <w:t xml:space="preserve">Revised Jantri rate as per Govt. notification</w:t>
                  </w:r>
                </w:p>
              </w:tc>
              <w:tc>
                <w:tcPr>
                  <w:tcBorders>
                    <w:top w:val="single" w:sz="6" w:space="0" w:color="000000"/>
                    <w:left w:val="single" w:sz="6" w:space="0" w:color="000000"/>
                    <w:right w:val="single" w:sz="6" w:space="0" w:color="000000"/>
                  </w:tcBorders>
                  <w:tcMar>
                    <w:top w:w="128" w:type="dxa"/>
                    <w:left w:w="188" w:type="dxa"/>
                    <w:bottom w:w="125" w:type="dxa"/>
                    <w:right w:w="188" w:type="dxa"/>
                  </w:tcMar>
                  <w:vAlign w:val="top"/>
                </w:tcPr>
                <w:p>
                  <w:pPr>
                    <w:spacing w:line="326" w:lineRule="atLeast"/>
                    <w:jc w:val="left"/>
                    <w:rPr>
                      <w:sz w:val="20"/>
                      <w:szCs w:val="20"/>
                    </w:rPr>
                  </w:pP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p>
              </w:tc>
            </w:tr>
          </w:tbl>
          <w:p>
            <w:pPr>
              <w:rPr>
                <w:sz w:val="20"/>
                <w:szCs w:val="20"/>
              </w:rPr>
            </w:pP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857"/>
              <w:gridCol w:w="1528"/>
              <w:gridCol w:w="1909"/>
              <w:gridCol w:w="1842"/>
              <w:gridCol w:w="2398"/>
            </w:tblGrid>
            <w:tr>
              <w:tblPrEx>
                <w:tblW w:w="5000" w:type="pct"/>
                <w:tblCellMar>
                  <w:top w:w="15" w:type="dxa"/>
                  <w:left w:w="15" w:type="dxa"/>
                  <w:bottom w:w="15" w:type="dxa"/>
                  <w:right w:w="15" w:type="dxa"/>
                </w:tblCellMar>
                <w:tblLook w:val="05E0"/>
              </w:tblPrEx>
              <w:tc>
                <w:tcPr>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center"/>
                    <w:rPr>
                      <w:b/>
                      <w:bCs/>
                      <w:sz w:val="20"/>
                      <w:szCs w:val="20"/>
                    </w:rPr>
                  </w:pPr>
                  <w:r>
                    <w:rPr>
                      <w:b/>
                      <w:bCs/>
                      <w:sz w:val="20"/>
                      <w:szCs w:val="20"/>
                    </w:rPr>
                    <w:t xml:space="preserve">Sr. No</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b/>
                      <w:bCs/>
                      <w:sz w:val="20"/>
                      <w:szCs w:val="20"/>
                    </w:rPr>
                  </w:pPr>
                  <w:r>
                    <w:rPr>
                      <w:b/>
                      <w:bCs/>
                      <w:sz w:val="20"/>
                      <w:szCs w:val="20"/>
                    </w:rPr>
                    <w:t xml:space="preserve">Description</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b/>
                      <w:bCs/>
                      <w:sz w:val="20"/>
                      <w:szCs w:val="20"/>
                    </w:rPr>
                  </w:pPr>
                  <w:r>
                    <w:rPr>
                      <w:b/>
                      <w:bCs/>
                      <w:sz w:val="20"/>
                      <w:szCs w:val="20"/>
                    </w:rPr>
                    <w:t xml:space="preserve">Qty. (square meter)</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center"/>
                    <w:rPr>
                      <w:b/>
                      <w:bCs/>
                      <w:sz w:val="20"/>
                      <w:szCs w:val="20"/>
                    </w:rPr>
                  </w:pPr>
                  <w:r>
                    <w:rPr>
                      <w:b/>
                      <w:bCs/>
                      <w:sz w:val="20"/>
                      <w:szCs w:val="20"/>
                    </w:rPr>
                    <w:t xml:space="preserve">Rate per unit (in ₹)</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center"/>
                    <w:rPr>
                      <w:b/>
                      <w:bCs/>
                      <w:sz w:val="20"/>
                      <w:szCs w:val="20"/>
                    </w:rPr>
                  </w:pPr>
                  <w:r>
                    <w:rPr>
                      <w:b/>
                      <w:bCs/>
                      <w:sz w:val="20"/>
                      <w:szCs w:val="20"/>
                    </w:rPr>
                    <w:t xml:space="preserve">Estimated fair value (in ₹)</w:t>
                  </w: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center"/>
                    <w:rPr>
                      <w:sz w:val="20"/>
                      <w:szCs w:val="20"/>
                    </w:rPr>
                  </w:pPr>
                  <w:r>
                    <w:rPr>
                      <w:sz w:val="20"/>
                      <w:szCs w:val="20"/>
                    </w:rPr>
                    <w:t xml:space="preserve">i</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center"/>
                    <w:rPr>
                      <w:sz w:val="20"/>
                      <w:szCs w:val="20"/>
                    </w:rPr>
                  </w:pPr>
                  <w:r>
                    <w:rPr>
                      <w:sz w:val="20"/>
                      <w:szCs w:val="20"/>
                    </w:rPr>
                    <w:t xml:space="preserve">ii</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center"/>
                    <w:rPr>
                      <w:sz w:val="20"/>
                      <w:szCs w:val="20"/>
                    </w:rPr>
                  </w:pPr>
                  <w:r>
                    <w:rPr>
                      <w:sz w:val="20"/>
                      <w:szCs w:val="20"/>
                    </w:rPr>
                    <w:t xml:space="preserve">iii</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gridSpan w:val="4"/>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Total ( i-iii )</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gridSpan w:val="4"/>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Total Fair Value (Rounded off &amp; in words)</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p>
              </w:tc>
            </w:tr>
          </w:tbl>
          <w:p>
            <w:pPr>
              <w:rPr>
                <w:sz w:val="20"/>
                <w:szCs w:val="20"/>
              </w:rPr>
            </w:pP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The guideline value of the property as below is &lt;</w:t>
            </w:r>
            <w:r>
              <w:rPr>
                <w:sz w:val="20"/>
                <w:szCs w:val="20"/>
              </w:rPr>
              <w:t xml:space="preserve">&gt;. </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Government guideline value Justification</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Generally the market rate of the property is higher than the government guideline rate ( Jantri ). As per Section, 50 C of the Income Tax Act Jantri rates are for stamp duty purpose only. These rates are considered as guideline rates only &amp; they do not represent or reflect the True Market Value of any asset as upheld even by the court. So it is normal practice of doing valuation by local inquiries. </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SUMMARY</w:t>
            </w:r>
          </w:p>
        </w:tc>
      </w:tr>
      <w:tr>
        <w:tblPrEx>
          <w:tblCellMar>
            <w:top w:w="15" w:type="dxa"/>
            <w:left w:w="15" w:type="dxa"/>
            <w:bottom w:w="15" w:type="dxa"/>
            <w:right w:w="15" w:type="dxa"/>
          </w:tblCellMar>
          <w:tblLook w:val="05E0"/>
        </w:tblPrEx>
        <w:tc>
          <w:tcPr>
            <w:gridSpan w:val="2"/>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After conducting a comprehensive appraisal and analysis, we hold the view that the current fair value of the property situated at &lt;</w:t>
            </w:r>
            <w:r>
              <w:rPr>
                <w:sz w:val="20"/>
                <w:szCs w:val="20"/>
              </w:rPr>
              <w:t xml:space="preserve">&gt; as of &lt;</w:t>
            </w:r>
            <w:r>
              <w:rPr>
                <w:sz w:val="20"/>
                <w:szCs w:val="20"/>
              </w:rPr>
              <w:t xml:space="preserve">&gt; is &lt;</w:t>
            </w:r>
            <w:r>
              <w:rPr>
                <w:sz w:val="20"/>
                <w:szCs w:val="20"/>
              </w:rPr>
              <w:t xml:space="preserve">&gt;, which we consider to be equitable and rational.</w:t>
            </w:r>
            <w:r>
              <w:rPr>
                <w:sz w:val="20"/>
                <w:szCs w:val="20"/>
              </w:rPr>
              <w:br/>
            </w:r>
            <w:r>
              <w:rPr>
                <w:sz w:val="20"/>
                <w:szCs w:val="20"/>
              </w:rPr>
              <w:br/>
            </w:r>
            <w:r>
              <w:rPr>
                <w:sz w:val="20"/>
                <w:szCs w:val="20"/>
              </w:rPr>
              <w:t xml:space="preserve"> Following our thorough assessment, we assert that the Realizable value of the property, considering the existing condition and specified attributes, amounts to &lt;</w:t>
            </w:r>
            <w:r>
              <w:rPr>
                <w:sz w:val="20"/>
                <w:szCs w:val="20"/>
              </w:rPr>
              <w:t xml:space="preserve">&gt;.</w:t>
            </w:r>
            <w:r>
              <w:rPr>
                <w:sz w:val="20"/>
                <w:szCs w:val="20"/>
              </w:rPr>
              <w:br/>
            </w:r>
            <w:r>
              <w:rPr>
                <w:sz w:val="20"/>
                <w:szCs w:val="20"/>
              </w:rPr>
              <w:br/>
            </w:r>
            <w:r>
              <w:rPr>
                <w:sz w:val="20"/>
                <w:szCs w:val="20"/>
              </w:rPr>
              <w:t xml:space="preserve"> For the property's distress value, our perspective, as of the valuation date, is &lt;</w:t>
            </w:r>
            <w:r>
              <w:rPr>
                <w:sz w:val="20"/>
                <w:szCs w:val="20"/>
              </w:rPr>
              <w:t xml:space="preserve">&gt;.</w:t>
            </w:r>
            <w:r>
              <w:rPr>
                <w:sz w:val="20"/>
                <w:szCs w:val="20"/>
              </w:rPr>
              <w:br/>
            </w:r>
            <w:r>
              <w:rPr>
                <w:sz w:val="20"/>
                <w:szCs w:val="20"/>
              </w:rPr>
              <w:br/>
            </w:r>
            <w:r>
              <w:rPr>
                <w:sz w:val="20"/>
                <w:szCs w:val="20"/>
              </w:rPr>
              <w:t xml:space="preserve"> Regarding the guideline value, our assessment, as of the valuation date, is &lt;</w:t>
            </w:r>
            <w:r>
              <w:rPr>
                <w:sz w:val="20"/>
                <w:szCs w:val="20"/>
              </w:rPr>
              <w:t xml:space="preserve">&gt;.</w:t>
            </w:r>
            <w:r>
              <w:rPr>
                <w:sz w:val="20"/>
                <w:szCs w:val="20"/>
              </w:rPr>
              <w:br/>
            </w:r>
            <w:r>
              <w:rPr>
                <w:sz w:val="20"/>
                <w:szCs w:val="20"/>
              </w:rPr>
              <w:br/>
            </w:r>
            <w:r>
              <w:rPr>
                <w:sz w:val="20"/>
                <w:szCs w:val="20"/>
              </w:rPr>
              <w:t xml:space="preserve"> As for the insurable value, our judgement, as of the valuation date, is &lt;</w:t>
            </w:r>
            <w:r>
              <w:rPr>
                <w:sz w:val="20"/>
                <w:szCs w:val="20"/>
              </w:rPr>
              <w:t xml:space="preserve">&gt;.</w:t>
            </w:r>
            <w:r>
              <w:rPr>
                <w:sz w:val="20"/>
                <w:szCs w:val="20"/>
              </w:rPr>
              <w:br/>
            </w:r>
            <w:r>
              <w:rPr>
                <w:sz w:val="20"/>
                <w:szCs w:val="20"/>
              </w:rPr>
              <w:br/>
            </w:r>
            <w:r>
              <w:rPr>
                <w:sz w:val="20"/>
                <w:szCs w:val="20"/>
              </w:rPr>
              <w:t xml:space="preserve"> It's important to note that the information provided in this report is based on the data furnished by the property's owner and the associated society, coupled with our review of pertinent documents.</w:t>
            </w:r>
            <w:r>
              <w:rPr>
                <w:sz w:val="20"/>
                <w:szCs w:val="20"/>
              </w:rPr>
              <w:br/>
            </w:r>
            <w:r>
              <w:rPr>
                <w:sz w:val="20"/>
                <w:szCs w:val="20"/>
              </w:rPr>
              <w:br/>
            </w:r>
            <w:r>
              <w:rPr>
                <w:sz w:val="20"/>
                <w:szCs w:val="20"/>
              </w:rPr>
              <w:t xml:space="preserve"> It's worth highlighting that values can vary based on purpose and date. It is advisable not to refer to this value for any purposes other than those explicitly mentioned in this report. </w:t>
            </w: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10</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Assumptions/Remarks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5237"/>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Qualifications in TIR/Mitigation suggested, if any</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Property is SARFAESI compliant</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Whether property belongs to social infrastructure like hospital, school, old age home etc.</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Whether the entire piece of land on which the unit is set up / property is situated has been mortgaged or to be mortgaged.</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Details of last two transactions in the locality/area to be provided, if available.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Any other aspect which has relevance on the value or marketability of the property</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11</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Declaration</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7482"/>
            </w:tblGrid>
            <w:tr>
              <w:tblPrEx>
                <w:tblW w:w="5000" w:type="pct"/>
                <w:tblCellMar>
                  <w:top w:w="15" w:type="dxa"/>
                  <w:left w:w="15" w:type="dxa"/>
                  <w:bottom w:w="15" w:type="dxa"/>
                  <w:right w:w="15" w:type="dxa"/>
                </w:tblCellMar>
                <w:tblLook w:val="05E0"/>
              </w:tblPrEx>
              <w:tc>
                <w:tcPr>
                  <w:tcBorders>
                    <w:bottom w:val="single" w:sz="6" w:space="0" w:color="000000"/>
                  </w:tcBorders>
                  <w:tcMar>
                    <w:top w:w="125" w:type="dxa"/>
                    <w:left w:w="185" w:type="dxa"/>
                    <w:bottom w:w="128" w:type="dxa"/>
                    <w:right w:w="185" w:type="dxa"/>
                  </w:tcMar>
                  <w:vAlign w:val="top"/>
                </w:tcPr>
                <w:p>
                  <w:pPr>
                    <w:spacing w:line="326" w:lineRule="atLeast"/>
                    <w:jc w:val="left"/>
                    <w:rPr>
                      <w:sz w:val="20"/>
                      <w:szCs w:val="20"/>
                    </w:rPr>
                  </w:pPr>
                  <w:r>
                    <w:rPr>
                      <w:sz w:val="20"/>
                      <w:szCs w:val="20"/>
                    </w:rPr>
                    <w:t xml:space="preserve">i) The property was inspected by the undersigned on 22.</w:t>
                  </w:r>
                </w:p>
              </w:tc>
            </w:tr>
            <w:tr>
              <w:tblPrEx>
                <w:tblCellMar>
                  <w:top w:w="15" w:type="dxa"/>
                  <w:left w:w="15" w:type="dxa"/>
                  <w:bottom w:w="15" w:type="dxa"/>
                  <w:right w:w="15" w:type="dxa"/>
                </w:tblCellMar>
                <w:tblLook w:val="05E0"/>
              </w:tblPrEx>
              <w:tc>
                <w:tcPr>
                  <w:tcBorders>
                    <w:top w:val="single" w:sz="6" w:space="0" w:color="000000"/>
                    <w:bottom w:val="single" w:sz="6" w:space="0" w:color="000000"/>
                  </w:tcBorders>
                  <w:tcMar>
                    <w:top w:w="128" w:type="dxa"/>
                    <w:left w:w="185" w:type="dxa"/>
                    <w:bottom w:w="128" w:type="dxa"/>
                    <w:right w:w="185" w:type="dxa"/>
                  </w:tcMar>
                  <w:vAlign w:val="top"/>
                </w:tcPr>
                <w:p>
                  <w:pPr>
                    <w:spacing w:line="326" w:lineRule="atLeast"/>
                    <w:jc w:val="left"/>
                    <w:rPr>
                      <w:sz w:val="20"/>
                      <w:szCs w:val="20"/>
                    </w:rPr>
                  </w:pPr>
                  <w:r>
                    <w:rPr>
                      <w:sz w:val="20"/>
                      <w:szCs w:val="20"/>
                    </w:rPr>
                    <w:t xml:space="preserve">ii) The undersigned does not have any direct/indirect interest in the above property.</w:t>
                  </w:r>
                </w:p>
              </w:tc>
            </w:tr>
            <w:tr>
              <w:tblPrEx>
                <w:tblCellMar>
                  <w:top w:w="15" w:type="dxa"/>
                  <w:left w:w="15" w:type="dxa"/>
                  <w:bottom w:w="15" w:type="dxa"/>
                  <w:right w:w="15" w:type="dxa"/>
                </w:tblCellMar>
                <w:tblLook w:val="05E0"/>
              </w:tblPrEx>
              <w:tc>
                <w:tcPr>
                  <w:tcBorders>
                    <w:top w:val="single" w:sz="6" w:space="0" w:color="000000"/>
                    <w:bottom w:val="single" w:sz="6" w:space="0" w:color="000000"/>
                  </w:tcBorders>
                  <w:tcMar>
                    <w:top w:w="128" w:type="dxa"/>
                    <w:left w:w="185" w:type="dxa"/>
                    <w:bottom w:w="128" w:type="dxa"/>
                    <w:right w:w="185" w:type="dxa"/>
                  </w:tcMar>
                  <w:vAlign w:val="top"/>
                </w:tcPr>
                <w:p>
                  <w:pPr>
                    <w:spacing w:line="326" w:lineRule="atLeast"/>
                    <w:jc w:val="left"/>
                    <w:rPr>
                      <w:sz w:val="20"/>
                      <w:szCs w:val="20"/>
                    </w:rPr>
                  </w:pPr>
                  <w:r>
                    <w:rPr>
                      <w:sz w:val="20"/>
                      <w:szCs w:val="20"/>
                    </w:rPr>
                    <w:t xml:space="preserve">iii) The information furnished herein is true and correct to the best of our knowledge.</w:t>
                  </w:r>
                </w:p>
              </w:tc>
            </w:tr>
            <w:tr>
              <w:tblPrEx>
                <w:tblCellMar>
                  <w:top w:w="15" w:type="dxa"/>
                  <w:left w:w="15" w:type="dxa"/>
                  <w:bottom w:w="15" w:type="dxa"/>
                  <w:right w:w="15" w:type="dxa"/>
                </w:tblCellMar>
                <w:tblLook w:val="05E0"/>
              </w:tblPrEx>
              <w:tc>
                <w:tcPr>
                  <w:tcBorders>
                    <w:top w:val="single" w:sz="6" w:space="0" w:color="000000"/>
                  </w:tcBorders>
                  <w:tcMar>
                    <w:top w:w="128" w:type="dxa"/>
                    <w:left w:w="185" w:type="dxa"/>
                    <w:bottom w:w="125" w:type="dxa"/>
                    <w:right w:w="185" w:type="dxa"/>
                  </w:tcMar>
                  <w:vAlign w:val="top"/>
                </w:tcPr>
                <w:p>
                  <w:pPr>
                    <w:spacing w:line="326" w:lineRule="atLeast"/>
                    <w:jc w:val="left"/>
                    <w:rPr>
                      <w:sz w:val="20"/>
                      <w:szCs w:val="20"/>
                    </w:rPr>
                  </w:pPr>
                  <w:r>
                    <w:rPr>
                      <w:sz w:val="20"/>
                      <w:szCs w:val="20"/>
                    </w:rPr>
                    <w:t xml:space="preserve">iv) I have submitted a Valuation report directly to the Bank. </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12</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Name address &amp; signature of valuer with Registration No.</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4020"/>
              <w:gridCol w:w="3462"/>
            </w:tblGrid>
            <w:tr>
              <w:tblPrEx>
                <w:tblW w:w="5000" w:type="pct"/>
                <w:tblCellMar>
                  <w:top w:w="15" w:type="dxa"/>
                  <w:left w:w="15" w:type="dxa"/>
                  <w:bottom w:w="15" w:type="dxa"/>
                  <w:right w:w="15" w:type="dxa"/>
                </w:tblCellMar>
                <w:tblLook w:val="05E0"/>
              </w:tblPrEx>
              <w:trPr>
                <w:trHeight w:val="1500"/>
              </w:trPr>
              <w:tc>
                <w:tcPr>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sz w:val="20"/>
                      <w:szCs w:val="20"/>
                    </w:rPr>
                  </w:pPr>
                  <w:r>
                    <w:rPr>
                      <w:sz w:val="20"/>
                      <w:szCs w:val="20"/>
                    </w:rPr>
                    <w:t xml:space="preserve">Signature of the valuer</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sz w:val="20"/>
                      <w:szCs w:val="20"/>
                    </w:rPr>
                  </w:pPr>
                  <w:r>
                    <w:rPr>
                      <w:sz w:val="20"/>
                      <w:szCs w:val="20"/>
                    </w:rPr>
                    <w:t xml:space="preserve">Date of Valuation</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w:t>
                  </w:r>
                </w:p>
              </w:tc>
            </w:tr>
            <w:tr>
              <w:tblPrEx>
                <w:tblCellMar>
                  <w:top w:w="15" w:type="dxa"/>
                  <w:left w:w="15" w:type="dxa"/>
                  <w:bottom w:w="15" w:type="dxa"/>
                  <w:right w:w="15" w:type="dxa"/>
                </w:tblCellMar>
                <w:tblLook w:val="05E0"/>
              </w:tblPrEx>
              <w:tc>
                <w:tcPr>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sz w:val="20"/>
                      <w:szCs w:val="20"/>
                    </w:rPr>
                  </w:pPr>
                  <w:r>
                    <w:rPr>
                      <w:sz w:val="20"/>
                      <w:szCs w:val="20"/>
                    </w:rPr>
                    <w:t xml:space="preserve">IBBI Reg. No. </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IBBI/RV/02/2022/14608</w:t>
                  </w:r>
                </w:p>
              </w:tc>
            </w:tr>
            <w:tr>
              <w:tblPrEx>
                <w:tblCellMar>
                  <w:top w:w="15" w:type="dxa"/>
                  <w:left w:w="15" w:type="dxa"/>
                  <w:bottom w:w="15" w:type="dxa"/>
                  <w:right w:w="15" w:type="dxa"/>
                </w:tblCellMar>
                <w:tblLook w:val="05E0"/>
              </w:tblPrEx>
              <w:tc>
                <w:tcPr>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sz w:val="20"/>
                      <w:szCs w:val="20"/>
                    </w:rPr>
                  </w:pPr>
                  <w:r>
                    <w:rPr>
                      <w:sz w:val="20"/>
                      <w:szCs w:val="20"/>
                    </w:rPr>
                    <w:t xml:space="preserve">Wealth Tax Registration No.</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CAT-1/788/2023-24</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1051"/>
        <w:gridCol w:w="7481"/>
      </w:tblGrid>
      <w:tr>
        <w:tblPrEx>
          <w:tblW w:w="5000" w:type="pct"/>
          <w:tblInd w:w="495" w:type="dxa"/>
          <w:tblCellMar>
            <w:top w:w="15" w:type="dxa"/>
            <w:left w:w="15" w:type="dxa"/>
            <w:bottom w:w="15" w:type="dxa"/>
            <w:right w:w="15" w:type="dxa"/>
          </w:tblCellMar>
          <w:tblLook w:val="05E0"/>
        </w:tblPrEx>
        <w:tc>
          <w:tcPr>
            <w:tcW w:w="675" w:type="dxa"/>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13</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Enclosures</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p>
        </w:tc>
        <w:tc>
          <w:tcPr>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vAlign w:val="top"/>
          </w:tcPr>
          <w:tbl>
            <w:tblPr>
              <w:tblStyle w:val="NormalTable"/>
              <w:tblW w:w="5000" w:type="pct"/>
              <w:tblCellMar>
                <w:top w:w="15" w:type="dxa"/>
                <w:left w:w="15" w:type="dxa"/>
                <w:bottom w:w="15" w:type="dxa"/>
                <w:right w:w="15" w:type="dxa"/>
              </w:tblCellMar>
              <w:tblLook w:val="05E0"/>
            </w:tblPr>
            <w:tblGrid>
              <w:gridCol w:w="2245"/>
              <w:gridCol w:w="3908"/>
              <w:gridCol w:w="1329"/>
            </w:tblGrid>
            <w:tr>
              <w:tblPrEx>
                <w:tblW w:w="5000" w:type="pct"/>
                <w:tblCellMar>
                  <w:top w:w="15" w:type="dxa"/>
                  <w:left w:w="15" w:type="dxa"/>
                  <w:bottom w:w="15" w:type="dxa"/>
                  <w:right w:w="15" w:type="dxa"/>
                </w:tblCellMar>
                <w:tblLook w:val="05E0"/>
              </w:tblPrEx>
              <w:tc>
                <w:tcPr>
                  <w:tcW w:w="1500" w:type="pct"/>
                  <w:tcBorders>
                    <w:bottom w:val="single" w:sz="6" w:space="0" w:color="000000"/>
                    <w:right w:val="single" w:sz="6" w:space="0" w:color="000000"/>
                  </w:tcBorders>
                  <w:tcMar>
                    <w:top w:w="125" w:type="dxa"/>
                    <w:left w:w="185" w:type="dxa"/>
                    <w:bottom w:w="128" w:type="dxa"/>
                    <w:right w:w="188" w:type="dxa"/>
                  </w:tcMar>
                  <w:vAlign w:val="top"/>
                </w:tcPr>
                <w:p>
                  <w:pPr>
                    <w:spacing w:line="326" w:lineRule="atLeast"/>
                    <w:jc w:val="left"/>
                    <w:rPr>
                      <w:b/>
                      <w:bCs/>
                      <w:sz w:val="20"/>
                      <w:szCs w:val="20"/>
                    </w:rPr>
                  </w:pPr>
                  <w:r>
                    <w:rPr>
                      <w:b/>
                      <w:bCs/>
                      <w:sz w:val="20"/>
                      <w:szCs w:val="20"/>
                    </w:rPr>
                    <w:t xml:space="preserve">a)</w:t>
                  </w:r>
                </w:p>
              </w:tc>
              <w:tc>
                <w:tcPr>
                  <w:tcBorders>
                    <w:left w:val="single" w:sz="6" w:space="0" w:color="000000"/>
                    <w:bottom w:val="single" w:sz="6" w:space="0" w:color="000000"/>
                    <w:right w:val="single" w:sz="6" w:space="0" w:color="000000"/>
                  </w:tcBorders>
                  <w:tcMar>
                    <w:top w:w="125" w:type="dxa"/>
                    <w:left w:w="188" w:type="dxa"/>
                    <w:bottom w:w="128" w:type="dxa"/>
                    <w:right w:w="188" w:type="dxa"/>
                  </w:tcMar>
                  <w:vAlign w:val="top"/>
                </w:tcPr>
                <w:p>
                  <w:pPr>
                    <w:spacing w:line="326" w:lineRule="atLeast"/>
                    <w:jc w:val="left"/>
                    <w:rPr>
                      <w:sz w:val="20"/>
                      <w:szCs w:val="20"/>
                    </w:rPr>
                  </w:pPr>
                  <w:r>
                    <w:rPr>
                      <w:sz w:val="20"/>
                      <w:szCs w:val="20"/>
                    </w:rPr>
                    <w:t xml:space="preserve">Layout plan sketch of the area in which the property is located with latitude and longitude</w:t>
                  </w:r>
                </w:p>
              </w:tc>
              <w:tc>
                <w:tcPr>
                  <w:tcBorders>
                    <w:left w:val="single" w:sz="6" w:space="0" w:color="000000"/>
                    <w:bottom w:val="single" w:sz="6" w:space="0" w:color="000000"/>
                  </w:tcBorders>
                  <w:tcMar>
                    <w:top w:w="125"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b)</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Building Plan</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c)</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Floor Plan</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d)</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Photograph of the property (including geo-stamping with date) and owner (in case of housing loans, if borrower is available) including a "Selfie' of the Valuer at the site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e)</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Certified copy of the approved / sanctioned plan wherever applicable from the concerned office</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f)</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Google Map location of the property, Longitude/Latitude and co-ordinates of the property.</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g)</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Price trend of the Property in the locality/city from property search sites viz Magickbricks.com, 99Acres.com, Makan.com etc</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Attached herewith</w:t>
                  </w:r>
                </w:p>
              </w:tc>
            </w:tr>
            <w:tr>
              <w:tblPrEx>
                <w:tblCellMar>
                  <w:top w:w="15" w:type="dxa"/>
                  <w:left w:w="15" w:type="dxa"/>
                  <w:bottom w:w="15" w:type="dxa"/>
                  <w:right w:w="15" w:type="dxa"/>
                </w:tblCellMar>
                <w:tblLook w:val="05E0"/>
              </w:tblPrEx>
              <w:tc>
                <w:tcPr>
                  <w:tcW w:w="1500" w:type="pct"/>
                  <w:tcBorders>
                    <w:top w:val="single" w:sz="6" w:space="0" w:color="000000"/>
                    <w:bottom w:val="single" w:sz="6" w:space="0" w:color="000000"/>
                    <w:right w:val="single" w:sz="6" w:space="0" w:color="000000"/>
                  </w:tcBorders>
                  <w:tcMar>
                    <w:top w:w="128" w:type="dxa"/>
                    <w:left w:w="185" w:type="dxa"/>
                    <w:bottom w:w="128" w:type="dxa"/>
                    <w:right w:w="188" w:type="dxa"/>
                  </w:tcMar>
                  <w:vAlign w:val="top"/>
                </w:tcPr>
                <w:p>
                  <w:pPr>
                    <w:spacing w:line="326" w:lineRule="atLeast"/>
                    <w:jc w:val="left"/>
                    <w:rPr>
                      <w:b/>
                      <w:bCs/>
                      <w:sz w:val="20"/>
                      <w:szCs w:val="20"/>
                    </w:rPr>
                  </w:pPr>
                  <w:r>
                    <w:rPr>
                      <w:b/>
                      <w:bCs/>
                      <w:sz w:val="20"/>
                      <w:szCs w:val="20"/>
                    </w:rPr>
                    <w:t xml:space="preserve">h)</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Special remarks, if any, like threat of acquisition of land for public service purposes, road widening or applicability of CRZ provisions etc. (Distance from sea-coast / tidal level must be incorporated) if any</w:t>
                  </w:r>
                </w:p>
              </w:tc>
              <w:tc>
                <w:tcPr>
                  <w:tcBorders>
                    <w:top w:val="single" w:sz="6" w:space="0" w:color="000000"/>
                    <w:left w:val="single" w:sz="6" w:space="0" w:color="000000"/>
                    <w:bottom w:val="single" w:sz="6" w:space="0" w:color="000000"/>
                  </w:tcBorders>
                  <w:tcMar>
                    <w:top w:w="128" w:type="dxa"/>
                    <w:left w:w="188" w:type="dxa"/>
                    <w:bottom w:w="128" w:type="dxa"/>
                    <w:right w:w="185" w:type="dxa"/>
                  </w:tcMar>
                  <w:vAlign w:val="top"/>
                </w:tcPr>
                <w:p>
                  <w:pPr>
                    <w:spacing w:line="326" w:lineRule="atLeast"/>
                    <w:jc w:val="left"/>
                    <w:rPr>
                      <w:sz w:val="20"/>
                      <w:szCs w:val="20"/>
                    </w:rPr>
                  </w:pPr>
                  <w:r>
                    <w:rPr>
                      <w:sz w:val="20"/>
                      <w:szCs w:val="20"/>
                    </w:rPr>
                    <w:t xml:space="preserve">Not Applicable</w:t>
                  </w:r>
                </w:p>
              </w:tc>
            </w:tr>
            <w:tr>
              <w:tblPrEx>
                <w:tblCellMar>
                  <w:top w:w="15" w:type="dxa"/>
                  <w:left w:w="15" w:type="dxa"/>
                  <w:bottom w:w="15" w:type="dxa"/>
                  <w:right w:w="15" w:type="dxa"/>
                </w:tblCellMar>
                <w:tblLook w:val="05E0"/>
              </w:tblPrEx>
              <w:tc>
                <w:tcPr>
                  <w:tcW w:w="1500" w:type="pct"/>
                  <w:tcBorders>
                    <w:top w:val="single" w:sz="6" w:space="0" w:color="000000"/>
                    <w:right w:val="single" w:sz="6" w:space="0" w:color="000000"/>
                  </w:tcBorders>
                  <w:tcMar>
                    <w:top w:w="128" w:type="dxa"/>
                    <w:left w:w="185" w:type="dxa"/>
                    <w:bottom w:w="125" w:type="dxa"/>
                    <w:right w:w="188" w:type="dxa"/>
                  </w:tcMar>
                  <w:vAlign w:val="top"/>
                </w:tcPr>
                <w:p>
                  <w:pPr>
                    <w:spacing w:line="326" w:lineRule="atLeast"/>
                    <w:jc w:val="left"/>
                    <w:rPr>
                      <w:b/>
                      <w:bCs/>
                      <w:sz w:val="20"/>
                      <w:szCs w:val="20"/>
                    </w:rPr>
                  </w:pPr>
                  <w:r>
                    <w:rPr>
                      <w:b/>
                      <w:bCs/>
                      <w:sz w:val="20"/>
                      <w:szCs w:val="20"/>
                    </w:rPr>
                    <w:t xml:space="preserve">i)</w:t>
                  </w:r>
                </w:p>
              </w:tc>
              <w:tc>
                <w:tcPr>
                  <w:tcBorders>
                    <w:top w:val="single" w:sz="6" w:space="0" w:color="000000"/>
                    <w:left w:val="single" w:sz="6" w:space="0" w:color="000000"/>
                    <w:right w:val="single" w:sz="6" w:space="0" w:color="000000"/>
                  </w:tcBorders>
                  <w:tcMar>
                    <w:top w:w="128" w:type="dxa"/>
                    <w:left w:w="188" w:type="dxa"/>
                    <w:bottom w:w="125" w:type="dxa"/>
                    <w:right w:w="188" w:type="dxa"/>
                  </w:tcMar>
                  <w:vAlign w:val="top"/>
                </w:tcPr>
                <w:p>
                  <w:pPr>
                    <w:spacing w:line="326" w:lineRule="atLeast"/>
                    <w:jc w:val="left"/>
                    <w:rPr>
                      <w:sz w:val="20"/>
                      <w:szCs w:val="20"/>
                    </w:rPr>
                  </w:pPr>
                  <w:r>
                    <w:rPr>
                      <w:sz w:val="20"/>
                      <w:szCs w:val="20"/>
                    </w:rPr>
                    <w:t xml:space="preserve">Any other relevant documents/ extracts</w:t>
                  </w:r>
                </w:p>
              </w:tc>
              <w:tc>
                <w:tcPr>
                  <w:tcBorders>
                    <w:top w:val="single" w:sz="6" w:space="0" w:color="000000"/>
                    <w:left w:val="single" w:sz="6" w:space="0" w:color="000000"/>
                  </w:tcBorders>
                  <w:tcMar>
                    <w:top w:w="128" w:type="dxa"/>
                    <w:left w:w="188" w:type="dxa"/>
                    <w:bottom w:w="125" w:type="dxa"/>
                    <w:right w:w="185" w:type="dxa"/>
                  </w:tcMar>
                  <w:vAlign w:val="top"/>
                </w:tcPr>
                <w:p>
                  <w:pPr>
                    <w:spacing w:line="326" w:lineRule="atLeast"/>
                    <w:jc w:val="left"/>
                    <w:rPr>
                      <w:sz w:val="20"/>
                      <w:szCs w:val="20"/>
                    </w:rPr>
                  </w:pPr>
                  <w:r>
                    <w:rPr>
                      <w:sz w:val="20"/>
                      <w:szCs w:val="20"/>
                    </w:rPr>
                    <w:t xml:space="preserve">As per bank records</w:t>
                  </w:r>
                </w:p>
              </w:tc>
            </w:tr>
          </w:tbl>
          <w:p>
            <w:pPr>
              <w:rPr>
                <w:sz w:val="20"/>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8532"/>
      </w:tblGrid>
      <w:tr>
        <w:tblPrEx>
          <w:tblW w:w="5000" w:type="pct"/>
          <w:tblInd w:w="495"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DECLARATION CUM UNDERTAKING (Annexure-lII)</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sz w:val="20"/>
                <w:szCs w:val="20"/>
              </w:rPr>
              <w:t xml:space="preserve">Format of undertaking to be submitted by individuals/ proprietor/ partners/ directors</w:t>
            </w:r>
            <w:r>
              <w:rPr>
                <w:sz w:val="20"/>
                <w:szCs w:val="20"/>
              </w:rPr>
              <w:br/>
            </w:r>
            <w:r>
              <w:rPr>
                <w:sz w:val="20"/>
                <w:szCs w:val="20"/>
              </w:rPr>
              <w:br/>
            </w:r>
            <w:r>
              <w:rPr>
                <w:sz w:val="20"/>
                <w:szCs w:val="20"/>
              </w:rPr>
              <w:t xml:space="preserve"> l, Harsh Jayantilal Patel son of Jayantilal Shankarbhai Patel do hereby solemnly affirm, and state that</w:t>
            </w:r>
            <w:r>
              <w:rPr>
                <w:sz w:val="20"/>
                <w:szCs w:val="20"/>
              </w:rPr>
              <w:br/>
            </w:r>
            <w:r>
              <w:rPr>
                <w:sz w:val="20"/>
                <w:szCs w:val="20"/>
              </w:rPr>
              <w:br/>
            </w:r>
            <w:r>
              <w:rPr>
                <w:sz w:val="20"/>
                <w:szCs w:val="20"/>
              </w:rPr>
              <w:t xml:space="preserve"> A. I am a citizen of india.</w:t>
            </w:r>
            <w:r>
              <w:rPr>
                <w:sz w:val="20"/>
                <w:szCs w:val="20"/>
              </w:rPr>
              <w:br/>
            </w:r>
            <w:r>
              <w:rPr>
                <w:sz w:val="20"/>
                <w:szCs w:val="20"/>
              </w:rPr>
              <w:t xml:space="preserve"> B. I will not undertake valuation of any assets in which I have a direct or indirect interest or become so interested at any time during a period of three years prior to my appointment as valuer or three years after the valuation of assets was conducted by me.</w:t>
            </w:r>
            <w:r>
              <w:rPr>
                <w:sz w:val="20"/>
                <w:szCs w:val="20"/>
              </w:rPr>
              <w:br/>
            </w:r>
            <w:r>
              <w:rPr>
                <w:sz w:val="20"/>
                <w:szCs w:val="20"/>
              </w:rPr>
              <w:t xml:space="preserve"> C. The information furnished in my valuation report dated &lt;</w:t>
            </w:r>
            <w:r>
              <w:rPr>
                <w:sz w:val="20"/>
                <w:szCs w:val="20"/>
              </w:rPr>
              <w:t xml:space="preserve">&gt; is true and correct to the best of my knowledge and belief and I have made an impartial and true valuation of the property.</w:t>
            </w:r>
            <w:r>
              <w:rPr>
                <w:sz w:val="20"/>
                <w:szCs w:val="20"/>
              </w:rPr>
              <w:br/>
            </w:r>
            <w:r>
              <w:rPr>
                <w:sz w:val="20"/>
                <w:szCs w:val="20"/>
              </w:rPr>
              <w:t xml:space="preserve"> D. I have personally inspected the property on &lt;</w:t>
            </w:r>
            <w:r>
              <w:rPr>
                <w:sz w:val="20"/>
                <w:szCs w:val="20"/>
              </w:rPr>
              <w:t xml:space="preserve">&gt;. The work is not subcontracted to any other valuer and carried out by myself.</w:t>
            </w:r>
            <w:r>
              <w:rPr>
                <w:sz w:val="20"/>
                <w:szCs w:val="20"/>
              </w:rPr>
              <w:br/>
            </w:r>
            <w:r>
              <w:rPr>
                <w:sz w:val="20"/>
                <w:szCs w:val="20"/>
              </w:rPr>
              <w:t xml:space="preserve"> E. Valuation report is submitted in the format as prescribed by the Bank.</w:t>
            </w:r>
            <w:r>
              <w:rPr>
                <w:sz w:val="20"/>
                <w:szCs w:val="20"/>
              </w:rPr>
              <w:br/>
            </w:r>
            <w:r>
              <w:rPr>
                <w:sz w:val="20"/>
                <w:szCs w:val="20"/>
              </w:rPr>
              <w:t xml:space="preserve"> F. I have not been depanelled/ delisted by any other bank and in case of any such depanelment by other banks during my empanelment with you, I will inform you within 3 days of such depanelment.</w:t>
            </w:r>
            <w:r>
              <w:rPr>
                <w:sz w:val="20"/>
                <w:szCs w:val="20"/>
              </w:rPr>
              <w:br/>
            </w:r>
            <w:r>
              <w:rPr>
                <w:sz w:val="20"/>
                <w:szCs w:val="20"/>
              </w:rPr>
              <w:t xml:space="preserve"> G. I have not been removed/dismissed from service/employment earlier.</w:t>
            </w:r>
            <w:r>
              <w:rPr>
                <w:sz w:val="20"/>
                <w:szCs w:val="20"/>
              </w:rPr>
              <w:br/>
            </w:r>
            <w:r>
              <w:rPr>
                <w:sz w:val="20"/>
                <w:szCs w:val="20"/>
              </w:rPr>
              <w:t xml:space="preserve"> H. I have not been convicted of any offence and sentenced to a term of imprisonment.</w:t>
            </w:r>
            <w:r>
              <w:rPr>
                <w:sz w:val="20"/>
                <w:szCs w:val="20"/>
              </w:rPr>
              <w:br/>
            </w:r>
            <w:r>
              <w:rPr>
                <w:sz w:val="20"/>
                <w:szCs w:val="20"/>
              </w:rPr>
              <w:t xml:space="preserve"> I. I have not been found guilty of misconduct in professional capacity.</w:t>
            </w:r>
            <w:r>
              <w:rPr>
                <w:sz w:val="20"/>
                <w:szCs w:val="20"/>
              </w:rPr>
              <w:br/>
            </w:r>
            <w:r>
              <w:rPr>
                <w:sz w:val="20"/>
                <w:szCs w:val="20"/>
              </w:rPr>
              <w:t xml:space="preserve"> J. I have not been declared to be unsound mind.</w:t>
            </w:r>
            <w:r>
              <w:rPr>
                <w:sz w:val="20"/>
                <w:szCs w:val="20"/>
              </w:rPr>
              <w:br/>
            </w:r>
            <w:r>
              <w:rPr>
                <w:sz w:val="20"/>
                <w:szCs w:val="20"/>
              </w:rPr>
              <w:t xml:space="preserve"> K. I am not an undischarged bankrupt, or has not applied to be adjudicated as a bankrupt;</w:t>
            </w:r>
            <w:r>
              <w:rPr>
                <w:sz w:val="20"/>
                <w:szCs w:val="20"/>
              </w:rPr>
              <w:br/>
            </w:r>
            <w:r>
              <w:rPr>
                <w:sz w:val="20"/>
                <w:szCs w:val="20"/>
              </w:rPr>
              <w:t xml:space="preserve"> L. I am not an undischarged insolvent.</w:t>
            </w:r>
            <w:r>
              <w:rPr>
                <w:sz w:val="20"/>
                <w:szCs w:val="20"/>
              </w:rPr>
              <w:br/>
            </w:r>
            <w:r>
              <w:rPr>
                <w:sz w:val="20"/>
                <w:szCs w:val="20"/>
              </w:rPr>
              <w:t xml:space="preserve"> M. l have not been levied a penalty under section 271J of income-tax Act, 1961 (43 of 1961) and time limit for filing appeal before Commissioner of income-tax (Appeals) or income tax Appellate Tribunal, as the case may be has expired, or such penalty has been confirmed by income-tax Appellate Tribunal, and five years have not elapsed after levy of such penalty.</w:t>
            </w:r>
            <w:r>
              <w:rPr>
                <w:sz w:val="20"/>
                <w:szCs w:val="20"/>
              </w:rPr>
              <w:br/>
            </w:r>
            <w:r>
              <w:rPr>
                <w:sz w:val="20"/>
                <w:szCs w:val="20"/>
              </w:rPr>
              <w:t xml:space="preserve"> N. I have not been convicted of an offence connected with any proceeding under the income Tax Act 1961, Wealth Tax Act 1957 or Gift Tax Act 1958 and My PAN card number/Service Tax number as applicable is CKHPP4738F.</w:t>
            </w:r>
            <w:r>
              <w:rPr>
                <w:sz w:val="20"/>
                <w:szCs w:val="20"/>
              </w:rPr>
              <w:br/>
            </w:r>
            <w:r>
              <w:rPr>
                <w:sz w:val="20"/>
                <w:szCs w:val="20"/>
              </w:rPr>
              <w:t xml:space="preserve"> O. My Pan Card number/Service Tax number as applicable is CKHPP4738F / 24CKHPP4738F1Z1.</w:t>
            </w:r>
            <w:r>
              <w:rPr>
                <w:sz w:val="20"/>
                <w:szCs w:val="20"/>
              </w:rPr>
              <w:br/>
            </w:r>
            <w:r>
              <w:rPr>
                <w:sz w:val="20"/>
                <w:szCs w:val="20"/>
              </w:rPr>
              <w:t xml:space="preserve"> P. I undertake to keep you informed of any events or happenings which would make me ineligible for empanelment as a valuer.</w:t>
            </w:r>
            <w:r>
              <w:rPr>
                <w:sz w:val="20"/>
                <w:szCs w:val="20"/>
              </w:rPr>
              <w:br/>
            </w:r>
            <w:r>
              <w:rPr>
                <w:sz w:val="20"/>
                <w:szCs w:val="20"/>
              </w:rPr>
              <w:t xml:space="preserve"> Q. I have not concealed or suppressed any material information, facts and records and I have made a complete and full disclosure.</w:t>
            </w:r>
            <w:r>
              <w:rPr>
                <w:sz w:val="20"/>
                <w:szCs w:val="20"/>
              </w:rPr>
              <w:br/>
            </w:r>
            <w:r>
              <w:rPr>
                <w:sz w:val="20"/>
                <w:szCs w:val="20"/>
              </w:rPr>
              <w:t xml:space="preserve"> R. I have read the Handbook on Policy, Standards and procedure for Real Estate Valuation, 2011 of the IBA and this report is in conformity to the "standards" enshrined for valuation in the Part-B of the above handbook to the best of my ability.</w:t>
            </w:r>
            <w:r>
              <w:rPr>
                <w:sz w:val="20"/>
                <w:szCs w:val="20"/>
              </w:rPr>
              <w:br/>
            </w:r>
            <w:r>
              <w:rPr>
                <w:sz w:val="20"/>
                <w:szCs w:val="20"/>
              </w:rPr>
              <w:t xml:space="preserve"> S. I have read the international Valuation Standards (lVS) and the report submitted to the Bank for the respective asset class is in conformity to the "standards" as enshrined for valuation in the IVS in "General Standards" and "Asset Standards" as applicable.</w:t>
            </w:r>
            <w:r>
              <w:rPr>
                <w:sz w:val="20"/>
                <w:szCs w:val="20"/>
              </w:rPr>
              <w:br/>
            </w:r>
            <w:r>
              <w:rPr>
                <w:sz w:val="20"/>
                <w:szCs w:val="20"/>
              </w:rPr>
              <w:t xml:space="preserve"> T. I abide by the Model Code of Conduct for empanelment of valuer in the Bank. (Annexure V- A signed copy of the same to be taken and kept along with this declaration).</w:t>
            </w:r>
            <w:r>
              <w:rPr>
                <w:sz w:val="20"/>
                <w:szCs w:val="20"/>
              </w:rPr>
              <w:br/>
            </w:r>
            <w:r>
              <w:rPr>
                <w:sz w:val="20"/>
                <w:szCs w:val="20"/>
              </w:rPr>
              <w:t xml:space="preserve"> U. I am valuer registered under Section 34AB of the Wealth Tax Act,1957 (Strike off, if not applicable)</w:t>
            </w:r>
            <w:r>
              <w:rPr>
                <w:sz w:val="20"/>
                <w:szCs w:val="20"/>
              </w:rPr>
              <w:br/>
            </w:r>
            <w:r>
              <w:rPr>
                <w:sz w:val="20"/>
                <w:szCs w:val="20"/>
              </w:rPr>
              <w:t xml:space="preserve"> V. I am valuer registered with insolvency &amp; Bankruptcy Board of india (lBBl) (Strike off, if not applicable)</w:t>
            </w:r>
            <w:r>
              <w:rPr>
                <w:sz w:val="20"/>
                <w:szCs w:val="20"/>
              </w:rPr>
              <w:br/>
            </w:r>
            <w:r>
              <w:rPr>
                <w:sz w:val="20"/>
                <w:szCs w:val="20"/>
              </w:rPr>
              <w:t xml:space="preserve"> W. My ClBlL score and credit worthiness is as per Bank's guidelines.</w:t>
            </w:r>
            <w:r>
              <w:rPr>
                <w:sz w:val="20"/>
                <w:szCs w:val="20"/>
              </w:rPr>
              <w:br/>
            </w:r>
            <w:r>
              <w:rPr>
                <w:sz w:val="20"/>
                <w:szCs w:val="20"/>
              </w:rPr>
              <w:t xml:space="preserve"> X. I am the proprietor / partner I authorised officials of the firm / company, who is competent to sign this valuation report.</w:t>
            </w:r>
            <w:r>
              <w:rPr>
                <w:sz w:val="20"/>
                <w:szCs w:val="20"/>
              </w:rPr>
              <w:br/>
            </w:r>
            <w:r>
              <w:rPr>
                <w:sz w:val="20"/>
                <w:szCs w:val="20"/>
              </w:rPr>
              <w:t xml:space="preserve"> Y. I will undertake the valuation work on receipt of Letter of Engagement generated from the system (i.e. LLMS/LOS) only.</w:t>
            </w:r>
            <w:r>
              <w:rPr>
                <w:sz w:val="20"/>
                <w:szCs w:val="20"/>
              </w:rPr>
              <w:br/>
            </w:r>
            <w:r>
              <w:rPr>
                <w:sz w:val="20"/>
                <w:szCs w:val="20"/>
              </w:rPr>
              <w:t xml:space="preserve"> Z. Further, I hereby provide the following information. </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before="204" w:after="204" w:line="326" w:lineRule="atLeast"/>
              <w:jc w:val="left"/>
              <w:rPr>
                <w:sz w:val="20"/>
                <w:szCs w:val="20"/>
              </w:rPr>
            </w:pPr>
            <w:r>
              <w:rPr>
                <w:sz w:val="20"/>
                <w:szCs w:val="20"/>
              </w:rPr>
              <w:t xml:space="preserve">Date: &lt;</w:t>
            </w:r>
            <w:r>
              <w:rPr>
                <w:sz w:val="20"/>
                <w:szCs w:val="20"/>
              </w:rPr>
              <w:t xml:space="preserve">&gt;</w:t>
            </w:r>
          </w:p>
          <w:p>
            <w:pPr>
              <w:spacing w:before="204" w:after="204" w:line="326" w:lineRule="atLeast"/>
              <w:jc w:val="left"/>
              <w:rPr>
                <w:sz w:val="20"/>
                <w:szCs w:val="20"/>
              </w:rPr>
            </w:pPr>
            <w:r>
              <w:rPr>
                <w:sz w:val="20"/>
                <w:szCs w:val="20"/>
              </w:rPr>
              <w:t xml:space="preserve">Place: Ahmedabad</w:t>
            </w:r>
          </w:p>
          <w:p>
            <w:pPr>
              <w:spacing w:before="204" w:after="204" w:line="326" w:lineRule="atLeast"/>
              <w:jc w:val="left"/>
              <w:rPr>
                <w:sz w:val="20"/>
                <w:szCs w:val="20"/>
              </w:rPr>
            </w:pPr>
            <w:r>
              <w:rPr>
                <w:sz w:val="20"/>
                <w:szCs w:val="20"/>
              </w:rPr>
              <w:t xml:space="preserve">Signature:</w:t>
            </w:r>
          </w:p>
          <w:p>
            <w:pPr>
              <w:spacing w:line="326" w:lineRule="atLeast"/>
              <w:jc w:val="left"/>
              <w:rPr>
                <w:sz w:val="75"/>
                <w:szCs w:val="20"/>
              </w:rPr>
            </w:pP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2560"/>
        <w:gridCol w:w="5973"/>
      </w:tblGrid>
      <w:tr>
        <w:tblPrEx>
          <w:tblW w:w="5000" w:type="pct"/>
          <w:tblInd w:w="495" w:type="dxa"/>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background information of the assets being valued</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Purpose of valuation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Appointing authority</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&lt;</w:t>
            </w:r>
            <w:r>
              <w:rPr>
                <w:sz w:val="20"/>
                <w:szCs w:val="20"/>
              </w:rPr>
              <w:t xml:space="preserve">&gt;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Identity of the valuer and any other experts involved in the valuation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Harsh Patel (Edifice Valuation)</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Disclosure of valuer interest or conflict, if any;</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No</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Date of appointment, valuation date and date of report</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Verbal Mode</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Inspections and/or investigation undertaken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Nature and sources of the information used or relied upon: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Procedures adopted in carrying out the valuation and valuation standards followed</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Restrictions on use of the report, if any</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Major factors that were taken into account during the valuation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Major factors that were not taken into account during the valuation</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As described in the report</w:t>
            </w:r>
          </w:p>
        </w:tc>
      </w:tr>
      <w:tr>
        <w:tblPrEx>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b/>
                <w:bCs/>
                <w:sz w:val="20"/>
                <w:szCs w:val="20"/>
              </w:rPr>
            </w:pPr>
            <w:r>
              <w:rPr>
                <w:b/>
                <w:bCs/>
                <w:sz w:val="20"/>
                <w:szCs w:val="20"/>
              </w:rPr>
              <w:t xml:space="preserve">Caveats, limitations and disclaimers to the extent they explain or elucidate the limitations faced by valuer, which shall not be for the purpose of limiting his responsibility for the valuation report</w:t>
            </w:r>
          </w:p>
        </w:tc>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z w:val="20"/>
                <w:szCs w:val="20"/>
              </w:rPr>
              <w:t xml:space="preserve">Not Applicable</w:t>
            </w: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8532"/>
      </w:tblGrid>
      <w:tr>
        <w:tblPrEx>
          <w:tblW w:w="5000" w:type="pct"/>
          <w:tblInd w:w="495"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MODEL CODE OF CONDUCT FOR VALUERS (Annexure-XIV-A)</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88" w:type="dxa"/>
              <w:left w:w="188" w:type="dxa"/>
              <w:bottom w:w="188" w:type="dxa"/>
              <w:right w:w="188" w:type="dxa"/>
            </w:tcMar>
            <w:vAlign w:val="top"/>
          </w:tcPr>
          <w:p>
            <w:pPr>
              <w:spacing w:line="326" w:lineRule="atLeast"/>
              <w:jc w:val="both"/>
              <w:rPr>
                <w:sz w:val="20"/>
                <w:szCs w:val="20"/>
              </w:rPr>
            </w:pPr>
            <w:r>
              <w:rPr>
                <w:b/>
                <w:bCs/>
                <w:sz w:val="20"/>
                <w:szCs w:val="20"/>
              </w:rPr>
              <w:t xml:space="preserve">Integrity and Fairness</w:t>
            </w:r>
            <w:r>
              <w:rPr>
                <w:b/>
                <w:bCs/>
                <w:sz w:val="20"/>
                <w:szCs w:val="20"/>
              </w:rPr>
              <w:br/>
            </w:r>
            <w:r>
              <w:rPr>
                <w:sz w:val="20"/>
                <w:szCs w:val="20"/>
              </w:rPr>
              <w:t xml:space="preserve"> 1. A valuer shall, in the conduct of his/its business, follow high standards of integrity and Fairness in all his/its dealings with his/its clients and other valuers.</w:t>
            </w:r>
            <w:r>
              <w:rPr>
                <w:sz w:val="20"/>
                <w:szCs w:val="20"/>
              </w:rPr>
              <w:br/>
            </w:r>
            <w:r>
              <w:rPr>
                <w:sz w:val="20"/>
                <w:szCs w:val="20"/>
              </w:rPr>
              <w:t xml:space="preserve"> 2. A valuer shall maintain integrity by being honest, straightforward, and forthright in all Professional relationships.</w:t>
            </w:r>
            <w:r>
              <w:rPr>
                <w:sz w:val="20"/>
                <w:szCs w:val="20"/>
              </w:rPr>
              <w:br/>
            </w:r>
            <w:r>
              <w:rPr>
                <w:sz w:val="20"/>
                <w:szCs w:val="20"/>
              </w:rPr>
              <w:t xml:space="preserve"> 3. A valuer shall endeavour to ensure that he/it provides true and adequate information and shall not misrepresent any facts or situations.</w:t>
            </w:r>
            <w:r>
              <w:rPr>
                <w:sz w:val="20"/>
                <w:szCs w:val="20"/>
              </w:rPr>
              <w:br/>
            </w:r>
            <w:r>
              <w:rPr>
                <w:sz w:val="20"/>
                <w:szCs w:val="20"/>
              </w:rPr>
              <w:t xml:space="preserve"> 4. A valuer shall refrain from being involved in any action that would bring disrepute to the profession.</w:t>
            </w:r>
            <w:r>
              <w:rPr>
                <w:sz w:val="20"/>
                <w:szCs w:val="20"/>
              </w:rPr>
              <w:br/>
            </w:r>
            <w:r>
              <w:rPr>
                <w:sz w:val="20"/>
                <w:szCs w:val="20"/>
              </w:rPr>
              <w:t xml:space="preserve"> 5. A valuer shall keep public interest foremost while delivering his services.</w:t>
            </w:r>
            <w:r>
              <w:rPr>
                <w:sz w:val="20"/>
                <w:szCs w:val="20"/>
              </w:rPr>
              <w:br/>
            </w:r>
            <w:r>
              <w:rPr>
                <w:sz w:val="20"/>
                <w:szCs w:val="20"/>
              </w:rPr>
              <w:br/>
            </w:r>
            <w:r>
              <w:rPr>
                <w:sz w:val="20"/>
                <w:szCs w:val="20"/>
              </w:rPr>
              <w:t xml:space="preserve"> </w:t>
            </w:r>
            <w:r>
              <w:rPr>
                <w:b/>
                <w:bCs/>
                <w:sz w:val="20"/>
                <w:szCs w:val="20"/>
              </w:rPr>
              <w:t xml:space="preserve">Professional Competence and Due Care</w:t>
            </w:r>
            <w:r>
              <w:rPr>
                <w:b/>
                <w:bCs/>
                <w:sz w:val="20"/>
                <w:szCs w:val="20"/>
              </w:rPr>
              <w:br/>
            </w:r>
            <w:r>
              <w:rPr>
                <w:sz w:val="20"/>
                <w:szCs w:val="20"/>
              </w:rPr>
              <w:t xml:space="preserve"> 6. A valuer shall render at all times high standards of service, exercise due diligence, ensure proper care and exercise independent professional judgement.</w:t>
            </w:r>
            <w:r>
              <w:rPr>
                <w:sz w:val="20"/>
                <w:szCs w:val="20"/>
              </w:rPr>
              <w:br/>
            </w:r>
            <w:r>
              <w:rPr>
                <w:sz w:val="20"/>
                <w:szCs w:val="20"/>
              </w:rPr>
              <w:t xml:space="preserve"> 7. A valuer shall carry out professional services in accordance with the relevant technical and professional standards that may be specified from time to time.</w:t>
            </w:r>
            <w:r>
              <w:rPr>
                <w:sz w:val="20"/>
                <w:szCs w:val="20"/>
              </w:rPr>
              <w:br/>
            </w:r>
            <w:r>
              <w:rPr>
                <w:sz w:val="20"/>
                <w:szCs w:val="20"/>
              </w:rPr>
              <w:t xml:space="preserve"> 8. A valuer shall continuously maintain professional knowledge and skill to provide competent professional service based on up-to-date developments in practice, prevailing regulations/guidelines and techniques.</w:t>
            </w:r>
            <w:r>
              <w:rPr>
                <w:sz w:val="20"/>
                <w:szCs w:val="20"/>
              </w:rPr>
              <w:br/>
            </w:r>
            <w:r>
              <w:rPr>
                <w:sz w:val="20"/>
                <w:szCs w:val="20"/>
              </w:rPr>
              <w:t xml:space="preserve"> 9. ln the preparation of a valuation report, the valuer shall not disclaim liability for his/its expertise or deny his/its duty of care, except to the extent that the assumptions are based on statements of fact provided by the company or its auditors or consultants or information available in public domain and not generated by the valuer.</w:t>
            </w:r>
            <w:r>
              <w:rPr>
                <w:sz w:val="20"/>
                <w:szCs w:val="20"/>
              </w:rPr>
              <w:br/>
            </w:r>
            <w:r>
              <w:rPr>
                <w:sz w:val="20"/>
                <w:szCs w:val="20"/>
              </w:rPr>
              <w:t xml:space="preserve"> 10. A valuer shall not carry out any instruction of the client insofar as they are incompatible with the requirements of integrity, objectivity and independence.</w:t>
            </w:r>
            <w:r>
              <w:rPr>
                <w:sz w:val="20"/>
                <w:szCs w:val="20"/>
              </w:rPr>
              <w:br/>
            </w:r>
            <w:r>
              <w:rPr>
                <w:sz w:val="20"/>
                <w:szCs w:val="20"/>
              </w:rPr>
              <w:t xml:space="preserve"> 11. A valuer shall clearly state to his client the services that he would be competent to provide and the services for which he would be relying on other valuers or professionals or for which the client can have a separate arrangement with other valuers.</w:t>
            </w:r>
            <w:r>
              <w:rPr>
                <w:sz w:val="20"/>
                <w:szCs w:val="20"/>
              </w:rPr>
              <w:br/>
            </w:r>
            <w:r>
              <w:rPr>
                <w:sz w:val="20"/>
                <w:szCs w:val="20"/>
              </w:rPr>
              <w:br/>
            </w:r>
            <w:r>
              <w:rPr>
                <w:sz w:val="20"/>
                <w:szCs w:val="20"/>
              </w:rPr>
              <w:t xml:space="preserve"> </w:t>
            </w:r>
            <w:r>
              <w:rPr>
                <w:b/>
                <w:bCs/>
                <w:sz w:val="20"/>
                <w:szCs w:val="20"/>
              </w:rPr>
              <w:t xml:space="preserve">Independence and Disclosure of interest</w:t>
            </w:r>
            <w:r>
              <w:rPr>
                <w:b/>
                <w:bCs/>
                <w:sz w:val="20"/>
                <w:szCs w:val="20"/>
              </w:rPr>
              <w:br/>
            </w:r>
            <w:r>
              <w:rPr>
                <w:sz w:val="20"/>
                <w:szCs w:val="20"/>
              </w:rPr>
              <w:t xml:space="preserve"> 12. A valuer shall act with objectivity in his/its professional dealings by ensuring that his/its decisions are made without the presence of any bias, conflict of interest, coercion, or undue influence of any party, whether directly connected to the valuation assignment or not.</w:t>
            </w:r>
            <w:r>
              <w:rPr>
                <w:sz w:val="20"/>
                <w:szCs w:val="20"/>
              </w:rPr>
              <w:br/>
            </w:r>
            <w:r>
              <w:rPr>
                <w:sz w:val="20"/>
                <w:szCs w:val="20"/>
              </w:rPr>
              <w:t xml:space="preserve"> 13. A valuer shall wherever necessary disclose to the clients, possible sources of conflicts of duties and interests, while providing unbiased services.</w:t>
            </w:r>
            <w:r>
              <w:rPr>
                <w:sz w:val="20"/>
                <w:szCs w:val="20"/>
              </w:rPr>
              <w:br/>
            </w:r>
            <w:r>
              <w:rPr>
                <w:sz w:val="20"/>
                <w:szCs w:val="20"/>
              </w:rPr>
              <w:t xml:space="preserve"> 14. A valuer shall not deal in securities of any subject company after any time when he/it first becomes aware of the possibility of his/its association with the valuation, and in accordance with the Securities and Exchange Board of india (prohibition of insider Trading) Regulations, 2015 or till the time the valuation report becomes public, whichever is earlier.</w:t>
            </w:r>
            <w:r>
              <w:rPr>
                <w:sz w:val="20"/>
                <w:szCs w:val="20"/>
              </w:rPr>
              <w:br/>
            </w:r>
            <w:r>
              <w:rPr>
                <w:sz w:val="20"/>
                <w:szCs w:val="20"/>
              </w:rPr>
              <w:t xml:space="preserve"> 15. A valuer shall not indulge in "mandate snatching" or offering "convenience valuations" in order to cater to a company or client's needs.</w:t>
            </w:r>
            <w:r>
              <w:rPr>
                <w:sz w:val="20"/>
                <w:szCs w:val="20"/>
              </w:rPr>
              <w:br/>
            </w:r>
            <w:r>
              <w:rPr>
                <w:sz w:val="20"/>
                <w:szCs w:val="20"/>
              </w:rPr>
              <w:t xml:space="preserve"> 16. As an independent valuer, the valuer shall not charge a success fee.</w:t>
            </w:r>
            <w:r>
              <w:rPr>
                <w:sz w:val="20"/>
                <w:szCs w:val="20"/>
              </w:rPr>
              <w:br/>
            </w:r>
            <w:r>
              <w:rPr>
                <w:sz w:val="20"/>
                <w:szCs w:val="20"/>
              </w:rPr>
              <w:t xml:space="preserve"> 17. ln any fairness opinion or independent expert opinion submitted by a valuer, if there has been a prior engagement in an unconnected transaction, the valuer shall declare the association with the company during the last five years.</w:t>
            </w:r>
            <w:r>
              <w:rPr>
                <w:sz w:val="20"/>
                <w:szCs w:val="20"/>
              </w:rPr>
              <w:br/>
            </w:r>
            <w:r>
              <w:rPr>
                <w:sz w:val="20"/>
                <w:szCs w:val="20"/>
              </w:rPr>
              <w:br/>
            </w:r>
            <w:r>
              <w:rPr>
                <w:sz w:val="20"/>
                <w:szCs w:val="20"/>
              </w:rPr>
              <w:t xml:space="preserve"> </w:t>
            </w:r>
            <w:r>
              <w:rPr>
                <w:b/>
                <w:bCs/>
                <w:sz w:val="20"/>
                <w:szCs w:val="20"/>
              </w:rPr>
              <w:t xml:space="preserve">Confidentiality</w:t>
            </w:r>
            <w:r>
              <w:rPr>
                <w:b/>
                <w:bCs/>
                <w:sz w:val="20"/>
                <w:szCs w:val="20"/>
              </w:rPr>
              <w:br/>
            </w:r>
            <w:r>
              <w:rPr>
                <w:sz w:val="20"/>
                <w:szCs w:val="20"/>
              </w:rPr>
              <w:t xml:space="preserve"> 18. A valuer shall not use or divulge to other clients or any other party any confidential information about the subject company, which has come to his/its knowledge without proper and specific authority or unless there is a legal or professional right or duty to disclose.</w:t>
            </w:r>
            <w:r>
              <w:rPr>
                <w:sz w:val="20"/>
                <w:szCs w:val="20"/>
              </w:rPr>
              <w:br/>
            </w:r>
            <w:r>
              <w:rPr>
                <w:sz w:val="20"/>
                <w:szCs w:val="20"/>
              </w:rPr>
              <w:br/>
            </w:r>
            <w:r>
              <w:rPr>
                <w:sz w:val="20"/>
                <w:szCs w:val="20"/>
              </w:rPr>
              <w:t xml:space="preserve"> </w:t>
            </w:r>
            <w:r>
              <w:rPr>
                <w:b/>
                <w:bCs/>
                <w:sz w:val="20"/>
                <w:szCs w:val="20"/>
              </w:rPr>
              <w:t xml:space="preserve">Information Management</w:t>
            </w:r>
            <w:r>
              <w:rPr>
                <w:b/>
                <w:bCs/>
                <w:sz w:val="20"/>
                <w:szCs w:val="20"/>
              </w:rPr>
              <w:br/>
            </w:r>
            <w:r>
              <w:rPr>
                <w:sz w:val="20"/>
                <w:szCs w:val="20"/>
              </w:rPr>
              <w:t xml:space="preserve"> 19. A valuer shall ensure that he/ she maintains written contemporaneous records for any decision taken, the reasons for taking the decision, and the information and evidence in support of such decision. This shall be maintained so as to sufficiently enable a reasonable person to take a view on the appropriateness of his/its decisions and actions.</w:t>
            </w:r>
            <w:r>
              <w:rPr>
                <w:sz w:val="20"/>
                <w:szCs w:val="20"/>
              </w:rPr>
              <w:br/>
            </w:r>
            <w:r>
              <w:rPr>
                <w:sz w:val="20"/>
                <w:szCs w:val="20"/>
              </w:rPr>
              <w:t xml:space="preserve"> 20. A valuer shall appear, co-operate and be available for inspections and investigations carried out by the authority, any person authorised by the authority, the registered valuers organisation with which he/it is registered or any other statutory regulatory body.</w:t>
            </w:r>
            <w:r>
              <w:rPr>
                <w:sz w:val="20"/>
                <w:szCs w:val="20"/>
              </w:rPr>
              <w:br/>
            </w:r>
            <w:r>
              <w:rPr>
                <w:sz w:val="20"/>
                <w:szCs w:val="20"/>
              </w:rPr>
              <w:t xml:space="preserve"> 21. A valuer shall provide all information and records as may be required by the authority, the Tribunal, Appellate Tribunal, the registered valuers organisation with which he/it is registered, or any other statutory regulatory body.</w:t>
            </w:r>
            <w:r>
              <w:rPr>
                <w:sz w:val="20"/>
                <w:szCs w:val="20"/>
              </w:rPr>
              <w:br/>
            </w:r>
            <w:r>
              <w:rPr>
                <w:sz w:val="20"/>
                <w:szCs w:val="20"/>
              </w:rPr>
              <w:t xml:space="preserve"> 22. A valuer while respecting the confidentiality of information acquired during the course of performing professional services, shall maintain proper working papers for a period of three years or such longer period as required in its contract for a specific valuation, for production before a regulatory authority or for a peer review. in the event of a pending case before the Tribunal or Appellate Tribunal, the record shall be maintained till the disposal of the case.</w:t>
            </w:r>
            <w:r>
              <w:rPr>
                <w:sz w:val="20"/>
                <w:szCs w:val="20"/>
              </w:rPr>
              <w:br/>
            </w:r>
            <w:r>
              <w:rPr>
                <w:sz w:val="20"/>
                <w:szCs w:val="20"/>
              </w:rPr>
              <w:br/>
            </w:r>
            <w:r>
              <w:rPr>
                <w:sz w:val="20"/>
                <w:szCs w:val="20"/>
              </w:rPr>
              <w:t xml:space="preserve"> </w:t>
            </w:r>
            <w:r>
              <w:rPr>
                <w:b/>
                <w:bCs/>
                <w:sz w:val="20"/>
                <w:szCs w:val="20"/>
              </w:rPr>
              <w:t xml:space="preserve">Gifts and hospitality</w:t>
            </w:r>
            <w:r>
              <w:rPr>
                <w:b/>
                <w:bCs/>
                <w:sz w:val="20"/>
                <w:szCs w:val="20"/>
              </w:rPr>
              <w:br/>
            </w:r>
            <w:r>
              <w:rPr>
                <w:sz w:val="20"/>
                <w:szCs w:val="20"/>
              </w:rPr>
              <w:t xml:space="preserve"> 23. A valuer or his/its relative shall not accept gifts or hospitality which undermines or affects his independence as a valuer,</w:t>
            </w:r>
            <w:r>
              <w:rPr>
                <w:sz w:val="20"/>
                <w:szCs w:val="20"/>
              </w:rPr>
              <w:br/>
            </w:r>
            <w:r>
              <w:rPr>
                <w:sz w:val="20"/>
                <w:szCs w:val="20"/>
              </w:rPr>
              <w:t xml:space="preserve"> Explanation.- For the purposes of this code the term meaning as defined in Clause (77) of Section 2 of the 'relative' shall have the same Companies Act, 2013 (18 of 2013).</w:t>
            </w:r>
            <w:r>
              <w:rPr>
                <w:sz w:val="20"/>
                <w:szCs w:val="20"/>
              </w:rPr>
              <w:br/>
            </w:r>
            <w:r>
              <w:rPr>
                <w:sz w:val="20"/>
                <w:szCs w:val="20"/>
              </w:rPr>
              <w:t xml:space="preserve"> 24. A valuer shall not offer gifts or hospitality or a financial or any other advantage to a public servant or any other person with a view to obtain or retain work for himself/ herself, or to obtain or retain an advantage in the conduct of profession for himself/ herself.</w:t>
            </w:r>
            <w:r>
              <w:rPr>
                <w:sz w:val="20"/>
                <w:szCs w:val="20"/>
              </w:rPr>
              <w:br/>
            </w:r>
            <w:r>
              <w:rPr>
                <w:sz w:val="20"/>
                <w:szCs w:val="20"/>
              </w:rPr>
              <w:br/>
            </w:r>
            <w:r>
              <w:rPr>
                <w:sz w:val="20"/>
                <w:szCs w:val="20"/>
              </w:rPr>
              <w:t xml:space="preserve"> </w:t>
            </w:r>
            <w:r>
              <w:rPr>
                <w:b/>
                <w:bCs/>
                <w:sz w:val="20"/>
                <w:szCs w:val="20"/>
              </w:rPr>
              <w:t xml:space="preserve">Remuneration and Costs</w:t>
            </w:r>
            <w:r>
              <w:rPr>
                <w:b/>
                <w:bCs/>
                <w:sz w:val="20"/>
                <w:szCs w:val="20"/>
              </w:rPr>
              <w:br/>
            </w:r>
            <w:r>
              <w:rPr>
                <w:sz w:val="20"/>
                <w:szCs w:val="20"/>
              </w:rPr>
              <w:t xml:space="preserve"> 25. A valuer shall provide services for remuneration which is charged in a transparent manner, is a reasonable reflection of the work necessarily and properly undertaken, and is not inconsistent with the applicable rules.</w:t>
            </w:r>
            <w:r>
              <w:rPr>
                <w:sz w:val="20"/>
                <w:szCs w:val="20"/>
              </w:rPr>
              <w:br/>
            </w:r>
            <w:r>
              <w:rPr>
                <w:sz w:val="20"/>
                <w:szCs w:val="20"/>
              </w:rPr>
              <w:t xml:space="preserve"> 26. A valuer shall not accept any fees or charges other than those which are disclosed in a written contract with the person to whom he would be rendering service.</w:t>
            </w:r>
            <w:r>
              <w:rPr>
                <w:sz w:val="20"/>
                <w:szCs w:val="20"/>
              </w:rPr>
              <w:br/>
            </w:r>
            <w:r>
              <w:rPr>
                <w:sz w:val="20"/>
                <w:szCs w:val="20"/>
              </w:rPr>
              <w:br/>
            </w:r>
            <w:r>
              <w:rPr>
                <w:sz w:val="20"/>
                <w:szCs w:val="20"/>
              </w:rPr>
              <w:t xml:space="preserve"> </w:t>
            </w:r>
            <w:r>
              <w:rPr>
                <w:b/>
                <w:bCs/>
                <w:sz w:val="20"/>
                <w:szCs w:val="20"/>
              </w:rPr>
              <w:t xml:space="preserve">Occupation, employability and restrictions.</w:t>
            </w:r>
            <w:r>
              <w:rPr>
                <w:b/>
                <w:bCs/>
                <w:sz w:val="20"/>
                <w:szCs w:val="20"/>
              </w:rPr>
              <w:br/>
            </w:r>
            <w:r>
              <w:rPr>
                <w:sz w:val="20"/>
                <w:szCs w:val="20"/>
              </w:rPr>
              <w:t xml:space="preserve"> 27. A valuer shall refrain from accepting too many assignments, if he/it is unlikely to be able to devote adequate time to each of his/ its assignments.</w:t>
            </w:r>
            <w:r>
              <w:rPr>
                <w:sz w:val="20"/>
                <w:szCs w:val="20"/>
              </w:rPr>
              <w:br/>
            </w:r>
            <w:r>
              <w:rPr>
                <w:sz w:val="20"/>
                <w:szCs w:val="20"/>
              </w:rPr>
              <w:t xml:space="preserve"> 28. A valuer shall not conduct business which in the opinion of the authority or the registered valuer organisation discredits the profession.</w:t>
            </w:r>
            <w:r>
              <w:rPr>
                <w:sz w:val="20"/>
                <w:szCs w:val="20"/>
              </w:rPr>
              <w:br/>
            </w:r>
            <w:r>
              <w:rPr>
                <w:sz w:val="20"/>
                <w:szCs w:val="20"/>
              </w:rPr>
              <w:br/>
            </w:r>
            <w:r>
              <w:rPr>
                <w:sz w:val="20"/>
                <w:szCs w:val="20"/>
              </w:rPr>
              <w:t xml:space="preserve"> </w:t>
            </w:r>
            <w:r>
              <w:rPr>
                <w:b/>
                <w:bCs/>
                <w:sz w:val="20"/>
                <w:szCs w:val="20"/>
              </w:rPr>
              <w:t xml:space="preserve">Miscellaneous</w:t>
            </w:r>
            <w:r>
              <w:rPr>
                <w:b/>
                <w:bCs/>
                <w:sz w:val="20"/>
                <w:szCs w:val="20"/>
              </w:rPr>
              <w:br/>
            </w:r>
            <w:r>
              <w:rPr>
                <w:sz w:val="20"/>
                <w:szCs w:val="20"/>
              </w:rPr>
              <w:t xml:space="preserve"> 29. A valuer shall refrain from undertaking to review the work of another valuer of the same client except under written orders from the bank or housing finance institutions and with knowledge of the concerned valuer.</w:t>
            </w:r>
            <w:r>
              <w:rPr>
                <w:sz w:val="20"/>
                <w:szCs w:val="20"/>
              </w:rPr>
              <w:br/>
            </w:r>
            <w:r>
              <w:rPr>
                <w:sz w:val="20"/>
                <w:szCs w:val="20"/>
              </w:rPr>
              <w:t xml:space="preserve"> 30. A valuer shall follow this code as amended or revised from time to time. </w:t>
            </w:r>
          </w:p>
        </w:tc>
      </w:tr>
    </w:tbl>
    <w:p>
      <w:pPr>
        <w:rPr>
          <w:vanish/>
        </w:rPr>
      </w:pPr>
    </w:p>
    <w:tbl>
      <w:tblPr>
        <w:tblStyle w:val="NormalTable"/>
        <w:tblW w:w="5000" w:type="pct"/>
        <w:tblInd w:w="495" w:type="dxa"/>
        <w:tblCellMar>
          <w:top w:w="15" w:type="dxa"/>
          <w:left w:w="15" w:type="dxa"/>
          <w:bottom w:w="15" w:type="dxa"/>
          <w:right w:w="15" w:type="dxa"/>
        </w:tblCellMar>
        <w:tblLook w:val="05E0"/>
      </w:tblPr>
      <w:tblGrid>
        <w:gridCol w:w="8532"/>
      </w:tblGrid>
      <w:tr>
        <w:tblPrEx>
          <w:tblW w:w="5000" w:type="pct"/>
          <w:tblInd w:w="495"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jc w:val="left"/>
              <w:rPr>
                <w:b/>
                <w:bCs/>
                <w:sz w:val="24"/>
                <w:szCs w:val="24"/>
              </w:rPr>
            </w:pPr>
            <w:r>
              <w:rPr>
                <w:b/>
                <w:bCs/>
                <w:sz w:val="24"/>
                <w:szCs w:val="24"/>
              </w:rPr>
              <w:t xml:space="preserve">Photographs of the Property</w:t>
            </w:r>
          </w:p>
        </w:tc>
      </w:tr>
      <w:tr>
        <w:tblPrEx>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left"/>
              <w:rPr>
                <w:sz w:val="20"/>
                <w:szCs w:val="20"/>
              </w:rPr>
            </w:pPr>
            <w:r>
              <w:rPr>
                <w:strike w:val="0"/>
                <w:sz w:val="20"/>
                <w:szCs w:val="20"/>
                <w:u w:val="none"/>
              </w:rPr>
              <w:drawing>
                <wp:inline>
                  <wp:extent cx="304800" cy="304800"/>
                  <wp:docPr id="100002" name="" descr="Property 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66484"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3" name="" descr="Property Pho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72180"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4" name="" descr="Property 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12365"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5" name="" descr="Property Pho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2534"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6" name="" descr="Property Pho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3408"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7" name="" descr="Property Phot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1272"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8" name="" descr="Property Phot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03871"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r>
              <w:rPr>
                <w:strike w:val="0"/>
                <w:sz w:val="20"/>
                <w:szCs w:val="20"/>
                <w:u w:val="none"/>
              </w:rPr>
              <w:drawing>
                <wp:inline>
                  <wp:extent cx="304800" cy="304800"/>
                  <wp:docPr id="100009" name="" descr="Property Pho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2317"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p>
        </w:tc>
      </w:tr>
    </w:tbl>
    <w:p>
      <w:pPr>
        <w:rPr>
          <w:vanish/>
        </w:rPr>
      </w:pPr>
    </w:p>
    <w:tbl>
      <w:tblPr>
        <w:tblStyle w:val="table"/>
        <w:tblW w:w="5000" w:type="pct"/>
        <w:tblInd w:w="495" w:type="dxa"/>
        <w:tblCellMar>
          <w:top w:w="15" w:type="dxa"/>
          <w:left w:w="15" w:type="dxa"/>
          <w:bottom w:w="15" w:type="dxa"/>
          <w:right w:w="15" w:type="dxa"/>
        </w:tblCellMar>
        <w:tblLook w:val="05E0"/>
      </w:tblPr>
      <w:tblGrid>
        <w:gridCol w:w="8532"/>
      </w:tblGrid>
      <w:tr>
        <w:tblPrEx>
          <w:tblW w:w="5000" w:type="pct"/>
          <w:tblInd w:w="495"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tcMar>
              <w:top w:w="128" w:type="dxa"/>
              <w:left w:w="188" w:type="dxa"/>
              <w:bottom w:w="128" w:type="dxa"/>
              <w:right w:w="188" w:type="dxa"/>
            </w:tcMar>
            <w:vAlign w:val="top"/>
          </w:tcPr>
          <w:p>
            <w:pPr>
              <w:spacing w:line="326" w:lineRule="atLeast"/>
              <w:jc w:val="center"/>
              <w:rPr>
                <w:sz w:val="20"/>
                <w:szCs w:val="20"/>
              </w:rPr>
            </w:pPr>
            <w:r>
              <w:rPr>
                <w:strike w:val="0"/>
                <w:sz w:val="20"/>
                <w:szCs w:val="20"/>
                <w:u w:val="none"/>
              </w:rPr>
              <w:drawing>
                <wp:inline>
                  <wp:extent cx="304800" cy="304800"/>
                  <wp:docPr id="100010" name="" descr="Google Map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8745" name=""/>
                          <pic:cNvPicPr>
                            <a:picLocks noChangeAspect="1"/>
                          </pic:cNvPicPr>
                        </pic:nvPicPr>
                        <pic:blipFill>
                          <a:blip xmlns:r="http://schemas.openxmlformats.org/officeDocument/2006/relationships" r:embed="rId3"/>
                          <a:stretch>
                            <a:fillRect/>
                          </a:stretch>
                        </pic:blipFill>
                        <pic:spPr>
                          <a:xfrm>
                            <a:off x="0" y="0"/>
                            <a:ext cx="304800" cy="304800"/>
                          </a:xfrm>
                          <a:prstGeom prst="rect">
                            <a:avLst/>
                          </a:prstGeom>
                        </pic:spPr>
                      </pic:pic>
                    </a:graphicData>
                  </a:graphic>
                </wp:inline>
              </w:drawing>
            </w:r>
            <w:r>
              <w:rPr>
                <w:sz w:val="20"/>
                <w:szCs w:val="20"/>
              </w:rPr>
              <w:t xml:space="preserve"> </w:t>
            </w:r>
          </w:p>
          <w:p>
            <w:pPr>
              <w:spacing w:before="204" w:after="204" w:line="326" w:lineRule="atLeast"/>
              <w:jc w:val="center"/>
              <w:rPr>
                <w:sz w:val="20"/>
                <w:szCs w:val="20"/>
              </w:rPr>
            </w:pPr>
            <w:r>
              <w:rPr>
                <w:sz w:val="20"/>
                <w:szCs w:val="20"/>
              </w:rPr>
              <w:t xml:space="preserve">LATITUDE: - LONGITUDE: -</w:t>
            </w:r>
          </w:p>
        </w:tc>
      </w:tr>
    </w:tbl>
    <w:p>
      <w:pPr/>
    </w:p>
    <w:sectPr>
      <w:pgSz w:w="11907" w:h="16839"/>
      <w:pgMar w:top="1440" w:right="1440" w:bottom="1440" w:left="1440"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pPr>
      <w:spacing w:line="384" w:lineRule="atLeast"/>
    </w:pPr>
    <w:rPr>
      <w:rFonts w:ascii="Arial" w:eastAsia="Arial" w:hAnsi="Arial" w:cs="Arial"/>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48"/>
      <w:szCs w:val="48"/>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36"/>
      <w:szCs w:val="36"/>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8"/>
      <w:szCs w:val="28"/>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table" w:styleId="table">
    <w:name w:val="table"/>
    <w:tblPr/>
  </w:style>
  <w:style w:type="table" w:styleId="border-none">
    <w:name w:val="border-none"/>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image" Target="media/image1.png"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Valuation Report</dc:title>
  <cp:revision>1</cp:revision>
  <dcterms:created xsi:type="dcterms:W3CDTF">2025-05-06T11:31:19Z</dcterms:created>
  <dcterms:modified xsi:type="dcterms:W3CDTF">2025-05-06T11:31:19Z</dcterms:modified>
</cp:coreProperties>
</file>