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Property Valuation Report</w:t>
      </w:r>
    </w:p>
    <w:tbl>
      <w:tblPr>
        <w:tblStyle w:val="Table"/>
        <w:tblW w:type="auto" w:w="0"/>
        <w:tblLook w:firstRow="0" w:lastRow="0" w:firstColumn="0" w:lastColumn="0" w:noHBand="0" w:noVBand="0" w:val="0000"/>
      </w:tblPr>
      <w:tblGrid>
        <w:gridCol w:w="3960"/>
        <w:gridCol w:w="3960"/>
      </w:tblGrid>
      <w:tr>
        <w:tc>
          <w:tcPr/>
          <w:p>
            <w:pPr>
              <w:pStyle w:val="Compact"/>
            </w:pPr>
            <w:r>
              <w:t xml:space="preserve">Name of Proposed Owner</w:t>
            </w:r>
          </w:p>
        </w:tc>
        <w:tc>
          <w:tcPr/>
          <w:p>
            <w:pPr>
              <w:pStyle w:val="Compact"/>
            </w:pPr>
            <w:r>
              <w:t xml:space="preserve">KRISHNAN ARUNBHAI PANDYA</w:t>
            </w:r>
          </w:p>
        </w:tc>
      </w:tr>
      <w:tr>
        <w:tc>
          <w:tcPr/>
          <w:p>
            <w:pPr>
              <w:pStyle w:val="Compact"/>
            </w:pPr>
            <w:r>
              <w:t xml:space="preserve">Name of Intended Purchaser</w:t>
            </w:r>
          </w:p>
        </w:tc>
        <w:tc>
          <w:tcPr/>
          <w:p>
            <w:pPr>
              <w:pStyle w:val="Compact"/>
            </w:pPr>
            <w:r>
              <w:t xml:space="preserve">RAJ SHAH</w:t>
            </w:r>
          </w:p>
        </w:tc>
      </w:tr>
      <w:tr>
        <w:tc>
          <w:tcPr/>
          <w:p>
            <w:pPr>
              <w:pStyle w:val="Compact"/>
            </w:pPr>
            <w:r>
              <w:t xml:space="preserve">Location of the Property</w:t>
            </w:r>
          </w:p>
        </w:tc>
        <w:tc>
          <w:tcPr/>
          <w:p>
            <w:pPr>
              <w:pStyle w:val="Compact"/>
            </w:pPr>
            <w:r>
              <w:t xml:space="preserve">AHMEDABAD</w:t>
            </w:r>
          </w:p>
        </w:tc>
      </w:tr>
      <w:tr>
        <w:tc>
          <w:tcPr/>
          <w:p>
            <w:pPr>
              <w:pStyle w:val="Compact"/>
            </w:pPr>
            <w:r>
              <w:t xml:space="preserve">Fair Market Value</w:t>
            </w:r>
          </w:p>
        </w:tc>
        <w:tc>
          <w:tcPr/>
          <w:p>
            <w:pPr>
              <w:pStyle w:val="Compact"/>
            </w:pPr>
            <w:r>
              <w:t xml:space="preserve">-</w:t>
            </w:r>
          </w:p>
        </w:tc>
      </w:tr>
      <w:tr>
        <w:tc>
          <w:tcPr/>
          <w:p>
            <w:pPr>
              <w:pStyle w:val="Compact"/>
            </w:pPr>
            <w:r>
              <w:t xml:space="preserve">Realizable Sale Value</w:t>
            </w:r>
          </w:p>
        </w:tc>
        <w:tc>
          <w:tcPr/>
          <w:p>
            <w:pPr>
              <w:pStyle w:val="Compact"/>
            </w:pPr>
            <w:r>
              <w:t xml:space="preserve">-</w:t>
            </w:r>
          </w:p>
        </w:tc>
      </w:tr>
      <w:tr>
        <w:tc>
          <w:tcPr/>
          <w:p>
            <w:pPr>
              <w:pStyle w:val="Compact"/>
            </w:pPr>
            <w:r>
              <w:t xml:space="preserve">Distress Sale Value</w:t>
            </w:r>
          </w:p>
        </w:tc>
        <w:tc>
          <w:tcPr/>
          <w:p>
            <w:pPr>
              <w:pStyle w:val="Compact"/>
            </w:pPr>
            <w:r>
              <w:t xml:space="preserve">-</w:t>
            </w:r>
          </w:p>
        </w:tc>
      </w:tr>
      <w:tr>
        <w:tc>
          <w:tcPr/>
          <w:p>
            <w:pPr>
              <w:pStyle w:val="Compact"/>
            </w:pPr>
            <w:r>
              <w:t xml:space="preserve">DLC / Registration Value</w:t>
            </w:r>
          </w:p>
        </w:tc>
        <w:tc>
          <w:tcPr/>
          <w:p>
            <w:pPr>
              <w:pStyle w:val="Compact"/>
            </w:pPr>
            <w:r>
              <w:t xml:space="preserve">-</w:t>
            </w:r>
          </w:p>
        </w:tc>
      </w:tr>
      <w:tr>
        <w:tc>
          <w:tcPr/>
          <w:p>
            <w:pPr>
              <w:pStyle w:val="Compact"/>
            </w:pPr>
            <w:r>
              <w:t xml:space="preserve">Insurable Value</w:t>
            </w:r>
          </w:p>
        </w:tc>
        <w:tc>
          <w:tcPr/>
          <w:p>
            <w:pPr>
              <w:pStyle w:val="Compact"/>
            </w:pPr>
            <w:r>
              <w:t xml:space="preserve">-</w:t>
            </w:r>
          </w:p>
        </w:tc>
      </w:tr>
      <w:tr>
        <w:tc>
          <w:tcPr>
            <w:gridSpan w:val="2"/>
          </w:tcPr>
          <w:p>
            <w:pPr>
              <w:pStyle w:val="Compact"/>
            </w:pPr>
            <w:r>
              <w:t xml:space="preserve">Property Front View</w:t>
            </w:r>
          </w:p>
        </w:tc>
      </w:tr>
      <w:tr>
        <w:tc>
          <w:tcPr>
            <w:gridSpan w:val="2"/>
          </w:tcPr>
          <w:p>
            <w:pPr>
              <w:pStyle w:val="Compact"/>
            </w:pPr>
            <w:r>
              <w:t xml:space="preserve">Property Front View</w:t>
            </w:r>
          </w:p>
        </w:tc>
      </w:tr>
      <w:tr>
        <w:tc>
          <w:tcPr/>
          <w:p>
            <w:pPr>
              <w:pStyle w:val="Compact"/>
            </w:pPr>
            <w:r>
              <w:t xml:space="preserve">Name and Address of Branch</w:t>
            </w:r>
          </w:p>
        </w:tc>
        <w:tc>
          <w:tcPr/>
          <w:p>
            <w:pPr>
              <w:pStyle w:val="Compact"/>
            </w:pPr>
            <w:r>
              <w:t xml:space="preserve">-</w:t>
            </w:r>
          </w:p>
        </w:tc>
      </w:tr>
      <w:tr>
        <w:tc>
          <w:tcPr/>
          <w:p>
            <w:pPr>
              <w:pStyle w:val="Compact"/>
            </w:pPr>
            <w:r>
              <w:t xml:space="preserve">Name of Customer (s)/ Borrowal unit</w:t>
            </w:r>
          </w:p>
        </w:tc>
        <w:tc>
          <w:tcPr/>
          <w:p>
            <w:pPr>
              <w:pStyle w:val="Compact"/>
            </w:pPr>
            <w:r>
              <w:t xml:space="preserve">-</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p>
            <w:pPr>
              <w:pStyle w:val="Compact"/>
            </w:pPr>
            <w:r>
              <w:t xml:space="preserve">Customer details</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Name</w:t>
                  </w:r>
                </w:p>
              </w:tc>
              <w:tc>
                <w:tcPr/>
                <w:p>
                  <w:pPr>
                    <w:pStyle w:val="Compact"/>
                  </w:pPr>
                  <w:r>
                    <w:t xml:space="preserve">-</w:t>
                  </w:r>
                </w:p>
              </w:tc>
            </w:tr>
            <w:tr>
              <w:tc>
                <w:tcPr/>
                <w:p>
                  <w:pPr>
                    <w:pStyle w:val="Compact"/>
                  </w:pPr>
                  <w:r>
                    <w:t xml:space="preserve">Application No.</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w:t>
            </w:r>
          </w:p>
        </w:tc>
        <w:tc>
          <w:tcPr/>
          <w:p>
            <w:pPr>
              <w:pStyle w:val="Compact"/>
            </w:pPr>
            <w:r>
              <w:t xml:space="preserve">Property details</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Address</w:t>
                  </w:r>
                </w:p>
              </w:tc>
              <w:tc>
                <w:tcPr/>
                <w:p>
                  <w:pPr>
                    <w:pStyle w:val="Compact"/>
                  </w:pPr>
                  <w:r>
                    <w:t xml:space="preserve">-</w:t>
                  </w:r>
                </w:p>
              </w:tc>
            </w:tr>
            <w:tr>
              <w:tc>
                <w:tcPr/>
                <w:p>
                  <w:pPr>
                    <w:pStyle w:val="Compact"/>
                  </w:pPr>
                  <w:r>
                    <w:t xml:space="preserve">Legal Address</w:t>
                  </w:r>
                </w:p>
              </w:tc>
              <w:tc>
                <w:tcPr/>
                <w:p>
                  <w:pPr>
                    <w:pStyle w:val="Compact"/>
                  </w:pPr>
                  <w:r>
                    <w:t xml:space="preserve">-</w:t>
                  </w:r>
                </w:p>
              </w:tc>
            </w:tr>
            <w:tr>
              <w:tc>
                <w:tcPr/>
                <w:p>
                  <w:pPr>
                    <w:pStyle w:val="Compact"/>
                  </w:pPr>
                  <w:r>
                    <w:t xml:space="preserve">Nearby Landmark/Google Map</w:t>
                  </w:r>
                </w:p>
              </w:tc>
              <w:tc>
                <w:tcPr/>
                <w:p>
                  <w:pPr>
                    <w:pStyle w:val="Compact"/>
                  </w:pPr>
                  <w:r>
                    <w:t xml:space="preserve">-</w:t>
                  </w:r>
                </w:p>
              </w:tc>
            </w:tr>
            <w:tr>
              <w:tc>
                <w:tcPr/>
                <w:p>
                  <w:pPr>
                    <w:pStyle w:val="Compact"/>
                  </w:pPr>
                  <w:r>
                    <w:t xml:space="preserve">Independent access to the property</w:t>
                  </w:r>
                </w:p>
              </w:tc>
              <w:tc>
                <w:tcPr/>
                <w:p>
                  <w:pPr>
                    <w:pStyle w:val="Compact"/>
                  </w:pPr>
                  <w:r>
                    <w:t xml:space="preserve">Yes</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3</w:t>
            </w:r>
          </w:p>
        </w:tc>
        <w:tc>
          <w:tcPr/>
          <w:p>
            <w:pPr>
              <w:pStyle w:val="Compact"/>
            </w:pPr>
            <w:r>
              <w:t xml:space="preserve">Document Details</w:t>
            </w:r>
          </w:p>
        </w:tc>
      </w:tr>
      <w:tr>
        <w:tc>
          <w:tcPr/>
          <w:p>
            <w:pPr>
              <w:pStyle w:val="Compact"/>
            </w:pPr>
          </w:p>
        </w:tc>
        <w:tc>
          <w:tcPr/>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pPr>
                  <w:r>
                    <w:t xml:space="preserve">Yes/No</w:t>
                  </w:r>
                </w:p>
              </w:tc>
              <w:tc>
                <w:tcPr/>
                <w:p>
                  <w:pPr>
                    <w:pStyle w:val="Compact"/>
                  </w:pPr>
                  <w:r>
                    <w:t xml:space="preserve">Name of Approving Authority</w:t>
                  </w:r>
                </w:p>
              </w:tc>
              <w:tc>
                <w:tcPr/>
                <w:p>
                  <w:pPr>
                    <w:pStyle w:val="Compact"/>
                  </w:pPr>
                  <w:r>
                    <w:t xml:space="preserve">Approval No.</w:t>
                  </w:r>
                </w:p>
              </w:tc>
            </w:tr>
            <w:tr>
              <w:tc>
                <w:tcPr/>
                <w:p>
                  <w:pPr>
                    <w:pStyle w:val="Compact"/>
                  </w:pPr>
                  <w:r>
                    <w:t xml:space="preserve">Layout Plan</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Building Plan</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Construction Permission</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BU Permission</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Legal Documents</w:t>
                  </w:r>
                </w:p>
              </w:tc>
              <w:tc>
                <w:tcPr/>
                <w:p>
                  <w:pPr>
                    <w:pStyle w:val="Compact"/>
                  </w:pPr>
                  <w:r>
                    <w:t xml:space="preserve">-</w:t>
                  </w:r>
                </w:p>
              </w:tc>
              <w:tc>
                <w:tcPr/>
                <w:p>
                  <w:pPr>
                    <w:pStyle w:val="Compact"/>
                  </w:pPr>
                  <w:r>
                    <w:t xml:space="preserve">-</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p>
            <w:pPr>
              <w:pStyle w:val="Compact"/>
            </w:pPr>
            <w:r>
              <w:t xml:space="preserve">Physical Details</w:t>
            </w:r>
          </w:p>
        </w:tc>
      </w:tr>
      <w:tr>
        <w:tc>
          <w:tcPr/>
          <w:p>
            <w:pPr>
              <w:pStyle w:val="Compact"/>
            </w:pP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Adjoining Properties</w:t>
                  </w: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East</w:t>
                        </w:r>
                      </w:p>
                    </w:tc>
                    <w:tc>
                      <w:tcPr/>
                      <w:p>
                        <w:pPr>
                          <w:pStyle w:val="Compact"/>
                        </w:pPr>
                        <w:r>
                          <w:t xml:space="preserve">-</w:t>
                        </w:r>
                      </w:p>
                    </w:tc>
                  </w:tr>
                  <w:tr>
                    <w:tc>
                      <w:tcPr/>
                      <w:p>
                        <w:pPr>
                          <w:pStyle w:val="Compact"/>
                        </w:pPr>
                        <w:r>
                          <w:t xml:space="preserve">West</w:t>
                        </w:r>
                      </w:p>
                    </w:tc>
                    <w:tc>
                      <w:tcPr/>
                      <w:p>
                        <w:pPr>
                          <w:pStyle w:val="Compact"/>
                        </w:pPr>
                        <w:r>
                          <w:t xml:space="preserve">-</w:t>
                        </w:r>
                      </w:p>
                    </w:tc>
                  </w:tr>
                  <w:tr>
                    <w:tc>
                      <w:tcPr/>
                      <w:p>
                        <w:pPr>
                          <w:pStyle w:val="Compact"/>
                        </w:pPr>
                        <w:r>
                          <w:t xml:space="preserve">North</w:t>
                        </w:r>
                      </w:p>
                    </w:tc>
                    <w:tc>
                      <w:tcPr/>
                      <w:p>
                        <w:pPr>
                          <w:pStyle w:val="Compact"/>
                        </w:pPr>
                        <w:r>
                          <w:t xml:space="preserve">-</w:t>
                        </w:r>
                      </w:p>
                    </w:tc>
                  </w:tr>
                  <w:tr>
                    <w:tc>
                      <w:tcPr/>
                      <w:p>
                        <w:pPr>
                          <w:pStyle w:val="Compact"/>
                        </w:pPr>
                        <w:r>
                          <w:t xml:space="preserve">South</w:t>
                        </w:r>
                      </w:p>
                    </w:tc>
                    <w:tc>
                      <w:tcPr/>
                      <w:p>
                        <w:pPr>
                          <w:pStyle w:val="Compact"/>
                        </w:pPr>
                        <w:r>
                          <w:t xml:space="preserve">-</w:t>
                        </w:r>
                      </w:p>
                    </w:tc>
                  </w:tr>
                  <w:tr>
                    <w:tc>
                      <w:tcPr/>
                      <w:p>
                        <w:pPr>
                          <w:pStyle w:val="Compact"/>
                        </w:pPr>
                        <w:r>
                          <w:t xml:space="preserve">North East</w:t>
                        </w:r>
                      </w:p>
                    </w:tc>
                    <w:tc>
                      <w:tcPr/>
                      <w:p>
                        <w:pPr>
                          <w:pStyle w:val="Compact"/>
                        </w:pPr>
                        <w:r>
                          <w:t xml:space="preserve">-</w:t>
                        </w:r>
                      </w:p>
                    </w:tc>
                  </w:tr>
                  <w:tr>
                    <w:tc>
                      <w:tcPr/>
                      <w:p>
                        <w:pPr>
                          <w:pStyle w:val="Compact"/>
                        </w:pPr>
                        <w:r>
                          <w:t xml:space="preserve">North West</w:t>
                        </w:r>
                      </w:p>
                    </w:tc>
                    <w:tc>
                      <w:tcPr/>
                      <w:p>
                        <w:pPr>
                          <w:pStyle w:val="Compact"/>
                        </w:pPr>
                        <w:r>
                          <w:t xml:space="preserve">-</w:t>
                        </w:r>
                      </w:p>
                    </w:tc>
                  </w:tr>
                  <w:tr>
                    <w:tc>
                      <w:tcPr/>
                      <w:p>
                        <w:pPr>
                          <w:pStyle w:val="Compact"/>
                        </w:pPr>
                        <w:r>
                          <w:t xml:space="preserve">South West</w:t>
                        </w:r>
                      </w:p>
                    </w:tc>
                    <w:tc>
                      <w:tcPr/>
                      <w:p>
                        <w:pPr>
                          <w:pStyle w:val="Compact"/>
                        </w:pPr>
                        <w:r>
                          <w:t xml:space="preserve">-</w:t>
                        </w:r>
                      </w:p>
                    </w:tc>
                  </w:tr>
                  <w:tr>
                    <w:tc>
                      <w:tcPr/>
                      <w:p>
                        <w:pPr>
                          <w:pStyle w:val="Compact"/>
                        </w:pPr>
                        <w:r>
                          <w:t xml:space="preserve">South East</w:t>
                        </w:r>
                      </w:p>
                    </w:tc>
                    <w:tc>
                      <w:tcPr/>
                      <w:p>
                        <w:pPr>
                          <w:pStyle w:val="Compact"/>
                        </w:pPr>
                        <w:r>
                          <w:t xml:space="preserve">-</w:t>
                        </w:r>
                      </w:p>
                    </w:tc>
                  </w:tr>
                </w:tbl>
                <w:p/>
              </w:tc>
            </w:tr>
            <w:tr>
              <w:tc>
                <w:tcPr/>
                <w:p>
                  <w:pPr>
                    <w:pStyle w:val="BodyText"/>
                  </w:pPr>
                  <w:r>
                    <w:t xml:space="preserve">Matching of Boundaries</w:t>
                  </w:r>
                </w:p>
              </w:tc>
              <w:tc>
                <w:tcPr/>
                <w:p>
                  <w:pPr>
                    <w:pStyle w:val="BodyText"/>
                  </w:pPr>
                  <w:r>
                    <w:t xml:space="preserve">-</w:t>
                  </w:r>
                </w:p>
              </w:tc>
            </w:tr>
            <w:tr>
              <w:tc>
                <w:tcPr/>
                <w:p>
                  <w:pPr>
                    <w:pStyle w:val="BodyText"/>
                  </w:pPr>
                  <w:r>
                    <w:t xml:space="preserve">Plot demarcated</w:t>
                  </w:r>
                </w:p>
              </w:tc>
              <w:tc>
                <w:tcPr/>
                <w:p>
                  <w:pPr>
                    <w:pStyle w:val="BodyText"/>
                  </w:pPr>
                  <w:r>
                    <w:t xml:space="preserve">-</w:t>
                  </w:r>
                </w:p>
              </w:tc>
            </w:tr>
            <w:tr>
              <w:tc>
                <w:tcPr/>
                <w:p>
                  <w:pPr>
                    <w:pStyle w:val="BodyText"/>
                  </w:pPr>
                  <w:r>
                    <w:t xml:space="preserve">Approved land use</w:t>
                  </w:r>
                </w:p>
              </w:tc>
              <w:tc>
                <w:tcPr/>
                <w:p>
                  <w:pPr>
                    <w:pStyle w:val="BodyText"/>
                  </w:pPr>
                  <w:r>
                    <w:t xml:space="preserve">-</w:t>
                  </w:r>
                </w:p>
              </w:tc>
            </w:tr>
            <w:tr>
              <w:tc>
                <w:tcPr/>
                <w:p>
                  <w:pPr>
                    <w:pStyle w:val="BodyText"/>
                  </w:pPr>
                  <w:r>
                    <w:t xml:space="preserve">Type of property</w:t>
                  </w:r>
                </w:p>
              </w:tc>
              <w:tc>
                <w:tcPr/>
                <w:p>
                  <w:pPr>
                    <w:pStyle w:val="BodyText"/>
                  </w:pPr>
                  <w:r>
                    <w:t xml:space="preserve">-</w:t>
                  </w:r>
                </w:p>
              </w:tc>
            </w:tr>
            <w:tr>
              <w:tc>
                <w:tcPr/>
                <w:p>
                  <w:pPr>
                    <w:pStyle w:val="BodyText"/>
                  </w:pPr>
                  <w:r>
                    <w:t xml:space="preserve">No. of Rooms</w:t>
                  </w: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Living/ Dining</w:t>
                        </w:r>
                      </w:p>
                    </w:tc>
                    <w:tc>
                      <w:tcPr/>
                      <w:p>
                        <w:pPr>
                          <w:pStyle w:val="Compact"/>
                        </w:pPr>
                        <w:r>
                          <w:t xml:space="preserve">-</w:t>
                        </w:r>
                      </w:p>
                    </w:tc>
                  </w:tr>
                  <w:tr>
                    <w:tc>
                      <w:tcPr/>
                      <w:p>
                        <w:pPr>
                          <w:pStyle w:val="Compact"/>
                        </w:pPr>
                        <w:r>
                          <w:t xml:space="preserve">Bed rooms</w:t>
                        </w:r>
                      </w:p>
                    </w:tc>
                    <w:tc>
                      <w:tcPr/>
                      <w:p>
                        <w:pPr>
                          <w:pStyle w:val="Compact"/>
                        </w:pPr>
                        <w:r>
                          <w:t xml:space="preserve">-</w:t>
                        </w:r>
                      </w:p>
                    </w:tc>
                  </w:tr>
                  <w:tr>
                    <w:tc>
                      <w:tcPr/>
                      <w:p>
                        <w:pPr>
                          <w:pStyle w:val="Compact"/>
                        </w:pPr>
                        <w:r>
                          <w:t xml:space="preserve">Toilets</w:t>
                        </w:r>
                      </w:p>
                    </w:tc>
                    <w:tc>
                      <w:tcPr/>
                      <w:p>
                        <w:pPr>
                          <w:pStyle w:val="Compact"/>
                        </w:pPr>
                        <w:r>
                          <w:t xml:space="preserve">-</w:t>
                        </w:r>
                      </w:p>
                    </w:tc>
                  </w:tr>
                  <w:tr>
                    <w:tc>
                      <w:tcPr/>
                      <w:p>
                        <w:pPr>
                          <w:pStyle w:val="Compact"/>
                        </w:pPr>
                        <w:r>
                          <w:t xml:space="preserve">Kitchen</w:t>
                        </w:r>
                      </w:p>
                    </w:tc>
                    <w:tc>
                      <w:tcPr/>
                      <w:p>
                        <w:pPr>
                          <w:pStyle w:val="Compact"/>
                        </w:pPr>
                        <w:r>
                          <w:t xml:space="preserve">-</w:t>
                        </w:r>
                      </w:p>
                    </w:tc>
                  </w:tr>
                </w:tbl>
                <w:p/>
              </w:tc>
            </w:tr>
            <w:tr>
              <w:tc>
                <w:tcPr/>
                <w:p>
                  <w:pPr>
                    <w:pStyle w:val="BodyText"/>
                  </w:pPr>
                  <w:r>
                    <w:t xml:space="preserve">Total No of Floors</w:t>
                  </w:r>
                </w:p>
              </w:tc>
              <w:tc>
                <w:tcPr/>
                <w:p>
                  <w:pPr>
                    <w:pStyle w:val="BodyText"/>
                  </w:pPr>
                  <w:r>
                    <w:t xml:space="preserve">-</w:t>
                  </w:r>
                </w:p>
              </w:tc>
            </w:tr>
            <w:tr>
              <w:tc>
                <w:tcPr/>
                <w:p>
                  <w:pPr>
                    <w:pStyle w:val="BodyText"/>
                  </w:pPr>
                  <w:r>
                    <w:t xml:space="preserve">Floor on which the property is located</w:t>
                  </w:r>
                </w:p>
              </w:tc>
              <w:tc>
                <w:tcPr/>
                <w:p>
                  <w:pPr>
                    <w:pStyle w:val="BodyText"/>
                  </w:pPr>
                  <w:r>
                    <w:t xml:space="preserve">-</w:t>
                  </w:r>
                </w:p>
              </w:tc>
            </w:tr>
            <w:tr>
              <w:tc>
                <w:tcPr/>
                <w:p>
                  <w:pPr>
                    <w:pStyle w:val="BodyText"/>
                  </w:pPr>
                  <w:r>
                    <w:t xml:space="preserve">Approx age of the Property</w:t>
                  </w:r>
                </w:p>
              </w:tc>
              <w:tc>
                <w:tcPr/>
                <w:p>
                  <w:pPr>
                    <w:pStyle w:val="BodyText"/>
                  </w:pPr>
                  <w:r>
                    <w:t xml:space="preserve">-</w:t>
                  </w:r>
                </w:p>
              </w:tc>
            </w:tr>
            <w:tr>
              <w:tc>
                <w:tcPr/>
                <w:p>
                  <w:pPr>
                    <w:pStyle w:val="BodyText"/>
                  </w:pPr>
                  <w:r>
                    <w:t xml:space="preserve">Residual age of the Property</w:t>
                  </w:r>
                </w:p>
              </w:tc>
              <w:tc>
                <w:tcPr/>
                <w:p>
                  <w:pPr>
                    <w:pStyle w:val="BodyText"/>
                  </w:pPr>
                  <w:r>
                    <w:t xml:space="preserve">-</w:t>
                  </w:r>
                </w:p>
              </w:tc>
            </w:tr>
            <w:tr>
              <w:tc>
                <w:tcPr/>
                <w:p>
                  <w:pPr>
                    <w:pStyle w:val="BodyText"/>
                  </w:pPr>
                  <w:r>
                    <w:t xml:space="preserve">Type of structure</w:t>
                  </w:r>
                </w:p>
              </w:tc>
              <w:tc>
                <w:tcPr/>
                <w:p>
                  <w:pPr>
                    <w:pStyle w:val="BodyTex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p>
            <w:pPr>
              <w:pStyle w:val="Compact"/>
            </w:pPr>
            <w:r>
              <w:t xml:space="preserve">Tenure / Occupancy Details</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Status of Tenure</w:t>
                  </w:r>
                </w:p>
              </w:tc>
              <w:tc>
                <w:tcPr/>
                <w:p>
                  <w:pPr>
                    <w:pStyle w:val="Compact"/>
                  </w:pPr>
                  <w:r>
                    <w:t xml:space="preserve">-</w:t>
                  </w:r>
                </w:p>
              </w:tc>
            </w:tr>
            <w:tr>
              <w:tc>
                <w:tcPr/>
                <w:p>
                  <w:pPr>
                    <w:pStyle w:val="Compact"/>
                  </w:pPr>
                  <w:r>
                    <w:t xml:space="preserve">No. of years of occupancy</w:t>
                  </w:r>
                </w:p>
              </w:tc>
              <w:tc>
                <w:tcPr/>
                <w:p>
                  <w:pPr>
                    <w:pStyle w:val="Compact"/>
                  </w:pPr>
                  <w:r>
                    <w:t xml:space="preserve">-</w:t>
                  </w:r>
                </w:p>
              </w:tc>
            </w:tr>
            <w:tr>
              <w:tc>
                <w:tcPr/>
                <w:p>
                  <w:pPr>
                    <w:pStyle w:val="Compact"/>
                  </w:pPr>
                  <w:r>
                    <w:t xml:space="preserve">Relationship of tenant or owner</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p>
            <w:pPr>
              <w:pStyle w:val="Compact"/>
            </w:pPr>
            <w:r>
              <w:t xml:space="preserve">Stage of Construction (for which valuation report is sought)</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Stage of construction</w:t>
                  </w:r>
                </w:p>
              </w:tc>
              <w:tc>
                <w:tcPr/>
                <w:p>
                  <w:pPr>
                    <w:pStyle w:val="Compact"/>
                  </w:pPr>
                  <w:r>
                    <w:t xml:space="preserve">-</w:t>
                  </w:r>
                </w:p>
              </w:tc>
            </w:tr>
            <w:tr>
              <w:tc>
                <w:tcPr/>
                <w:p>
                  <w:pPr>
                    <w:pStyle w:val="Compact"/>
                  </w:pPr>
                  <w:r>
                    <w:t xml:space="preserve">If under construction, extent of completion</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p>
            <w:pPr>
              <w:pStyle w:val="Compact"/>
            </w:pPr>
            <w:r>
              <w:t xml:space="preserve">Violations if any observed</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Nature and extent of violations</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p>
            <w:pPr>
              <w:pStyle w:val="Compact"/>
            </w:pPr>
            <w:r>
              <w:t xml:space="preserve">Area Details of the property</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Site Area</w:t>
                  </w:r>
                </w:p>
              </w:tc>
              <w:tc>
                <w:tcPr/>
                <w:p>
                  <w:pPr>
                    <w:pStyle w:val="Compact"/>
                  </w:pPr>
                  <w:r>
                    <w:t xml:space="preserve">- square feet / - square yard / - square meter</w:t>
                  </w:r>
                </w:p>
              </w:tc>
            </w:tr>
            <w:tr>
              <w:tc>
                <w:tcPr/>
                <w:p>
                  <w:pPr>
                    <w:pStyle w:val="Compact"/>
                  </w:pPr>
                  <w:r>
                    <w:t xml:space="preserve">Plinth Area</w:t>
                  </w:r>
                </w:p>
              </w:tc>
              <w:tc>
                <w:tcPr/>
                <w:p>
                  <w:pPr>
                    <w:pStyle w:val="Compact"/>
                  </w:pPr>
                  <w:r>
                    <w:t xml:space="preserve">- square feet / - square yard / - square meter</w:t>
                  </w:r>
                </w:p>
              </w:tc>
            </w:tr>
            <w:tr>
              <w:tc>
                <w:tcPr/>
                <w:p>
                  <w:pPr>
                    <w:pStyle w:val="Compact"/>
                  </w:pPr>
                  <w:r>
                    <w:t xml:space="preserve">Carpet Area</w:t>
                  </w:r>
                </w:p>
              </w:tc>
              <w:tc>
                <w:tcPr/>
                <w:p>
                  <w:pPr>
                    <w:pStyle w:val="Compact"/>
                  </w:pPr>
                  <w:r>
                    <w:t xml:space="preserve">- square feet / - square yard / - square meter</w:t>
                  </w:r>
                </w:p>
              </w:tc>
            </w:tr>
            <w:tr>
              <w:tc>
                <w:tcPr/>
                <w:p>
                  <w:pPr>
                    <w:pStyle w:val="Compact"/>
                  </w:pPr>
                  <w:r>
                    <w:t xml:space="preserve">Saleable Area</w:t>
                  </w:r>
                </w:p>
              </w:tc>
              <w:tc>
                <w:tcPr/>
                <w:p>
                  <w:pPr>
                    <w:pStyle w:val="Compact"/>
                  </w:pPr>
                  <w:r>
                    <w:t xml:space="preserve">- square feet / - square yard / - square meter</w:t>
                  </w:r>
                </w:p>
              </w:tc>
            </w:tr>
            <w:tr>
              <w:tc>
                <w:tcPr/>
                <w:p>
                  <w:pPr>
                    <w:pStyle w:val="Compact"/>
                  </w:pPr>
                  <w:r>
                    <w:t xml:space="preserve">Remarks</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Valuation</w:t>
            </w:r>
          </w:p>
        </w:tc>
      </w:tr>
      <w:tr>
        <w:tc>
          <w:tcPr/>
          <w:p>
            <w:pPr>
              <w:pStyle w:val="Compact"/>
            </w:pP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We conducted an extensive local market inquiry to determine the prevailing market or composite rate of the</w:t>
                  </w:r>
                  <w:r>
                    <w:t xml:space="preserve"> </w:t>
                  </w:r>
                  <w:r>
                    <w:t xml:space="preserve">property in the surrounding area. This included consultations with local real estate experts and engaging</w:t>
                  </w:r>
                  <w:r>
                    <w:t xml:space="preserve"> </w:t>
                  </w:r>
                  <w:r>
                    <w:t xml:space="preserve">with community residents familiar with property values and market trends. By analysing recent transactions</w:t>
                  </w:r>
                  <w:r>
                    <w:t xml:space="preserve"> </w:t>
                  </w:r>
                  <w:r>
                    <w:t xml:space="preserve">and pricing dynamics, we've gained a comprehensive understanding of current market conditions. This</w:t>
                  </w:r>
                  <w:r>
                    <w:t xml:space="preserve"> </w:t>
                  </w:r>
                  <w:r>
                    <w:t xml:space="preserve">information forms the basis for our informed estimation of the property's composite rate, ensuring accuracy</w:t>
                  </w:r>
                  <w:r>
                    <w:t xml:space="preserve"> </w:t>
                  </w:r>
                  <w:r>
                    <w:t xml:space="preserve">and transparency in our valuation process.</w:t>
                  </w:r>
                </w:p>
              </w:tc>
              <w:tc>
                <w:tcPr/>
                <w:p>
                  <w:pPr>
                    <w:pStyle w:val="Compact"/>
                  </w:pPr>
                </w:p>
              </w:tc>
            </w:tr>
            <w:tr>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Particulars</w:t>
                        </w:r>
                      </w:p>
                    </w:tc>
                    <w:tc>
                      <w:tcPr/>
                      <w:p>
                        <w:pPr>
                          <w:pStyle w:val="Compact"/>
                        </w:pPr>
                        <w:r>
                          <w:t xml:space="preserve">Range</w:t>
                        </w:r>
                      </w:p>
                    </w:tc>
                    <w:tc>
                      <w:tcPr/>
                      <w:p>
                        <w:pPr>
                          <w:pStyle w:val="Compact"/>
                        </w:pPr>
                        <w:r>
                          <w:t xml:space="preserve">Source</w:t>
                        </w:r>
                      </w:p>
                    </w:tc>
                  </w:tr>
                  <w:tr>
                    <w:tc>
                      <w:tcPr/>
                      <w:p>
                        <w:pPr>
                          <w:pStyle w:val="Compact"/>
                        </w:pPr>
                        <w:r>
                          <w:t xml:space="preserve">Exploring the market conditions in the surrounding area</w:t>
                        </w:r>
                      </w:p>
                    </w:tc>
                    <w:tc>
                      <w:tcPr/>
                      <w:p>
                        <w:pPr>
                          <w:pStyle w:val="Compact"/>
                        </w:pPr>
                        <w:r>
                          <w:t xml:space="preserve">₹ 2700.00 - ₹ 3200.00</w:t>
                        </w:r>
                        <w:r>
                          <w:br/>
                        </w:r>
                        <w:r>
                          <w:t xml:space="preserve">₹ / s. feet</w:t>
                        </w:r>
                      </w:p>
                    </w:tc>
                    <w:tc>
                      <w:tcPr/>
                      <w:p>
                        <w:pPr>
                          <w:pStyle w:val="Compact"/>
                        </w:pPr>
                        <w:r>
                          <w:t xml:space="preserve">Online portal</w:t>
                        </w:r>
                        <w:r>
                          <w:br/>
                        </w:r>
                        <w:r>
                          <w:t xml:space="preserve">(Copy attached)</w:t>
                        </w:r>
                      </w:p>
                    </w:tc>
                  </w:tr>
                  <w:tr>
                    <w:tc>
                      <w:tcPr/>
                      <w:p>
                        <w:pPr>
                          <w:pStyle w:val="Compact"/>
                        </w:pPr>
                        <w:r>
                          <w:t xml:space="preserve">Exploring the market conditions in the surrounding area</w:t>
                        </w:r>
                      </w:p>
                    </w:tc>
                    <w:tc>
                      <w:tcPr/>
                      <w:p>
                        <w:pPr>
                          <w:pStyle w:val="Compact"/>
                        </w:pPr>
                        <w:r>
                          <w:t xml:space="preserve">₹ 2700.00 - ₹ 3200.00</w:t>
                        </w:r>
                        <w:r>
                          <w:br/>
                        </w:r>
                        <w:r>
                          <w:t xml:space="preserve">₹ / s. feet</w:t>
                        </w:r>
                      </w:p>
                    </w:tc>
                    <w:tc>
                      <w:tcPr/>
                      <w:p>
                        <w:pPr>
                          <w:pStyle w:val="Compact"/>
                        </w:pPr>
                        <w:r>
                          <w:t xml:space="preserve">A local market inquiry was conducted, involving local real estate brokers and residents, among others.</w:t>
                        </w:r>
                      </w:p>
                    </w:tc>
                  </w:tr>
                  <w:tr>
                    <w:tc>
                      <w:tcPr>
                        <w:gridSpan w:val="3"/>
                      </w:tcPr>
                      <w:p>
                        <w:pPr>
                          <w:pStyle w:val="Compact"/>
                        </w:pPr>
                        <w:r>
                          <w:t xml:space="preserve">Incorporating the information presented earlier, encompassing a range of factors such as property location,</w:t>
                        </w:r>
                        <w:r>
                          <w:t xml:space="preserve"> </w:t>
                        </w:r>
                        <w:r>
                          <w:t xml:space="preserve">size, condition, and the specifics outlined in part 10 paragraph no. VI, the prevailing market / land rate for a</w:t>
                        </w:r>
                        <w:r>
                          <w:t xml:space="preserve"> </w:t>
                        </w:r>
                        <w:r>
                          <w:t xml:space="preserve">comparable property in the nearby vicinity is currently estimated to fall between Rs. 35,000.00 and Rs.</w:t>
                        </w:r>
                        <w:r>
                          <w:t xml:space="preserve"> </w:t>
                        </w:r>
                        <w:r>
                          <w:t xml:space="preserve">45,000.00 per square yard. Taking all these factors into careful consideration, including the unique</w:t>
                        </w:r>
                        <w:r>
                          <w:t xml:space="preserve"> </w:t>
                        </w:r>
                        <w:r>
                          <w:t xml:space="preserve">characteristics and location of the subject property, we have determined the unit rate as follows, drawing</w:t>
                        </w:r>
                        <w:r>
                          <w:t xml:space="preserve"> </w:t>
                        </w:r>
                        <w:r>
                          <w:t xml:space="preserve">from our comprehensive evaluation.</w:t>
                        </w:r>
                      </w:p>
                    </w:tc>
                  </w:tr>
                </w:tbl>
                <w:p/>
              </w:tc>
              <w:tc>
                <w:tcPr/>
                <w:p>
                  <w:pPr>
                    <w:pStyle w:val="Compact"/>
                  </w:pPr>
                </w:p>
              </w:tc>
            </w:tr>
            <w:tr>
              <w:tc>
                <w:tcPr>
                  <w:gridSpan w:val="2"/>
                </w:tcPr>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Description</w:t>
                        </w:r>
                      </w:p>
                    </w:tc>
                    <w:tc>
                      <w:tcPr/>
                      <w:p>
                        <w:pPr>
                          <w:pStyle w:val="Compact"/>
                        </w:pPr>
                        <w:r>
                          <w:t xml:space="preserve">Qty.</w:t>
                        </w:r>
                      </w:p>
                    </w:tc>
                    <w:tc>
                      <w:tcPr/>
                      <w:p>
                        <w:pPr>
                          <w:pStyle w:val="Compact"/>
                        </w:pPr>
                        <w:r>
                          <w:t xml:space="preserve">Rate per unit (in ₹)</w:t>
                        </w:r>
                      </w:p>
                    </w:tc>
                    <w:tc>
                      <w:tcPr/>
                      <w:p>
                        <w:pPr>
                          <w:pStyle w:val="Compact"/>
                        </w:pPr>
                        <w:r>
                          <w:t xml:space="preserve">Estimated fair value (in ₹)</w:t>
                        </w:r>
                      </w:p>
                    </w:tc>
                  </w:tr>
                  <w:tr>
                    <w:tc>
                      <w:tcPr/>
                      <w:p>
                        <w:pPr>
                          <w:pStyle w:val="Compact"/>
                        </w:pPr>
                        <w:r>
                          <w:t xml:space="preserve">Present value of the building (incl. car parking, if provided)</w:t>
                        </w:r>
                      </w:p>
                    </w:tc>
                    <w:tc>
                      <w:tcPr/>
                      <w:p>
                        <w:pPr>
                          <w:pStyle w:val="Compact"/>
                        </w:pPr>
                      </w:p>
                    </w:tc>
                    <w:tc>
                      <w:tcPr/>
                      <w:p>
                        <w:pPr>
                          <w:pStyle w:val="Compact"/>
                        </w:pPr>
                      </w:p>
                    </w:tc>
                    <w:tc>
                      <w:tcPr/>
                      <w:p>
                        <w:pPr>
                          <w:pStyle w:val="Compact"/>
                        </w:pPr>
                      </w:p>
                    </w:tc>
                  </w:tr>
                  <w:tr>
                    <w:tc>
                      <w:tcPr/>
                      <w:p>
                        <w:pPr>
                          <w:pStyle w:val="Compact"/>
                        </w:pPr>
                        <w:r>
                          <w:t xml:space="preserve">Additional Value</w:t>
                        </w:r>
                      </w:p>
                    </w:tc>
                    <w:tc>
                      <w:tcPr>
                        <w:gridSpan w:val="2"/>
                      </w:tcPr>
                      <w:p>
                        <w:pPr>
                          <w:pStyle w:val="Compact"/>
                        </w:pPr>
                        <w:r>
                          <w:t xml:space="preserve">Combined</w:t>
                        </w:r>
                      </w:p>
                    </w:tc>
                    <w:tc>
                      <w:tcPr/>
                      <w:p>
                        <w:pPr>
                          <w:pStyle w:val="Compact"/>
                        </w:pPr>
                      </w:p>
                    </w:tc>
                  </w:tr>
                  <w:tr>
                    <w:tc>
                      <w:tcPr>
                        <w:gridSpan w:val="3"/>
                      </w:tcPr>
                      <w:p>
                        <w:pPr>
                          <w:pStyle w:val="Compact"/>
                        </w:pPr>
                        <w:r>
                          <w:t xml:space="preserve">Total Fair Value</w:t>
                        </w:r>
                      </w:p>
                    </w:tc>
                    <w:tc>
                      <w:tcPr/>
                      <w:p>
                        <w:pPr>
                          <w:pStyle w:val="Compact"/>
                        </w:pPr>
                      </w:p>
                    </w:tc>
                  </w:tr>
                  <w:tr>
                    <w:tc>
                      <w:tcPr/>
                      <w:p>
                        <w:pPr>
                          <w:pStyle w:val="Compact"/>
                        </w:pPr>
                        <w:r>
                          <w:t xml:space="preserve">Total Fair Value</w:t>
                        </w:r>
                        <w:r>
                          <w:br/>
                        </w:r>
                        <w:r>
                          <w:t xml:space="preserve">(Rounded off &amp; in words)</w:t>
                        </w:r>
                      </w:p>
                    </w:tc>
                    <w:tc>
                      <w:tcPr>
                        <w:gridSpan w:val="3"/>
                      </w:tcPr>
                      <w:p>
                        <w:pPr>
                          <w:pStyle w:val="Compact"/>
                        </w:pPr>
                      </w:p>
                    </w:tc>
                  </w:tr>
                </w:tbl>
                <w:p/>
              </w:tc>
            </w:tr>
            <w:tr>
              <w:tc>
                <w:tcPr>
                  <w:gridSpan w:val="2"/>
                </w:tcPr>
                <w:p>
                  <w:pPr>
                    <w:pStyle w:val="BodyText"/>
                  </w:pPr>
                  <w:r>
                    <w:t xml:space="preserve">As a result of our appraisal and analysis, it is our considered opinion that the present fair market value of the</w:t>
                  </w:r>
                  <w:r>
                    <w:t xml:space="preserve"> </w:t>
                  </w:r>
                  <w:r>
                    <w:t xml:space="preserve">above property in the prevailing condition with aforesaid specifications is &lt;&gt;. The book value of the</w:t>
                  </w:r>
                  <w:r>
                    <w:t xml:space="preserve"> </w:t>
                  </w:r>
                  <w:r>
                    <w:t xml:space="preserve">above property is &lt;&gt; &lt;&gt; ( As per sale deed ). And the distress sale value</w:t>
                  </w:r>
                  <w:r>
                    <w:t xml:space="preserve"> </w:t>
                  </w:r>
                  <w:r>
                    <w:t xml:space="preserve">&lt;&gt;.</w:t>
                  </w:r>
                </w:p>
              </w:tc>
            </w:tr>
          </w:tbl>
          <w:p/>
        </w:tc>
      </w:tr>
      <w:tr>
        <w:tc>
          <w:tcPr>
            <w:gridSpan w:val="2"/>
          </w:tcPr>
          <w:p>
            <w:pPr>
              <w:pStyle w:val="BodyText"/>
            </w:pPr>
            <w:r>
              <w:t xml:space="preserve">Fair Market Value</w:t>
            </w:r>
          </w:p>
        </w:tc>
      </w:tr>
      <w:tr>
        <w:tc>
          <w:tcPr>
            <w:gridSpan w:val="2"/>
          </w:tcPr>
          <w:p>
            <w:pPr>
              <w:pStyle w:val="BodyText"/>
            </w:pPr>
            <w:r>
              <w:t xml:space="preserve">The concept of Fair Market Value, as defined, centres around the estimated sum at which an asset could feasibly</w:t>
            </w:r>
            <w:r>
              <w:t xml:space="preserve"> </w:t>
            </w:r>
            <w:r>
              <w:t xml:space="preserve">be exchanged on the designated valuation date. This exchange would transpire between two willing participants</w:t>
            </w:r>
            <w:r>
              <w:t xml:space="preserve"> </w:t>
            </w:r>
            <w:r>
              <w:t xml:space="preserve">in a transaction that is impartial and equitable. This transaction follows a comprehensive marketing process, and</w:t>
            </w:r>
            <w:r>
              <w:t xml:space="preserve"> </w:t>
            </w:r>
            <w:r>
              <w:t xml:space="preserve">the parties involved are expected to make well-informed, prudent decisions devoid of any undue influence or</w:t>
            </w:r>
            <w:r>
              <w:t xml:space="preserve"> </w:t>
            </w:r>
            <w:r>
              <w:t xml:space="preserve">pressure.</w:t>
            </w:r>
            <w:r>
              <w:br/>
            </w:r>
            <w:r>
              <w:br/>
            </w:r>
            <w:r>
              <w:t xml:space="preserve">Given the existing state of usability and the specific attributes of the property under consideration, and drawing on</w:t>
            </w:r>
            <w:r>
              <w:t xml:space="preserve"> </w:t>
            </w:r>
            <w:r>
              <w:t xml:space="preserve">my professional judgement, I propose considering the rounded-up value as the final figure, which I denote as</w:t>
            </w:r>
            <w:r>
              <w:t xml:space="preserve"> </w:t>
            </w:r>
            <w:r>
              <w:t xml:space="preserve">&lt;&gt;.</w:t>
            </w:r>
          </w:p>
        </w:tc>
      </w:tr>
      <w:tr>
        <w:tc>
          <w:tcPr>
            <w:gridSpan w:val="2"/>
          </w:tcPr>
          <w:p>
            <w:pPr>
              <w:pStyle w:val="BodyText"/>
            </w:pPr>
            <w:r>
              <w:t xml:space="preserve">Realizable Value</w:t>
            </w:r>
          </w:p>
        </w:tc>
      </w:tr>
      <w:tr>
        <w:tc>
          <w:tcPr>
            <w:gridSpan w:val="2"/>
          </w:tcPr>
          <w:p>
            <w:pPr>
              <w:pStyle w:val="BodyText"/>
            </w:pPr>
            <w:r>
              <w:t xml:space="preserve">Realizable value pertains to the inherent worth of an asset that can be achieved through its successful sale,</w:t>
            </w:r>
            <w:r>
              <w:t xml:space="preserve"> </w:t>
            </w:r>
            <w:r>
              <w:t xml:space="preserve">factoring in a prudent assessment of the associated costs.</w:t>
            </w:r>
            <w:r>
              <w:br/>
            </w:r>
            <w:r>
              <w:br/>
            </w:r>
            <w:r>
              <w:t xml:space="preserve">In light of a &lt;&gt;% discount, we assert our view that the Realizable value of the</w:t>
            </w:r>
            <w:r>
              <w:t xml:space="preserve"> </w:t>
            </w:r>
            <w:r>
              <w:t xml:space="preserve">aforementioned property, in its current condition and with the specified attributes, stands at &lt;&gt;. This assessment considers the potential financial impact of the discount, ensuring a comprehensive</w:t>
            </w:r>
            <w:r>
              <w:t xml:space="preserve"> </w:t>
            </w:r>
            <w:r>
              <w:t xml:space="preserve">understanding of the property's market value in relation to the costs involved.</w:t>
            </w:r>
          </w:p>
        </w:tc>
      </w:tr>
      <w:tr>
        <w:tc>
          <w:tcPr>
            <w:gridSpan w:val="2"/>
          </w:tcPr>
          <w:p>
            <w:pPr>
              <w:pStyle w:val="BodyText"/>
            </w:pPr>
            <w:r>
              <w:t xml:space="preserve">Forced Sale/ Distress Value</w:t>
            </w:r>
          </w:p>
        </w:tc>
      </w:tr>
      <w:tr>
        <w:tc>
          <w:tcPr>
            <w:gridSpan w:val="2"/>
          </w:tcPr>
          <w:p>
            <w:pPr>
              <w:pStyle w:val="BodyText"/>
            </w:pPr>
            <w:r>
              <w:t xml:space="preserve">The fair value delineated above finds its application in a theoretical realm of an ideal market scenario. However,</w:t>
            </w:r>
            <w:r>
              <w:t xml:space="preserve"> </w:t>
            </w:r>
            <w:r>
              <w:t xml:space="preserve">when the scenario shifts to circumstances where a financial institution seeks to recuperate its outstanding dues by</w:t>
            </w:r>
            <w:r>
              <w:t xml:space="preserve"> </w:t>
            </w:r>
            <w:r>
              <w:t xml:space="preserve">initiating property sale proceedings, the aforementioned market price might not be directly applicable. This is due</w:t>
            </w:r>
            <w:r>
              <w:t xml:space="preserve"> </w:t>
            </w:r>
            <w:r>
              <w:t xml:space="preserve">to the conventional nature of property payments, often spread out across a duration and paid through instalments.</w:t>
            </w:r>
            <w:r>
              <w:t xml:space="preserve"> </w:t>
            </w:r>
            <w:r>
              <w:t xml:space="preserve">Yet, when a lender seeks to sell a property under enforcement, the expectation is for an immediate, lump-sum</w:t>
            </w:r>
            <w:r>
              <w:t xml:space="preserve"> </w:t>
            </w:r>
            <w:r>
              <w:t xml:space="preserve">payment. However, this alignment might not be viable within an imperfect property market context. It's widely</w:t>
            </w:r>
            <w:r>
              <w:t xml:space="preserve"> </w:t>
            </w:r>
            <w:r>
              <w:t xml:space="preserve">acknowledged that sales orchestrated by enforcing authorities often yield a value significantly lower than what the</w:t>
            </w:r>
            <w:r>
              <w:t xml:space="preserve"> </w:t>
            </w:r>
            <w:r>
              <w:t xml:space="preserve">market could command. This discrepancy between the market price and the realised sale price becomes more</w:t>
            </w:r>
            <w:r>
              <w:t xml:space="preserve"> </w:t>
            </w:r>
            <w:r>
              <w:t xml:space="preserve">pronounced. This contrast essentially stems from factors such as market dynamics, borrower cooperation, and</w:t>
            </w:r>
            <w:r>
              <w:t xml:space="preserve"> </w:t>
            </w:r>
            <w:r>
              <w:t xml:space="preserve">prevailing market conditions, all contributing to the gap between perceived and realised values.</w:t>
            </w:r>
            <w:r>
              <w:br/>
            </w:r>
            <w:r>
              <w:br/>
            </w:r>
            <w:r>
              <w:t xml:space="preserve">The determination of the appropriate discount for a particular property hinges on a multitude of variables,</w:t>
            </w:r>
            <w:r>
              <w:t xml:space="preserve"> </w:t>
            </w:r>
            <w:r>
              <w:t xml:space="preserve">including but not limited to market influences, borrower's stance, property marketability, and prevailing conditions.</w:t>
            </w:r>
            <w:r>
              <w:t xml:space="preserve"> </w:t>
            </w:r>
            <w:r>
              <w:t xml:space="preserve">As we delve into the specific property under consideration, our perspective leads us to opine that the forced sale</w:t>
            </w:r>
            <w:r>
              <w:t xml:space="preserve"> </w:t>
            </w:r>
            <w:r>
              <w:t xml:space="preserve">value could likely hover between 20% to 30% below the market value. In light of these considerations, an average</w:t>
            </w:r>
            <w:r>
              <w:t xml:space="preserve"> </w:t>
            </w:r>
            <w:r>
              <w:t xml:space="preserve">discount of approximately 25% is prudent for the purpose of this valuation.</w:t>
            </w:r>
            <w:r>
              <w:br/>
            </w:r>
            <w:r>
              <w:br/>
            </w:r>
            <w:r>
              <w:t xml:space="preserve">Thus, based on our assessment, the estimated forced sale or distress value of the subject property amounts to</w:t>
            </w:r>
            <w:r>
              <w:t xml:space="preserve"> </w:t>
            </w:r>
            <w:r>
              <w:t xml:space="preserve">&lt;&gt;. This value encapsulates a careful synthesis of market realities, borrower behaviour, and</w:t>
            </w:r>
            <w:r>
              <w:t xml:space="preserve"> </w:t>
            </w:r>
            <w:r>
              <w:t xml:space="preserve">the unique circumstances surrounding the sale.</w:t>
            </w:r>
          </w:p>
        </w:tc>
      </w:tr>
      <w:tr>
        <w:tc>
          <w:tcPr>
            <w:gridSpan w:val="2"/>
          </w:tcPr>
          <w:p>
            <w:pPr>
              <w:pStyle w:val="BodyText"/>
            </w:pPr>
            <w:r>
              <w:t xml:space="preserve">Government guideline value</w:t>
            </w:r>
          </w:p>
        </w:tc>
      </w:tr>
      <w:tr>
        <w:tc>
          <w:tcPr>
            <w:gridSpan w:val="2"/>
          </w:tcPr>
          <w:p>
            <w:pPr>
              <w:pStyle w:val="BodyText"/>
            </w:pPr>
            <w:r>
              <w:t xml:space="preserve">Prevailing Govt. GuideLine/ Jantri rate derives to be &lt;&gt; per square meter for</w:t>
            </w:r>
            <w:r>
              <w:t xml:space="preserve"> </w:t>
            </w:r>
            <w:r>
              <w:t xml:space="preserve">reasonably identical property, based on inquiry from the local revenue practitioners / registration - jantri value</w:t>
            </w:r>
            <w:r>
              <w:t xml:space="preserve"> </w:t>
            </w:r>
            <w:r>
              <w:t xml:space="preserve">derived by the State Government represents guideline value fixed for stamp duty / registration purpose.</w:t>
            </w:r>
            <w:r>
              <w:br/>
            </w:r>
            <w:r>
              <w:br/>
            </w:r>
            <w:r>
              <w:t xml:space="preserve">The Govt. of Gujarat has revised the Jantri rate vide Tharav No. STP-122023-20-H.1, Dated 13/04/2023 &amp;</w:t>
            </w:r>
            <w:r>
              <w:t xml:space="preserve"> </w:t>
            </w:r>
            <w:r>
              <w:t xml:space="preserve">implemented the same from dated 15/04/2023. For residential flat premises, Jantri rate is considered 1.8 times of</w:t>
            </w:r>
            <w:r>
              <w:t xml:space="preserve"> </w:t>
            </w:r>
            <w:r>
              <w:t xml:space="preserve">rate of Jantri - 2011 ( Copy attached ).</w:t>
            </w:r>
          </w:p>
        </w:tc>
      </w:tr>
      <w:tr>
        <w:tc>
          <w:tcPr>
            <w:gridSpan w:val="2"/>
          </w:tcPr>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Jantri rate for residential flat premises - year 2011</w:t>
                  </w:r>
                </w:p>
              </w:tc>
              <w:tc>
                <w:tcPr/>
                <w:p>
                  <w:pPr>
                    <w:pStyle w:val="Compact"/>
                  </w:pPr>
                </w:p>
              </w:tc>
              <w:tc>
                <w:tcPr/>
                <w:p>
                  <w:pPr>
                    <w:pStyle w:val="Compact"/>
                  </w:pPr>
                </w:p>
              </w:tc>
            </w:tr>
            <w:tr>
              <w:tc>
                <w:tcPr/>
                <w:p>
                  <w:pPr>
                    <w:pStyle w:val="Compact"/>
                  </w:pPr>
                  <w:r>
                    <w:t xml:space="preserve">Revised Jantri rate as per Govt. notification</w:t>
                  </w:r>
                </w:p>
              </w:tc>
              <w:tc>
                <w:tcPr/>
                <w:p>
                  <w:pPr>
                    <w:pStyle w:val="Compact"/>
                  </w:pPr>
                </w:p>
              </w:tc>
              <w:tc>
                <w:tcPr/>
                <w:p>
                  <w:pPr>
                    <w:pStyle w:val="Compact"/>
                  </w:pPr>
                </w:p>
              </w:tc>
            </w:tr>
          </w:tbl>
          <w:p/>
        </w:tc>
      </w:tr>
      <w:tr>
        <w:tc>
          <w:tcPr>
            <w:gridSpan w:val="2"/>
          </w:tcPr>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r>
                    <w:t xml:space="preserve">Sr. No</w:t>
                  </w:r>
                </w:p>
              </w:tc>
              <w:tc>
                <w:tcPr/>
                <w:p>
                  <w:pPr>
                    <w:pStyle w:val="Compact"/>
                  </w:pPr>
                  <w:r>
                    <w:t xml:space="preserve">Description</w:t>
                  </w:r>
                </w:p>
              </w:tc>
              <w:tc>
                <w:tcPr/>
                <w:p>
                  <w:pPr>
                    <w:pStyle w:val="Compact"/>
                  </w:pPr>
                  <w:r>
                    <w:t xml:space="preserve">Qty. (square meter)</w:t>
                  </w:r>
                </w:p>
              </w:tc>
              <w:tc>
                <w:tcPr/>
                <w:p>
                  <w:pPr>
                    <w:pStyle w:val="Compact"/>
                  </w:pPr>
                  <w:r>
                    <w:t xml:space="preserve">Rate per unit (in ₹)</w:t>
                  </w:r>
                </w:p>
              </w:tc>
              <w:tc>
                <w:tcPr/>
                <w:p>
                  <w:pPr>
                    <w:pStyle w:val="Compact"/>
                  </w:pPr>
                  <w:r>
                    <w:t xml:space="preserve">Estimated fair value (in ₹)</w:t>
                  </w:r>
                </w:p>
              </w:tc>
            </w:tr>
            <w:tr>
              <w:tc>
                <w:tcPr/>
                <w:p>
                  <w:pPr>
                    <w:pStyle w:val="Compact"/>
                  </w:pPr>
                  <w:r>
                    <w:t xml:space="preserve">i</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ii</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iii</w:t>
                  </w:r>
                </w:p>
              </w:tc>
              <w:tc>
                <w:tcPr/>
                <w:p>
                  <w:pPr>
                    <w:pStyle w:val="Compact"/>
                  </w:pPr>
                </w:p>
              </w:tc>
              <w:tc>
                <w:tcPr/>
                <w:p>
                  <w:pPr>
                    <w:pStyle w:val="Compact"/>
                  </w:pPr>
                </w:p>
              </w:tc>
              <w:tc>
                <w:tcPr/>
                <w:p>
                  <w:pPr>
                    <w:pStyle w:val="Compact"/>
                  </w:pPr>
                </w:p>
              </w:tc>
              <w:tc>
                <w:tcPr/>
                <w:p>
                  <w:pPr>
                    <w:pStyle w:val="Compact"/>
                  </w:pPr>
                </w:p>
              </w:tc>
            </w:tr>
            <w:tr>
              <w:tc>
                <w:tcPr>
                  <w:gridSpan w:val="4"/>
                </w:tcPr>
                <w:p>
                  <w:pPr>
                    <w:pStyle w:val="Compact"/>
                  </w:pPr>
                  <w:r>
                    <w:t xml:space="preserve">Total ( i-iii )</w:t>
                  </w:r>
                </w:p>
              </w:tc>
              <w:tc>
                <w:tcPr/>
                <w:p>
                  <w:pPr>
                    <w:pStyle w:val="Compact"/>
                  </w:pPr>
                </w:p>
              </w:tc>
            </w:tr>
            <w:tr>
              <w:tc>
                <w:tcPr>
                  <w:gridSpan w:val="4"/>
                </w:tcPr>
                <w:p>
                  <w:pPr>
                    <w:pStyle w:val="Compact"/>
                  </w:pPr>
                  <w:r>
                    <w:t xml:space="preserve">Total Fair Value (Rounded off &amp; in words)</w:t>
                  </w:r>
                </w:p>
              </w:tc>
              <w:tc>
                <w:tcPr/>
                <w:p>
                  <w:pPr>
                    <w:pStyle w:val="Compact"/>
                  </w:pPr>
                </w:p>
              </w:tc>
            </w:tr>
          </w:tbl>
          <w:p/>
        </w:tc>
      </w:tr>
      <w:tr>
        <w:tc>
          <w:tcPr>
            <w:gridSpan w:val="2"/>
          </w:tcPr>
          <w:p>
            <w:pPr>
              <w:pStyle w:val="BodyText"/>
            </w:pPr>
            <w:r>
              <w:t xml:space="preserve">The guideline value of the property as below is &lt;&gt;.</w:t>
            </w:r>
          </w:p>
        </w:tc>
      </w:tr>
      <w:tr>
        <w:tc>
          <w:tcPr>
            <w:gridSpan w:val="2"/>
          </w:tcPr>
          <w:p>
            <w:pPr>
              <w:pStyle w:val="BodyText"/>
            </w:pPr>
            <w:r>
              <w:t xml:space="preserve">Government guideline value Justification</w:t>
            </w:r>
          </w:p>
        </w:tc>
      </w:tr>
      <w:tr>
        <w:tc>
          <w:tcPr>
            <w:gridSpan w:val="2"/>
          </w:tcPr>
          <w:p>
            <w:pPr>
              <w:pStyle w:val="BodyText"/>
            </w:pPr>
            <w:r>
              <w:t xml:space="preserve">Generally the market rate of the property is higher than the government guideline rate ( Jantri ). As per Section,</w:t>
            </w:r>
            <w:r>
              <w:t xml:space="preserve"> </w:t>
            </w:r>
            <w:r>
              <w:t xml:space="preserve">50 C of the Income Tax Act Jantri rates are for stamp duty purpose only. These rates are considered as guideline</w:t>
            </w:r>
            <w:r>
              <w:t xml:space="preserve"> </w:t>
            </w:r>
            <w:r>
              <w:t xml:space="preserve">rates only &amp; they do not represent or reflect the True Market Value of any asset as upheld even by the court. So it</w:t>
            </w:r>
            <w:r>
              <w:t xml:space="preserve"> </w:t>
            </w:r>
            <w:r>
              <w:t xml:space="preserve">is normal practice of doing valuation by local inquiries.</w:t>
            </w:r>
          </w:p>
        </w:tc>
      </w:tr>
      <w:tr>
        <w:tc>
          <w:tcPr>
            <w:gridSpan w:val="2"/>
          </w:tcPr>
          <w:p>
            <w:pPr>
              <w:pStyle w:val="BodyText"/>
            </w:pPr>
            <w:r>
              <w:t xml:space="preserve">SUMMARY</w:t>
            </w:r>
          </w:p>
        </w:tc>
      </w:tr>
      <w:tr>
        <w:tc>
          <w:tcPr>
            <w:gridSpan w:val="2"/>
          </w:tcPr>
          <w:p>
            <w:pPr>
              <w:pStyle w:val="BodyText"/>
            </w:pPr>
            <w:r>
              <w:t xml:space="preserve">After conducting a comprehensive appraisal and analysis, we hold the view that the current fair value of the</w:t>
            </w:r>
            <w:r>
              <w:t xml:space="preserve"> </w:t>
            </w:r>
            <w:r>
              <w:t xml:space="preserve">property situated at &lt;&gt; as of &lt;&gt; is &lt;&gt;, which we consider to be</w:t>
            </w:r>
            <w:r>
              <w:t xml:space="preserve"> </w:t>
            </w:r>
            <w:r>
              <w:t xml:space="preserve">equitable and rational.</w:t>
            </w:r>
            <w:r>
              <w:br/>
            </w:r>
            <w:r>
              <w:br/>
            </w:r>
            <w:r>
              <w:t xml:space="preserve">Following our thorough assessment, we assert that the Realizable value of the property, considering the existing</w:t>
            </w:r>
            <w:r>
              <w:t xml:space="preserve"> </w:t>
            </w:r>
            <w:r>
              <w:t xml:space="preserve">condition and specified attributes, amounts to &lt;&gt;.</w:t>
            </w:r>
            <w:r>
              <w:br/>
            </w:r>
            <w:r>
              <w:br/>
            </w:r>
            <w:r>
              <w:t xml:space="preserve">For the property's distress value, our perspective, as of the valuation date, is &lt;&gt;.</w:t>
            </w:r>
            <w:r>
              <w:br/>
            </w:r>
            <w:r>
              <w:br/>
            </w:r>
            <w:r>
              <w:t xml:space="preserve">Regarding the guideline value, our assessment, as of the valuation date, is &lt;&gt;.</w:t>
            </w:r>
            <w:r>
              <w:br/>
            </w:r>
            <w:r>
              <w:br/>
            </w:r>
            <w:r>
              <w:t xml:space="preserve">As for the insurable value, our judgement, as of the valuation date, is &lt;&gt;.</w:t>
            </w:r>
            <w:r>
              <w:br/>
            </w:r>
            <w:r>
              <w:br/>
            </w:r>
            <w:r>
              <w:t xml:space="preserve">It's important to note that the information provided in this report is based on the data furnished by the property's</w:t>
            </w:r>
            <w:r>
              <w:t xml:space="preserve"> </w:t>
            </w:r>
            <w:r>
              <w:t xml:space="preserve">owner and the associated society, coupled with our review of pertinent documents.</w:t>
            </w:r>
            <w:r>
              <w:br/>
            </w:r>
            <w:r>
              <w:br/>
            </w:r>
            <w:r>
              <w:t xml:space="preserve">It's worth highlighting that values can vary based on purpose and date. It is advisable not to refer to this value for</w:t>
            </w:r>
            <w:r>
              <w:t xml:space="preserve"> </w:t>
            </w:r>
            <w:r>
              <w:t xml:space="preserve">any purposes other than those explicitly mentioned in this report.</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w:t>
            </w:r>
          </w:p>
        </w:tc>
        <w:tc>
          <w:tcPr/>
          <w:p>
            <w:pPr>
              <w:pStyle w:val="Compact"/>
            </w:pPr>
            <w:r>
              <w:t xml:space="preserve">Assumptions/Remarks</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Qualifications in TIR/Mitigation suggested, if any</w:t>
                  </w:r>
                </w:p>
              </w:tc>
              <w:tc>
                <w:tcPr/>
                <w:p>
                  <w:pPr>
                    <w:pStyle w:val="Compact"/>
                  </w:pPr>
                  <w:r>
                    <w:t xml:space="preserve">-</w:t>
                  </w:r>
                </w:p>
              </w:tc>
            </w:tr>
            <w:tr>
              <w:tc>
                <w:tcPr/>
                <w:p>
                  <w:pPr>
                    <w:pStyle w:val="Compact"/>
                  </w:pPr>
                  <w:r>
                    <w:t xml:space="preserve">Property is SARFAESI compliant</w:t>
                  </w:r>
                </w:p>
              </w:tc>
              <w:tc>
                <w:tcPr/>
                <w:p>
                  <w:pPr>
                    <w:pStyle w:val="Compact"/>
                  </w:pPr>
                  <w:r>
                    <w:t xml:space="preserve">-</w:t>
                  </w:r>
                </w:p>
              </w:tc>
            </w:tr>
            <w:tr>
              <w:tc>
                <w:tcPr/>
                <w:p>
                  <w:pPr>
                    <w:pStyle w:val="Compact"/>
                  </w:pPr>
                  <w:r>
                    <w:t xml:space="preserve">Whether property belongs to social infrastructure like hospital, school, old age home etc.</w:t>
                  </w:r>
                </w:p>
              </w:tc>
              <w:tc>
                <w:tcPr/>
                <w:p>
                  <w:pPr>
                    <w:pStyle w:val="Compact"/>
                  </w:pPr>
                  <w:r>
                    <w:t xml:space="preserve">-</w:t>
                  </w:r>
                </w:p>
              </w:tc>
            </w:tr>
            <w:tr>
              <w:tc>
                <w:tcPr/>
                <w:p>
                  <w:pPr>
                    <w:pStyle w:val="Compact"/>
                  </w:pPr>
                  <w:r>
                    <w:t xml:space="preserve">Whether the entire piece of land on which the unit is set up / property is situated has been mortgaged or to be mortgaged.</w:t>
                  </w:r>
                </w:p>
              </w:tc>
              <w:tc>
                <w:tcPr/>
                <w:p>
                  <w:pPr>
                    <w:pStyle w:val="Compact"/>
                  </w:pPr>
                  <w:r>
                    <w:t xml:space="preserve">-</w:t>
                  </w:r>
                </w:p>
              </w:tc>
            </w:tr>
            <w:tr>
              <w:tc>
                <w:tcPr/>
                <w:p>
                  <w:pPr>
                    <w:pStyle w:val="Compact"/>
                  </w:pPr>
                  <w:r>
                    <w:t xml:space="preserve">Details of last two transactions in the locality/area to be provided, if available.</w:t>
                  </w:r>
                </w:p>
              </w:tc>
              <w:tc>
                <w:tcPr/>
                <w:p>
                  <w:pPr>
                    <w:pStyle w:val="Compact"/>
                  </w:pPr>
                  <w:r>
                    <w:t xml:space="preserve">-</w:t>
                  </w:r>
                </w:p>
              </w:tc>
            </w:tr>
            <w:tr>
              <w:tc>
                <w:tcPr/>
                <w:p>
                  <w:pPr>
                    <w:pStyle w:val="Compact"/>
                  </w:pPr>
                  <w:r>
                    <w:t xml:space="preserve">Any other aspect which has relevance on the value or marketability of the property</w:t>
                  </w:r>
                </w:p>
              </w:tc>
              <w:tc>
                <w:tcPr/>
                <w:p>
                  <w:pPr>
                    <w:pStyle w:val="Compact"/>
                  </w:pPr>
                  <w:r>
                    <w:t xml:space="preserve">-</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11</w:t>
            </w:r>
          </w:p>
        </w:tc>
        <w:tc>
          <w:tcPr/>
          <w:p>
            <w:pPr>
              <w:pStyle w:val="Compact"/>
            </w:pPr>
            <w:r>
              <w:t xml:space="preserve">Declaration</w:t>
            </w:r>
          </w:p>
        </w:tc>
      </w:tr>
      <w:tr>
        <w:tc>
          <w:tcPr/>
          <w:p>
            <w:pPr>
              <w:pStyle w:val="Compact"/>
            </w:pPr>
          </w:p>
        </w:tc>
        <w:tc>
          <w:tcPr/>
          <w:tbl>
            <w:tblPr>
              <w:tblStyle w:val="Table"/>
              <w:tblW w:type="pct" w:w="5000"/>
              <w:tblLayout w:type="fixed"/>
              <w:tblLook w:firstRow="0" w:lastRow="0" w:firstColumn="0" w:lastColumn="0" w:noHBand="0" w:noVBand="0" w:val="0000"/>
            </w:tblPr>
            <w:tblGrid>
              <w:gridCol w:w="7920"/>
            </w:tblGrid>
            <w:tr>
              <w:tc>
                <w:tcPr/>
                <w:p>
                  <w:pPr>
                    <w:pStyle w:val="Compact"/>
                  </w:pPr>
                  <w:r>
                    <w:t xml:space="preserve">i) The property was inspected by the undersigned on 22.</w:t>
                  </w:r>
                  <w:r>
                    <w:br/>
                  </w:r>
                </w:p>
              </w:tc>
            </w:tr>
            <w:tr>
              <w:tc>
                <w:tcPr/>
                <w:p>
                  <w:pPr>
                    <w:pStyle w:val="Compact"/>
                  </w:pPr>
                  <w:r>
                    <w:t xml:space="preserve">ii) The undersigned does not have any direct/indirect interest in the above property.</w:t>
                  </w:r>
                  <w:r>
                    <w:br/>
                  </w:r>
                </w:p>
              </w:tc>
            </w:tr>
            <w:tr>
              <w:tc>
                <w:tcPr/>
                <w:p>
                  <w:pPr>
                    <w:pStyle w:val="Compact"/>
                  </w:pPr>
                  <w:r>
                    <w:t xml:space="preserve">iii) The information furnished herein is true and correct to the best of our knowledge.</w:t>
                  </w:r>
                  <w:r>
                    <w:br/>
                  </w:r>
                </w:p>
              </w:tc>
            </w:tr>
            <w:tr>
              <w:tc>
                <w:tcPr/>
                <w:p>
                  <w:pPr>
                    <w:pStyle w:val="Compact"/>
                  </w:pPr>
                  <w:r>
                    <w:t xml:space="preserve">iv) I have submitted a Valuation report directly to the Bank.</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12</w:t>
            </w:r>
          </w:p>
        </w:tc>
        <w:tc>
          <w:tcPr/>
          <w:p>
            <w:pPr>
              <w:pStyle w:val="Compact"/>
            </w:pPr>
            <w:r>
              <w:t xml:space="preserve">Name address &amp; signature of valuer with Registration No.</w:t>
            </w:r>
          </w:p>
        </w:tc>
      </w:tr>
      <w:tr>
        <w:tc>
          <w:tcPr/>
          <w:p>
            <w:pPr>
              <w:pStyle w:val="Compact"/>
            </w:pPr>
          </w:p>
        </w:tc>
        <w:tc>
          <w:tcPr/>
          <w:tbl>
            <w:tblPr>
              <w:tblStyle w:val="Table"/>
              <w:tblW w:type="auto" w:w="0"/>
              <w:tblLook w:firstRow="0" w:lastRow="0" w:firstColumn="0" w:lastColumn="0" w:noHBand="0" w:noVBand="0" w:val="0000"/>
            </w:tblPr>
            <w:tblGrid>
              <w:gridCol w:w="3960"/>
              <w:gridCol w:w="3960"/>
            </w:tblGrid>
            <w:tr>
              <w:tc>
                <w:tcPr/>
                <w:p>
                  <w:pPr>
                    <w:pStyle w:val="Compact"/>
                  </w:pPr>
                  <w:r>
                    <w:t xml:space="preserve">Signature of the valuer</w:t>
                  </w:r>
                </w:p>
              </w:tc>
              <w:tc>
                <w:tcPr/>
                <w:p>
                  <w:pPr>
                    <w:pStyle w:val="Compact"/>
                  </w:pPr>
                </w:p>
              </w:tc>
            </w:tr>
            <w:tr>
              <w:tc>
                <w:tcPr/>
                <w:p>
                  <w:pPr>
                    <w:pStyle w:val="Compact"/>
                  </w:pPr>
                  <w:r>
                    <w:t xml:space="preserve">Date of Valuation</w:t>
                  </w:r>
                </w:p>
              </w:tc>
              <w:tc>
                <w:tcPr/>
                <w:p>
                  <w:pPr>
                    <w:pStyle w:val="Compact"/>
                  </w:pPr>
                  <w:r>
                    <w:t xml:space="preserve">-</w:t>
                  </w:r>
                </w:p>
              </w:tc>
            </w:tr>
            <w:tr>
              <w:tc>
                <w:tcPr/>
                <w:p>
                  <w:pPr>
                    <w:pStyle w:val="Compact"/>
                  </w:pPr>
                  <w:r>
                    <w:t xml:space="preserve">IBBI Reg. No.</w:t>
                  </w:r>
                </w:p>
              </w:tc>
              <w:tc>
                <w:tcPr/>
                <w:p>
                  <w:pPr>
                    <w:pStyle w:val="Compact"/>
                  </w:pPr>
                  <w:r>
                    <w:t xml:space="preserve">IBBI/RV/02/2022/14608</w:t>
                  </w:r>
                </w:p>
              </w:tc>
            </w:tr>
            <w:tr>
              <w:tc>
                <w:tcPr/>
                <w:p>
                  <w:pPr>
                    <w:pStyle w:val="Compact"/>
                  </w:pPr>
                  <w:r>
                    <w:t xml:space="preserve">Wealth Tax Registration No.</w:t>
                  </w:r>
                </w:p>
              </w:tc>
              <w:tc>
                <w:tcPr/>
                <w:p>
                  <w:pPr>
                    <w:pStyle w:val="Compact"/>
                  </w:pPr>
                  <w:r>
                    <w:t xml:space="preserve">CAT-1/788/2023-24</w:t>
                  </w:r>
                </w:p>
              </w:tc>
            </w:tr>
          </w:tbl>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13</w:t>
            </w:r>
          </w:p>
        </w:tc>
        <w:tc>
          <w:tcPr/>
          <w:p>
            <w:pPr>
              <w:pStyle w:val="Compact"/>
            </w:pPr>
            <w:r>
              <w:t xml:space="preserve">Enclosures</w:t>
            </w:r>
          </w:p>
        </w:tc>
      </w:tr>
      <w:tr>
        <w:tc>
          <w:tcPr/>
          <w:p>
            <w:pPr>
              <w:pStyle w:val="Compact"/>
            </w:pPr>
          </w:p>
        </w:tc>
        <w:tc>
          <w:tcPr/>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a)</w:t>
                  </w:r>
                </w:p>
              </w:tc>
              <w:tc>
                <w:tcPr/>
                <w:p>
                  <w:pPr>
                    <w:pStyle w:val="Compact"/>
                  </w:pPr>
                  <w:r>
                    <w:t xml:space="preserve">Layout plan sketch of the area in which the property is located with latitude and longitude</w:t>
                  </w:r>
                </w:p>
              </w:tc>
              <w:tc>
                <w:tcPr/>
                <w:p>
                  <w:pPr>
                    <w:pStyle w:val="Compact"/>
                  </w:pPr>
                  <w:r>
                    <w:t xml:space="preserve">Attached herewith</w:t>
                  </w:r>
                </w:p>
              </w:tc>
            </w:tr>
            <w:tr>
              <w:tc>
                <w:tcPr/>
                <w:p>
                  <w:pPr>
                    <w:pStyle w:val="Compact"/>
                  </w:pPr>
                  <w:r>
                    <w:t xml:space="preserve">b)</w:t>
                  </w:r>
                </w:p>
              </w:tc>
              <w:tc>
                <w:tcPr/>
                <w:p>
                  <w:pPr>
                    <w:pStyle w:val="Compact"/>
                  </w:pPr>
                  <w:r>
                    <w:t xml:space="preserve">Building Plan</w:t>
                  </w:r>
                </w:p>
              </w:tc>
              <w:tc>
                <w:tcPr/>
                <w:p>
                  <w:pPr>
                    <w:pStyle w:val="Compact"/>
                  </w:pPr>
                  <w:r>
                    <w:t xml:space="preserve">Attached herewith</w:t>
                  </w:r>
                </w:p>
              </w:tc>
            </w:tr>
            <w:tr>
              <w:tc>
                <w:tcPr/>
                <w:p>
                  <w:pPr>
                    <w:pStyle w:val="Compact"/>
                  </w:pPr>
                  <w:r>
                    <w:t xml:space="preserve">c)</w:t>
                  </w:r>
                </w:p>
              </w:tc>
              <w:tc>
                <w:tcPr/>
                <w:p>
                  <w:pPr>
                    <w:pStyle w:val="Compact"/>
                  </w:pPr>
                  <w:r>
                    <w:t xml:space="preserve">Floor Plan</w:t>
                  </w:r>
                </w:p>
              </w:tc>
              <w:tc>
                <w:tcPr/>
                <w:p>
                  <w:pPr>
                    <w:pStyle w:val="Compact"/>
                  </w:pPr>
                  <w:r>
                    <w:t xml:space="preserve">Attached herewith</w:t>
                  </w:r>
                </w:p>
              </w:tc>
            </w:tr>
            <w:tr>
              <w:tc>
                <w:tcPr/>
                <w:p>
                  <w:pPr>
                    <w:pStyle w:val="Compact"/>
                  </w:pPr>
                  <w:r>
                    <w:t xml:space="preserve">d)</w:t>
                  </w:r>
                </w:p>
              </w:tc>
              <w:tc>
                <w:tcPr/>
                <w:p>
                  <w:pPr>
                    <w:pStyle w:val="Compact"/>
                  </w:pPr>
                  <w:r>
                    <w:t xml:space="preserve">Photograph of the property (including geo-stamping with date) and owner (in case of housing loans, if borrower is available) including a "Selfie' of the Valuer at the site</w:t>
                  </w:r>
                </w:p>
              </w:tc>
              <w:tc>
                <w:tcPr/>
                <w:p>
                  <w:pPr>
                    <w:pStyle w:val="Compact"/>
                  </w:pPr>
                  <w:r>
                    <w:t xml:space="preserve">Attached herewith</w:t>
                  </w:r>
                </w:p>
              </w:tc>
            </w:tr>
            <w:tr>
              <w:tc>
                <w:tcPr/>
                <w:p>
                  <w:pPr>
                    <w:pStyle w:val="Compact"/>
                  </w:pPr>
                  <w:r>
                    <w:t xml:space="preserve">e)</w:t>
                  </w:r>
                </w:p>
              </w:tc>
              <w:tc>
                <w:tcPr/>
                <w:p>
                  <w:pPr>
                    <w:pStyle w:val="Compact"/>
                  </w:pPr>
                  <w:r>
                    <w:t xml:space="preserve">Certified copy of the approved / sanctioned plan wherever applicable from the concerned office</w:t>
                  </w:r>
                </w:p>
              </w:tc>
              <w:tc>
                <w:tcPr/>
                <w:p>
                  <w:pPr>
                    <w:pStyle w:val="Compact"/>
                  </w:pPr>
                  <w:r>
                    <w:t xml:space="preserve">Attached herewith</w:t>
                  </w:r>
                </w:p>
              </w:tc>
            </w:tr>
            <w:tr>
              <w:tc>
                <w:tcPr/>
                <w:p>
                  <w:pPr>
                    <w:pStyle w:val="Compact"/>
                  </w:pPr>
                  <w:r>
                    <w:t xml:space="preserve">f)</w:t>
                  </w:r>
                </w:p>
              </w:tc>
              <w:tc>
                <w:tcPr/>
                <w:p>
                  <w:pPr>
                    <w:pStyle w:val="Compact"/>
                  </w:pPr>
                  <w:r>
                    <w:t xml:space="preserve">Google Map location of the property, Longitude/Latitude and co-ordinates of the property.</w:t>
                  </w:r>
                </w:p>
              </w:tc>
              <w:tc>
                <w:tcPr/>
                <w:p>
                  <w:pPr>
                    <w:pStyle w:val="Compact"/>
                  </w:pPr>
                  <w:r>
                    <w:t xml:space="preserve">Attached herewith</w:t>
                  </w:r>
                </w:p>
              </w:tc>
            </w:tr>
            <w:tr>
              <w:tc>
                <w:tcPr/>
                <w:p>
                  <w:pPr>
                    <w:pStyle w:val="Compact"/>
                  </w:pPr>
                  <w:r>
                    <w:t xml:space="preserve">g)</w:t>
                  </w:r>
                </w:p>
              </w:tc>
              <w:tc>
                <w:tcPr/>
                <w:p>
                  <w:pPr>
                    <w:pStyle w:val="Compact"/>
                  </w:pPr>
                  <w:r>
                    <w:t xml:space="preserve">Price trend of the Property in the locality/city from property search sites viz Magickbricks.com, 99Acres.com, Makan.com etc</w:t>
                  </w:r>
                </w:p>
              </w:tc>
              <w:tc>
                <w:tcPr/>
                <w:p>
                  <w:pPr>
                    <w:pStyle w:val="Compact"/>
                  </w:pPr>
                  <w:r>
                    <w:t xml:space="preserve">Attached herewith</w:t>
                  </w:r>
                </w:p>
              </w:tc>
            </w:tr>
            <w:tr>
              <w:tc>
                <w:tcPr/>
                <w:p>
                  <w:pPr>
                    <w:pStyle w:val="Compact"/>
                  </w:pPr>
                  <w:r>
                    <w:t xml:space="preserve">h)</w:t>
                  </w:r>
                </w:p>
              </w:tc>
              <w:tc>
                <w:tcPr/>
                <w:p>
                  <w:pPr>
                    <w:pStyle w:val="Compact"/>
                  </w:pPr>
                  <w:r>
                    <w:t xml:space="preserve">Special remarks, if any, like threat of acquisition of land for public service purposes, road widening or applicability of CRZ provisions etc. (Distance from sea-coast / tidal level must be incorporated) if any</w:t>
                  </w:r>
                </w:p>
              </w:tc>
              <w:tc>
                <w:tcPr/>
                <w:p>
                  <w:pPr>
                    <w:pStyle w:val="Compact"/>
                  </w:pPr>
                  <w:r>
                    <w:t xml:space="preserve">Not Applicable</w:t>
                  </w:r>
                </w:p>
              </w:tc>
            </w:tr>
            <w:tr>
              <w:tc>
                <w:tcPr/>
                <w:p>
                  <w:pPr>
                    <w:pStyle w:val="Compact"/>
                  </w:pPr>
                  <w:r>
                    <w:t xml:space="preserve">i)</w:t>
                  </w:r>
                </w:p>
              </w:tc>
              <w:tc>
                <w:tcPr/>
                <w:p>
                  <w:pPr>
                    <w:pStyle w:val="Compact"/>
                  </w:pPr>
                  <w:r>
                    <w:t xml:space="preserve">Any other relevant documents/ extracts</w:t>
                  </w:r>
                </w:p>
              </w:tc>
              <w:tc>
                <w:tcPr/>
                <w:p>
                  <w:pPr>
                    <w:pStyle w:val="Compact"/>
                  </w:pPr>
                  <w:r>
                    <w:t xml:space="preserve">As per bank records</w:t>
                  </w:r>
                </w:p>
              </w:tc>
            </w:tr>
          </w:tbl>
          <w:p/>
        </w:tc>
      </w:tr>
    </w:tbl>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pPr>
            <w:r>
              <w:t xml:space="preserve">DECLARATION CUM UNDERTAKING (Annexure-lII)</w:t>
            </w:r>
          </w:p>
        </w:tc>
      </w:tr>
      <w:tr>
        <w:tc>
          <w:tcPr>
            <w:gridSpan w:val="2"/>
          </w:tcPr>
          <w:p>
            <w:pPr>
              <w:pStyle w:val="Compact"/>
            </w:pPr>
            <w:r>
              <w:t xml:space="preserve">Format of undertaking to be submitted by individuals/ proprietor/ partners/ directors</w:t>
            </w:r>
            <w:r>
              <w:br/>
            </w:r>
            <w:r>
              <w:br/>
            </w:r>
            <w:r>
              <w:t xml:space="preserve">l, Harsh Jayantilal Patel son of Jayantilal Shankarbhai Patel do hereby solemnly affirm, and state that</w:t>
            </w:r>
            <w:r>
              <w:br/>
            </w:r>
            <w:r>
              <w:br/>
            </w:r>
            <w:r>
              <w:t xml:space="preserve">A. I am a citizen of india.</w:t>
            </w:r>
            <w:r>
              <w:br/>
            </w:r>
            <w:r>
              <w:t xml:space="preserve">B. I will not undertake valuation of any assets in which I have a direct or indirect interest or become so interested at any time during a period of three years prior to my appointment as valuer or three years after the valuation of assets was conducted by me.</w:t>
            </w:r>
            <w:r>
              <w:br/>
            </w:r>
            <w:r>
              <w:t xml:space="preserve">C. The information furnished in my valuation report dated &lt;&gt; is true and correct to the best of my knowledge and belief and I have made an impartial and true valuation of the property.</w:t>
            </w:r>
            <w:r>
              <w:br/>
            </w:r>
            <w:r>
              <w:t xml:space="preserve">D. I have personally inspected the property on &lt;&gt;. The work is not subcontracted to any other valuer and carried out by myself.</w:t>
            </w:r>
            <w:r>
              <w:br/>
            </w:r>
            <w:r>
              <w:t xml:space="preserve">E. Valuation report is submitted in the format as prescribed by the Bank.</w:t>
            </w:r>
            <w:r>
              <w:br/>
            </w:r>
            <w:r>
              <w:t xml:space="preserve">F. I have not been depanelled/ delisted by any other bank and in case of any such depanelment by other banks during my empanelment with you, I will inform you within 3 days of such depanelment.</w:t>
            </w:r>
            <w:r>
              <w:br/>
            </w:r>
            <w:r>
              <w:t xml:space="preserve">G. I have not been removed/dismissed from service/employment earlier.</w:t>
            </w:r>
            <w:r>
              <w:br/>
            </w:r>
            <w:r>
              <w:t xml:space="preserve">H. I have not been convicted of any offence and sentenced to a term of imprisonment.</w:t>
            </w:r>
            <w:r>
              <w:br/>
            </w:r>
            <w:r>
              <w:t xml:space="preserve">I. I have not been found guilty of misconduct in professional capacity.</w:t>
            </w:r>
            <w:r>
              <w:br/>
            </w:r>
            <w:r>
              <w:t xml:space="preserve">J. I have not been declared to be unsound mind.</w:t>
            </w:r>
            <w:r>
              <w:br/>
            </w:r>
            <w:r>
              <w:t xml:space="preserve">K. I am not an undischarged bankrupt, or has not applied to be adjudicated as a bankrupt;</w:t>
            </w:r>
            <w:r>
              <w:br/>
            </w:r>
            <w:r>
              <w:t xml:space="preserve">L. I am not an undischarged insolvent.</w:t>
            </w:r>
            <w:r>
              <w:br/>
            </w:r>
            <w:r>
              <w:t xml:space="preserve">M. l have not been levied a penalty under section 271J of income-tax Act, 1961 (43 of 1961) and time limit for filing appeal before Commissioner of income-tax (Appeals) or income tax Appellate Tribunal, as the case may be has expired, or such penalty has been confirmed by income-tax Appellate Tribunal, and five years have not elapsed after levy of such penalty.</w:t>
            </w:r>
            <w:r>
              <w:br/>
            </w:r>
            <w:r>
              <w:t xml:space="preserve">N. I have not been convicted of an offence connected with any proceeding under the income Tax Act 1961, Wealth Tax Act 1957 or Gift Tax Act 1958 and My PAN card number/Service Tax number as applicable is CKHPP4738F.</w:t>
            </w:r>
            <w:r>
              <w:br/>
            </w:r>
            <w:r>
              <w:t xml:space="preserve">O. My Pan Card number/Service Tax number as applicable is CKHPP4738F / 24CKHPP4738F1Z1.</w:t>
            </w:r>
            <w:r>
              <w:br/>
            </w:r>
            <w:r>
              <w:t xml:space="preserve">P. I undertake to keep you informed of any events or happenings which would make me ineligible for empanelment as a valuer.</w:t>
            </w:r>
            <w:r>
              <w:br/>
            </w:r>
            <w:r>
              <w:t xml:space="preserve">Q. I have not concealed or suppressed any material information, facts and records and I have made a complete and full disclosure.</w:t>
            </w:r>
            <w:r>
              <w:br/>
            </w:r>
            <w:r>
              <w:t xml:space="preserve">R. I have read the Handbook on Policy, Standards and procedure for Real Estate Valuation, 2011 of the IBA and this report is in conformity to the "standards" enshrined for valuation in the Part-B of the above handbook to the best of my ability.</w:t>
            </w:r>
            <w:r>
              <w:br/>
            </w:r>
            <w:r>
              <w:t xml:space="preserve">S. I have read the international Valuation Standards (lVS) and the report submitted to the Bank for the respective asset class is in conformity to the "standards" as enshrined for valuation in the IVS in "General Standards" and "Asset Standards" as applicable.</w:t>
            </w:r>
            <w:r>
              <w:br/>
            </w:r>
            <w:r>
              <w:t xml:space="preserve">T. I abide by the Model Code of Conduct for empanelment of valuer in the Bank. (Annexure V- A signed copy of the same to be taken and kept along with this declaration).</w:t>
            </w:r>
            <w:r>
              <w:br/>
            </w:r>
            <w:r>
              <w:t xml:space="preserve">U. I am valuer registered under Section 34AB of the Wealth Tax Act,1957 (Strike off, if not applicable)</w:t>
            </w:r>
            <w:r>
              <w:br/>
            </w:r>
            <w:r>
              <w:t xml:space="preserve">V. I am valuer registered with insolvency &amp; Bankruptcy Board of india (lBBl) (Strike off, if not applicable)</w:t>
            </w:r>
            <w:r>
              <w:br/>
            </w:r>
            <w:r>
              <w:t xml:space="preserve">W. My ClBlL score and credit worthiness is as per Bank's guidelines.</w:t>
            </w:r>
            <w:r>
              <w:br/>
            </w:r>
            <w:r>
              <w:t xml:space="preserve">X. I am the proprietor / partner I authorised officials of the firm / company, who is competent to sign this valuation report.</w:t>
            </w:r>
            <w:r>
              <w:br/>
            </w:r>
            <w:r>
              <w:t xml:space="preserve">Y. I will undertake the valuation work on receipt of Letter of Engagement generated from the system (i.e. LLMS/LOS) only.</w:t>
            </w:r>
            <w:r>
              <w:br/>
            </w:r>
            <w:r>
              <w:t xml:space="preserve">Z. Further, I hereby provide the following information.</w:t>
            </w:r>
          </w:p>
        </w:tc>
      </w:tr>
      <w:tr>
        <w:tc>
          <w:tcPr>
            <w:gridSpan w:val="2"/>
          </w:tcPr>
          <w:p>
            <w:pPr>
              <w:pStyle w:val="BodyText"/>
            </w:pPr>
            <w:r>
              <w:t xml:space="preserve">Date: &lt;&gt;</w:t>
            </w:r>
          </w:p>
          <w:p>
            <w:pPr>
              <w:pStyle w:val="BodyText"/>
            </w:pPr>
            <w:r>
              <w:t xml:space="preserve">Place: Ahmedabad</w:t>
            </w:r>
          </w:p>
          <w:p>
            <w:pPr>
              <w:pStyle w:val="BodyText"/>
            </w:pPr>
            <w:r>
              <w:t xml:space="preserve">Signature:</w:t>
            </w:r>
          </w:p>
        </w:tc>
      </w:tr>
    </w:tbl>
    <w:p/>
    <w:tbl>
      <w:tblPr>
        <w:tblStyle w:val="Table"/>
        <w:tblW w:type="auto" w:w="0"/>
        <w:tblLook w:firstRow="0" w:lastRow="0" w:firstColumn="0" w:lastColumn="0" w:noHBand="0" w:noVBand="0" w:val="0000"/>
      </w:tblPr>
      <w:tblGrid>
        <w:gridCol w:w="3960"/>
        <w:gridCol w:w="3960"/>
      </w:tblGrid>
      <w:tr>
        <w:tc>
          <w:tcPr/>
          <w:p>
            <w:pPr>
              <w:pStyle w:val="Compact"/>
            </w:pPr>
            <w:r>
              <w:t xml:space="preserve">background information of the assets being valued</w:t>
            </w:r>
          </w:p>
        </w:tc>
        <w:tc>
          <w:tcPr/>
          <w:p>
            <w:pPr>
              <w:pStyle w:val="Compact"/>
            </w:pPr>
            <w:r>
              <w:t xml:space="preserve">As described in the report</w:t>
            </w:r>
          </w:p>
        </w:tc>
      </w:tr>
      <w:tr>
        <w:tc>
          <w:tcPr/>
          <w:p>
            <w:pPr>
              <w:pStyle w:val="Compact"/>
            </w:pPr>
            <w:r>
              <w:t xml:space="preserve">Purpose of valuation</w:t>
            </w:r>
          </w:p>
        </w:tc>
        <w:tc>
          <w:tcPr/>
          <w:p>
            <w:pPr>
              <w:pStyle w:val="Compact"/>
            </w:pPr>
            <w:r>
              <w:t xml:space="preserve">As described in the report</w:t>
            </w:r>
          </w:p>
        </w:tc>
      </w:tr>
      <w:tr>
        <w:tc>
          <w:tcPr/>
          <w:p>
            <w:pPr>
              <w:pStyle w:val="Compact"/>
            </w:pPr>
            <w:r>
              <w:t xml:space="preserve">Appointing authority</w:t>
            </w:r>
          </w:p>
        </w:tc>
        <w:tc>
          <w:tcPr/>
          <w:p>
            <w:pPr>
              <w:pStyle w:val="Compact"/>
            </w:pPr>
            <w:r>
              <w:t xml:space="preserve">&lt;&gt;</w:t>
            </w:r>
          </w:p>
        </w:tc>
      </w:tr>
      <w:tr>
        <w:tc>
          <w:tcPr/>
          <w:p>
            <w:pPr>
              <w:pStyle w:val="Compact"/>
            </w:pPr>
            <w:r>
              <w:t xml:space="preserve">Identity of the valuer and any other experts involved in the valuation</w:t>
            </w:r>
          </w:p>
        </w:tc>
        <w:tc>
          <w:tcPr/>
          <w:p>
            <w:pPr>
              <w:pStyle w:val="Compact"/>
            </w:pPr>
            <w:r>
              <w:t xml:space="preserve">Harsh Patel (Edifice Valuation)</w:t>
            </w:r>
          </w:p>
        </w:tc>
      </w:tr>
      <w:tr>
        <w:tc>
          <w:tcPr/>
          <w:p>
            <w:pPr>
              <w:pStyle w:val="Compact"/>
            </w:pPr>
            <w:r>
              <w:t xml:space="preserve">Disclosure of valuer interest or conflict, if any;</w:t>
            </w:r>
          </w:p>
        </w:tc>
        <w:tc>
          <w:tcPr/>
          <w:p>
            <w:pPr>
              <w:pStyle w:val="Compact"/>
            </w:pPr>
            <w:r>
              <w:t xml:space="preserve">No</w:t>
            </w:r>
          </w:p>
        </w:tc>
      </w:tr>
      <w:tr>
        <w:tc>
          <w:tcPr/>
          <w:p>
            <w:pPr>
              <w:pStyle w:val="Compact"/>
            </w:pPr>
            <w:r>
              <w:t xml:space="preserve">Date of appointment, valuation date and date of report</w:t>
            </w:r>
          </w:p>
        </w:tc>
        <w:tc>
          <w:tcPr/>
          <w:p>
            <w:pPr>
              <w:pStyle w:val="Compact"/>
            </w:pPr>
            <w:r>
              <w:t xml:space="preserve">Verbal Mode</w:t>
            </w:r>
          </w:p>
        </w:tc>
      </w:tr>
      <w:tr>
        <w:tc>
          <w:tcPr/>
          <w:p>
            <w:pPr>
              <w:pStyle w:val="Compact"/>
            </w:pPr>
            <w:r>
              <w:t xml:space="preserve">Inspections and/or investigation undertaken</w:t>
            </w:r>
          </w:p>
        </w:tc>
        <w:tc>
          <w:tcPr/>
          <w:p>
            <w:pPr>
              <w:pStyle w:val="Compact"/>
            </w:pPr>
            <w:r>
              <w:t xml:space="preserve">As described in the report</w:t>
            </w:r>
          </w:p>
        </w:tc>
      </w:tr>
      <w:tr>
        <w:tc>
          <w:tcPr/>
          <w:p>
            <w:pPr>
              <w:pStyle w:val="Compact"/>
            </w:pPr>
            <w:r>
              <w:t xml:space="preserve">Nature and sources of the information used or relied upon:</w:t>
            </w:r>
          </w:p>
        </w:tc>
        <w:tc>
          <w:tcPr/>
          <w:p>
            <w:pPr>
              <w:pStyle w:val="Compact"/>
            </w:pPr>
            <w:r>
              <w:t xml:space="preserve">As described in the report</w:t>
            </w:r>
          </w:p>
        </w:tc>
      </w:tr>
      <w:tr>
        <w:tc>
          <w:tcPr/>
          <w:p>
            <w:pPr>
              <w:pStyle w:val="Compact"/>
            </w:pPr>
            <w:r>
              <w:t xml:space="preserve">Procedures adopted in carrying out the valuation and valuation standards followed</w:t>
            </w:r>
          </w:p>
        </w:tc>
        <w:tc>
          <w:tcPr/>
          <w:p>
            <w:pPr>
              <w:pStyle w:val="Compact"/>
            </w:pPr>
            <w:r>
              <w:t xml:space="preserve">As described in the report</w:t>
            </w:r>
          </w:p>
        </w:tc>
      </w:tr>
      <w:tr>
        <w:tc>
          <w:tcPr/>
          <w:p>
            <w:pPr>
              <w:pStyle w:val="Compact"/>
            </w:pPr>
            <w:r>
              <w:t xml:space="preserve">Restrictions on use of the report, if any</w:t>
            </w:r>
          </w:p>
        </w:tc>
        <w:tc>
          <w:tcPr/>
          <w:p>
            <w:pPr>
              <w:pStyle w:val="Compact"/>
            </w:pPr>
            <w:r>
              <w:t xml:space="preserve">As described in the report</w:t>
            </w:r>
          </w:p>
        </w:tc>
      </w:tr>
      <w:tr>
        <w:tc>
          <w:tcPr/>
          <w:p>
            <w:pPr>
              <w:pStyle w:val="Compact"/>
            </w:pPr>
            <w:r>
              <w:t xml:space="preserve">Major factors that were taken into account during the valuation</w:t>
            </w:r>
          </w:p>
        </w:tc>
        <w:tc>
          <w:tcPr/>
          <w:p>
            <w:pPr>
              <w:pStyle w:val="Compact"/>
            </w:pPr>
            <w:r>
              <w:t xml:space="preserve">As described in the report</w:t>
            </w:r>
          </w:p>
        </w:tc>
      </w:tr>
      <w:tr>
        <w:tc>
          <w:tcPr/>
          <w:p>
            <w:pPr>
              <w:pStyle w:val="Compact"/>
            </w:pPr>
            <w:r>
              <w:t xml:space="preserve">Major factors that were not taken into account during the valuation</w:t>
            </w:r>
          </w:p>
        </w:tc>
        <w:tc>
          <w:tcPr/>
          <w:p>
            <w:pPr>
              <w:pStyle w:val="Compact"/>
            </w:pPr>
            <w:r>
              <w:t xml:space="preserve">As described in the report</w:t>
            </w:r>
          </w:p>
        </w:tc>
      </w:tr>
      <w:tr>
        <w:tc>
          <w:tcPr/>
          <w:p>
            <w:pPr>
              <w:pStyle w:val="Compact"/>
            </w:pPr>
            <w:r>
              <w:t xml:space="preserve">Caveats, limitations and disclaimers to the extent they explain or elucidate the limitations faced by valuer, which shall not be for the purpose of limiting his responsibility for the valuation report</w:t>
            </w:r>
          </w:p>
        </w:tc>
        <w:tc>
          <w:tcPr/>
          <w:p>
            <w:pPr>
              <w:pStyle w:val="Compact"/>
            </w:pPr>
            <w:r>
              <w:t xml:space="preserve">Not Applicable</w:t>
            </w:r>
          </w:p>
        </w:tc>
      </w:tr>
    </w:tbl>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pPr>
            <w:r>
              <w:t xml:space="preserve">MODEL CODE OF CONDUCT FOR VALUERS (Annexure-XIV-A)</w:t>
            </w:r>
          </w:p>
        </w:tc>
      </w:tr>
      <w:tr>
        <w:tc>
          <w:tcPr>
            <w:gridSpan w:val="2"/>
          </w:tcPr>
          <w:p>
            <w:pPr>
              <w:pStyle w:val="Compact"/>
            </w:pPr>
            <w:r>
              <w:rPr>
                <w:b/>
                <w:bCs/>
              </w:rPr>
              <w:t xml:space="preserve">Integrity and Fairness</w:t>
            </w:r>
            <w:r>
              <w:br/>
            </w:r>
            <w:r>
              <w:t xml:space="preserve">1. A valuer shall, in the conduct of his/its business, follow high standards of integrity and Fairness in all his/its dealings with his/its clients and other valuers.</w:t>
            </w:r>
            <w:r>
              <w:br/>
            </w:r>
            <w:r>
              <w:t xml:space="preserve">2. A valuer shall maintain integrity by being honest, straightforward, and forthright in all Professional relationships.</w:t>
            </w:r>
            <w:r>
              <w:br/>
            </w:r>
            <w:r>
              <w:t xml:space="preserve">3. A valuer shall endeavour to ensure that he/it provides true and adequate information and shall not misrepresent any facts or situations.</w:t>
            </w:r>
            <w:r>
              <w:br/>
            </w:r>
            <w:r>
              <w:t xml:space="preserve">4. A valuer shall refrain from being involved in any action that would bring disrepute to the profession.</w:t>
            </w:r>
            <w:r>
              <w:br/>
            </w:r>
            <w:r>
              <w:t xml:space="preserve">5. A valuer shall keep public interest foremost while delivering his services.</w:t>
            </w:r>
            <w:r>
              <w:br/>
            </w:r>
            <w:r>
              <w:br/>
            </w:r>
            <w:r>
              <w:rPr>
                <w:b/>
                <w:bCs/>
              </w:rPr>
              <w:t xml:space="preserve">Professional Competence and Due Care</w:t>
            </w:r>
            <w:r>
              <w:br/>
            </w:r>
            <w:r>
              <w:t xml:space="preserve">6. A valuer shall render at all times high standards of service, exercise due diligence, ensure proper care and exercise independent professional judgement.</w:t>
            </w:r>
            <w:r>
              <w:br/>
            </w:r>
            <w:r>
              <w:t xml:space="preserve">7. A valuer shall carry out professional services in accordance with the relevant technical and professional standards that may be specified from time to time.</w:t>
            </w:r>
            <w:r>
              <w:br/>
            </w:r>
            <w:r>
              <w:t xml:space="preserve">8. A valuer shall continuously maintain professional knowledge and skill to provide competent professional service based on up-to-date developments in practice, prevailing regulations/guidelines and techniques.</w:t>
            </w:r>
            <w:r>
              <w:br/>
            </w:r>
            <w:r>
              <w:t xml:space="preserve">9. ln the preparation of a valuation report, the valuer shall not disclaim liability for his/its expertise or deny his/its duty of care, except to the extent that the assumptions are based on statements of fact provided by the company or its auditors or consultants or information available in public domain and not generated by the valuer.</w:t>
            </w:r>
            <w:r>
              <w:br/>
            </w:r>
            <w:r>
              <w:t xml:space="preserve">10. A valuer shall not carry out any instruction of the client insofar as they are incompatible with the requirements of integrity, objectivity and independence.</w:t>
            </w:r>
            <w:r>
              <w:br/>
            </w:r>
            <w:r>
              <w:t xml:space="preserve">11. A valuer shall clearly state to his client the services that he would be competent to provide and the services for which he would be relying on other valuers or professionals or for which the client can have a separate arrangement with other valuers.</w:t>
            </w:r>
            <w:r>
              <w:br/>
            </w:r>
            <w:r>
              <w:br/>
            </w:r>
            <w:r>
              <w:rPr>
                <w:b/>
                <w:bCs/>
              </w:rPr>
              <w:t xml:space="preserve">Independence and Disclosure of interest</w:t>
            </w:r>
            <w:r>
              <w:br/>
            </w:r>
            <w:r>
              <w:t xml:space="preserve">12. A valuer shall act with objectivity in his/its professional dealings by ensuring that his/its decisions are made without the presence of any bias, conflict of interest, coercion, or undue influence of any party, whether directly connected to the valuation assignment or not.</w:t>
            </w:r>
            <w:r>
              <w:br/>
            </w:r>
            <w:r>
              <w:t xml:space="preserve">13. A valuer shall wherever necessary disclose to the clients, possible sources of conflicts of duties and interests, while providing unbiased services.</w:t>
            </w:r>
            <w:r>
              <w:br/>
            </w:r>
            <w:r>
              <w:t xml:space="preserve">14. A valuer shall not deal in securities of any subject company after any time when he/it first becomes aware of the possibility of his/its association with the valuation, and in accordance with the Securities and Exchange Board of india (prohibition of insider Trading) Regulations, 2015 or till the time the valuation report becomes public, whichever is earlier.</w:t>
            </w:r>
            <w:r>
              <w:br/>
            </w:r>
            <w:r>
              <w:t xml:space="preserve">15. A valuer shall not indulge in "mandate snatching" or offering "convenience valuations" in order to cater to a company or client's needs.</w:t>
            </w:r>
            <w:r>
              <w:br/>
            </w:r>
            <w:r>
              <w:t xml:space="preserve">16. As an independent valuer, the valuer shall not charge a success fee.</w:t>
            </w:r>
            <w:r>
              <w:br/>
            </w:r>
            <w:r>
              <w:t xml:space="preserve">17. ln any fairness opinion or independent expert opinion submitted by a valuer, if there has been a prior engagement in an unconnected transaction, the valuer shall declare the association with the company during the last five years.</w:t>
            </w:r>
            <w:r>
              <w:br/>
            </w:r>
            <w:r>
              <w:br/>
            </w:r>
            <w:r>
              <w:rPr>
                <w:b/>
                <w:bCs/>
              </w:rPr>
              <w:t xml:space="preserve">Confidentiality</w:t>
            </w:r>
            <w:r>
              <w:br/>
            </w:r>
            <w:r>
              <w:t xml:space="preserve">18. A valuer shall not use or divulge to other clients or any other party any confidential information about the subject company, which has come to his/its knowledge without proper and specific authority or unless there is a legal or professional right or duty to disclose.</w:t>
            </w:r>
            <w:r>
              <w:br/>
            </w:r>
            <w:r>
              <w:br/>
            </w:r>
            <w:r>
              <w:rPr>
                <w:b/>
                <w:bCs/>
              </w:rPr>
              <w:t xml:space="preserve">Information Management</w:t>
            </w:r>
            <w:r>
              <w:br/>
            </w:r>
            <w:r>
              <w:t xml:space="preserve">19. A valuer shall ensure that he/ she maintains written contemporaneous records for any decision taken, the reasons for taking the decision, and the information and evidence in support of such decision. This shall be maintained so as to sufficiently enable a reasonable person to take a view on the appropriateness of his/its decisions and actions.</w:t>
            </w:r>
            <w:r>
              <w:br/>
            </w:r>
            <w:r>
              <w:t xml:space="preserve">20. A valuer shall appear, co-operate and be available for inspections and investigations carried out by the authority, any person authorised by the authority, the registered valuers organisation with which he/it is registered or any other statutory regulatory body.</w:t>
            </w:r>
            <w:r>
              <w:br/>
            </w:r>
            <w:r>
              <w:t xml:space="preserve">21. A valuer shall provide all information and records as may be required by the authority, the Tribunal, Appellate Tribunal, the registered valuers organisation with which he/it is registered, or any other statutory regulatory body.</w:t>
            </w:r>
            <w:r>
              <w:br/>
            </w:r>
            <w:r>
              <w:t xml:space="preserve">22. A valuer while respecting the confidentiality of information acquired during the course of performing professional services, shall maintain proper working papers for a period of three years or such longer period as required in its contract for a specific valuation, for production before a regulatory authority or for a peer review. in the event of a pending case before the Tribunal or Appellate Tribunal, the record shall be maintained till the disposal of the case.</w:t>
            </w:r>
            <w:r>
              <w:br/>
            </w:r>
            <w:r>
              <w:br/>
            </w:r>
            <w:r>
              <w:rPr>
                <w:b/>
                <w:bCs/>
              </w:rPr>
              <w:t xml:space="preserve">Gifts and hospitality</w:t>
            </w:r>
            <w:r>
              <w:br/>
            </w:r>
            <w:r>
              <w:t xml:space="preserve">23. A valuer or his/its relative shall not accept gifts or hospitality which undermines or affects his independence as a valuer,</w:t>
            </w:r>
            <w:r>
              <w:br/>
            </w:r>
            <w:r>
              <w:t xml:space="preserve">Explanation.- For the purposes of this code the term meaning as defined in Clause (77) of Section 2 of the 'relative' shall have the same Companies Act, 2013 (18 of 2013).</w:t>
            </w:r>
            <w:r>
              <w:br/>
            </w:r>
            <w:r>
              <w:t xml:space="preserve">24. A valuer shall not offer gifts or hospitality or a financial or any other advantage to a public servant or any other person with a view to obtain or retain work for himself/ herself, or to obtain or retain an advantage in the conduct of profession for himself/ herself.</w:t>
            </w:r>
            <w:r>
              <w:br/>
            </w:r>
            <w:r>
              <w:br/>
            </w:r>
            <w:r>
              <w:rPr>
                <w:b/>
                <w:bCs/>
              </w:rPr>
              <w:t xml:space="preserve">Remuneration and Costs</w:t>
            </w:r>
            <w:r>
              <w:br/>
            </w:r>
            <w:r>
              <w:t xml:space="preserve">25. A valuer shall provide services for remuneration which is charged in a transparent manner, is a reasonable reflection of the work necessarily and properly undertaken, and is not inconsistent with the applicable rules.</w:t>
            </w:r>
            <w:r>
              <w:br/>
            </w:r>
            <w:r>
              <w:t xml:space="preserve">26. A valuer shall not accept any fees or charges other than those which are disclosed in a written contract with the person to whom he would be rendering service.</w:t>
            </w:r>
            <w:r>
              <w:br/>
            </w:r>
            <w:r>
              <w:br/>
            </w:r>
            <w:r>
              <w:rPr>
                <w:b/>
                <w:bCs/>
              </w:rPr>
              <w:t xml:space="preserve">Occupation, employability and restrictions.</w:t>
            </w:r>
            <w:r>
              <w:br/>
            </w:r>
            <w:r>
              <w:t xml:space="preserve">27. A valuer shall refrain from accepting too many assignments, if he/it is unlikely to be able to devote adequate time to each of his/ its assignments.</w:t>
            </w:r>
            <w:r>
              <w:br/>
            </w:r>
            <w:r>
              <w:t xml:space="preserve">28. A valuer shall not conduct business which in the opinion of the authority or the registered valuer organisation discredits the profession.</w:t>
            </w:r>
            <w:r>
              <w:br/>
            </w:r>
            <w:r>
              <w:br/>
            </w:r>
            <w:r>
              <w:rPr>
                <w:b/>
                <w:bCs/>
              </w:rPr>
              <w:t xml:space="preserve">Miscellaneous</w:t>
            </w:r>
            <w:r>
              <w:br/>
            </w:r>
            <w:r>
              <w:t xml:space="preserve">29. A valuer shall refrain from undertaking to review the work of another valuer of the same client except under written orders from the bank or housing finance institutions and with knowledge of the concerned valuer.</w:t>
            </w:r>
            <w:r>
              <w:br/>
            </w:r>
            <w:r>
              <w:t xml:space="preserve">30. A valuer shall follow this code as amended or revised from time to time.</w:t>
            </w:r>
          </w:p>
        </w:tc>
      </w:tr>
    </w:tbl>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pPr>
            <w:r>
              <w:t xml:space="preserve">Photographs of the Property</w:t>
            </w:r>
          </w:p>
        </w:tc>
      </w:tr>
      <w:tr>
        <w:tc>
          <w:tcPr>
            <w:gridSpan w:val="2"/>
          </w:tcPr>
          <w:p>
            <w:pPr>
              <w:pStyle w:val="Compact"/>
            </w:pPr>
            <w:r>
              <w:t xml:space="preserve">Property Photo 1</w:t>
            </w:r>
            <w:r>
              <w:t xml:space="preserve"> </w:t>
            </w:r>
            <w:r>
              <w:t xml:space="preserve">Property Photo 2</w:t>
            </w:r>
            <w:r>
              <w:t xml:space="preserve"> </w:t>
            </w:r>
            <w:r>
              <w:t xml:space="preserve">Property Photo 3</w:t>
            </w:r>
            <w:r>
              <w:t xml:space="preserve"> </w:t>
            </w:r>
            <w:r>
              <w:t xml:space="preserve">Property Photo 4</w:t>
            </w:r>
            <w:r>
              <w:t xml:space="preserve"> </w:t>
            </w:r>
            <w:r>
              <w:t xml:space="preserve">Property Photo 5</w:t>
            </w:r>
            <w:r>
              <w:t xml:space="preserve"> </w:t>
            </w:r>
            <w:r>
              <w:t xml:space="preserve">Property Photo 6</w:t>
            </w:r>
            <w:r>
              <w:t xml:space="preserve"> </w:t>
            </w:r>
            <w:r>
              <w:t xml:space="preserve">Property Photo 7</w:t>
            </w:r>
            <w:r>
              <w:t xml:space="preserve"> </w:t>
            </w:r>
            <w:r>
              <w:t xml:space="preserve">Property Photo 8</w:t>
            </w:r>
          </w:p>
        </w:tc>
      </w:tr>
    </w:tbl>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pPr>
            <w:r>
              <w:t xml:space="preserve">Google Map Location</w:t>
            </w:r>
          </w:p>
          <w:p>
            <w:pPr>
              <w:pStyle w:val="BodyText"/>
            </w:pPr>
            <w:r>
              <w:t xml:space="preserve">LATITUDE: - LONGITUDE: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Valuation Report</dc:title>
  <dc:creator/>
  <dc:language>en</dc:language>
  <cp:keywords/>
  <dcterms:created xsi:type="dcterms:W3CDTF">2025-04-30T06:29:13Z</dcterms:created>
  <dcterms:modified xsi:type="dcterms:W3CDTF">2025-04-30T06:29:13Z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