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64" w:rsidRDefault="00275464" w:rsidP="00275464">
      <w:pPr>
        <w:rPr>
          <w:b/>
          <w:bCs/>
          <w:sz w:val="28"/>
          <w:szCs w:val="28"/>
          <w:u w:val="single"/>
        </w:rPr>
      </w:pPr>
      <w:r w:rsidRPr="0051302D">
        <w:rPr>
          <w:b/>
          <w:bCs/>
          <w:sz w:val="28"/>
          <w:szCs w:val="28"/>
          <w:highlight w:val="green"/>
          <w:u w:val="single"/>
        </w:rPr>
        <w:t>Page 3</w:t>
      </w:r>
    </w:p>
    <w:p w:rsidR="00275464" w:rsidRPr="0051302D" w:rsidRDefault="00275464" w:rsidP="00275464">
      <w:pPr>
        <w:rPr>
          <w:sz w:val="28"/>
          <w:szCs w:val="28"/>
        </w:rPr>
      </w:pPr>
      <w:r w:rsidRPr="0051302D">
        <w:rPr>
          <w:sz w:val="28"/>
          <w:szCs w:val="28"/>
          <w:highlight w:val="cyan"/>
        </w:rPr>
        <w:t>3.1 New Announcements</w:t>
      </w:r>
    </w:p>
    <w:p w:rsidR="00275464" w:rsidRDefault="00275464" w:rsidP="00275464">
      <w:pPr>
        <w:rPr>
          <w:sz w:val="28"/>
          <w:szCs w:val="28"/>
        </w:rPr>
      </w:pPr>
    </w:p>
    <w:p w:rsidR="00275464" w:rsidRPr="0051302D" w:rsidRDefault="00275464" w:rsidP="00275464">
      <w:pPr>
        <w:rPr>
          <w:sz w:val="28"/>
          <w:szCs w:val="28"/>
        </w:rPr>
      </w:pPr>
      <w:r w:rsidRPr="0051302D">
        <w:rPr>
          <w:sz w:val="28"/>
          <w:szCs w:val="28"/>
          <w:highlight w:val="cyan"/>
        </w:rPr>
        <w:t>3.2 Dashboard</w:t>
      </w:r>
    </w:p>
    <w:p w:rsidR="00275464" w:rsidRPr="005877DF" w:rsidRDefault="00275464" w:rsidP="00275464">
      <w:pPr>
        <w:rPr>
          <w:rFonts w:ascii="Times New Roman" w:eastAsia="Times New Roman" w:hAnsi="Times New Roman" w:cs="Times New Roman"/>
          <w:color w:val="000000"/>
          <w:kern w:val="0"/>
          <w:sz w:val="24"/>
          <w:szCs w:val="24"/>
          <w:lang w:eastAsia="en-IN"/>
          <w14:ligatures w14:val="none"/>
        </w:rPr>
      </w:pPr>
      <w:r w:rsidRPr="005877DF">
        <w:rPr>
          <w:rFonts w:ascii="Times New Roman" w:eastAsia="Times New Roman" w:hAnsi="Times New Roman" w:cs="Times New Roman"/>
          <w:color w:val="000000"/>
          <w:kern w:val="0"/>
          <w:sz w:val="24"/>
          <w:szCs w:val="24"/>
          <w:lang w:eastAsia="en-IN"/>
          <w14:ligatures w14:val="none"/>
        </w:rPr>
        <w:t>This page presents a dashboard highlighting Kerala’s major health indicators, showcasing the state’s remarkable achievements in areas such as Maternal Mortality, Infant Mortality, Life Expectancy at Birth</w:t>
      </w:r>
      <w:r>
        <w:rPr>
          <w:rFonts w:ascii="Times New Roman" w:eastAsia="Times New Roman" w:hAnsi="Times New Roman" w:cs="Times New Roman"/>
          <w:color w:val="000000"/>
          <w:kern w:val="0"/>
          <w:sz w:val="24"/>
          <w:szCs w:val="24"/>
          <w:lang w:eastAsia="en-IN"/>
          <w14:ligatures w14:val="none"/>
        </w:rPr>
        <w:t xml:space="preserve">, </w:t>
      </w:r>
      <w:proofErr w:type="gramStart"/>
      <w:r>
        <w:rPr>
          <w:rFonts w:ascii="Times New Roman" w:eastAsia="Times New Roman" w:hAnsi="Times New Roman" w:cs="Times New Roman"/>
          <w:color w:val="000000"/>
          <w:kern w:val="0"/>
          <w:sz w:val="24"/>
          <w:szCs w:val="24"/>
          <w:lang w:eastAsia="en-IN"/>
          <w14:ligatures w14:val="none"/>
        </w:rPr>
        <w:t>Sex</w:t>
      </w:r>
      <w:proofErr w:type="gramEnd"/>
      <w:r>
        <w:rPr>
          <w:rFonts w:ascii="Times New Roman" w:eastAsia="Times New Roman" w:hAnsi="Times New Roman" w:cs="Times New Roman"/>
          <w:color w:val="000000"/>
          <w:kern w:val="0"/>
          <w:sz w:val="24"/>
          <w:szCs w:val="24"/>
          <w:lang w:eastAsia="en-IN"/>
          <w14:ligatures w14:val="none"/>
        </w:rPr>
        <w:t xml:space="preserve"> Ratio at Birth etc</w:t>
      </w:r>
      <w:r w:rsidRPr="005877DF">
        <w:rPr>
          <w:rFonts w:ascii="Times New Roman" w:eastAsia="Times New Roman" w:hAnsi="Times New Roman" w:cs="Times New Roman"/>
          <w:color w:val="000000"/>
          <w:kern w:val="0"/>
          <w:sz w:val="24"/>
          <w:szCs w:val="24"/>
          <w:lang w:eastAsia="en-IN"/>
          <w14:ligatures w14:val="none"/>
        </w:rPr>
        <w:t>.</w:t>
      </w:r>
    </w:p>
    <w:p w:rsidR="00275464" w:rsidRDefault="00275464" w:rsidP="00275464">
      <w:pPr>
        <w:pStyle w:val="Default"/>
        <w:rPr>
          <w:rFonts w:ascii="Times New Roman" w:eastAsia="Times New Roman" w:hAnsi="Times New Roman" w:cs="Times New Roman"/>
          <w:i/>
          <w:iCs/>
          <w:color w:val="auto"/>
          <w:sz w:val="28"/>
          <w:szCs w:val="28"/>
          <w:lang w:eastAsia="en-IN"/>
          <w14:ligatures w14:val="none"/>
        </w:rPr>
      </w:pPr>
      <w:r w:rsidRPr="00283F9B">
        <w:rPr>
          <w:rFonts w:ascii="Times New Roman" w:eastAsia="Times New Roman" w:hAnsi="Times New Roman" w:cs="Times New Roman"/>
          <w:i/>
          <w:iCs/>
          <w:color w:val="auto"/>
          <w:sz w:val="28"/>
          <w:szCs w:val="28"/>
          <w:lang w:eastAsia="en-IN"/>
          <w14:ligatures w14:val="none"/>
        </w:rPr>
        <w:t>Kerala’s Health Milestones: Key Indicators of Success</w:t>
      </w:r>
    </w:p>
    <w:p w:rsidR="00275464" w:rsidRDefault="00275464" w:rsidP="00275464">
      <w:pPr>
        <w:pStyle w:val="Default"/>
        <w:rPr>
          <w:rFonts w:ascii="Times New Roman" w:eastAsia="Times New Roman" w:hAnsi="Times New Roman" w:cs="Times New Roman"/>
          <w:i/>
          <w:iCs/>
          <w:color w:val="auto"/>
          <w:sz w:val="28"/>
          <w:szCs w:val="28"/>
          <w:lang w:eastAsia="en-IN"/>
          <w14:ligatures w14:val="none"/>
        </w:rPr>
      </w:pPr>
    </w:p>
    <w:tbl>
      <w:tblPr>
        <w:tblStyle w:val="GridTable1LightAccent1"/>
        <w:tblW w:w="9020" w:type="dxa"/>
        <w:tblLook w:val="04A0" w:firstRow="1" w:lastRow="0" w:firstColumn="1" w:lastColumn="0" w:noHBand="0" w:noVBand="1"/>
      </w:tblPr>
      <w:tblGrid>
        <w:gridCol w:w="2972"/>
        <w:gridCol w:w="3402"/>
        <w:gridCol w:w="2646"/>
      </w:tblGrid>
      <w:tr w:rsidR="00275464" w:rsidRPr="00187AB5" w:rsidTr="00777DF9">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Indicator</w:t>
            </w:r>
          </w:p>
        </w:tc>
        <w:tc>
          <w:tcPr>
            <w:tcW w:w="3402" w:type="dxa"/>
          </w:tcPr>
          <w:p w:rsidR="00275464" w:rsidRPr="00187AB5" w:rsidRDefault="00275464" w:rsidP="00777DF9">
            <w:pPr>
              <w:pStyle w:val="Defaul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Current Level of achievement</w:t>
            </w:r>
          </w:p>
        </w:tc>
        <w:tc>
          <w:tcPr>
            <w:tcW w:w="2646" w:type="dxa"/>
          </w:tcPr>
          <w:p w:rsidR="00275464" w:rsidRPr="00187AB5" w:rsidRDefault="00275464" w:rsidP="00777DF9">
            <w:pPr>
              <w:pStyle w:val="Defaul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Source</w:t>
            </w:r>
          </w:p>
        </w:tc>
      </w:tr>
      <w:tr w:rsidR="00275464" w:rsidRPr="00187AB5" w:rsidTr="00777DF9">
        <w:trPr>
          <w:trHeight w:val="306"/>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Total Fertility Rate</w:t>
            </w:r>
          </w:p>
        </w:tc>
        <w:tc>
          <w:tcPr>
            <w:tcW w:w="3402"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1.5</w:t>
            </w:r>
          </w:p>
        </w:tc>
        <w:tc>
          <w:tcPr>
            <w:tcW w:w="2646"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SRS 2020</w:t>
            </w:r>
          </w:p>
        </w:tc>
      </w:tr>
      <w:tr w:rsidR="00275464" w:rsidRPr="00187AB5" w:rsidTr="00777DF9">
        <w:trPr>
          <w:trHeight w:val="274"/>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Infant Mortality Rate</w:t>
            </w:r>
          </w:p>
        </w:tc>
        <w:tc>
          <w:tcPr>
            <w:tcW w:w="3402"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6</w:t>
            </w:r>
          </w:p>
        </w:tc>
        <w:tc>
          <w:tcPr>
            <w:tcW w:w="2646"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SRS 2020</w:t>
            </w:r>
          </w:p>
        </w:tc>
      </w:tr>
      <w:tr w:rsidR="00275464" w:rsidRPr="00187AB5" w:rsidTr="00777DF9">
        <w:trPr>
          <w:trHeight w:val="274"/>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Maternal Mortality Ratio</w:t>
            </w:r>
          </w:p>
        </w:tc>
        <w:tc>
          <w:tcPr>
            <w:tcW w:w="3402"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19</w:t>
            </w:r>
          </w:p>
        </w:tc>
        <w:tc>
          <w:tcPr>
            <w:tcW w:w="2646"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MMR Bulletin 2018-20</w:t>
            </w:r>
          </w:p>
        </w:tc>
      </w:tr>
      <w:tr w:rsidR="00275464" w:rsidRPr="00187AB5" w:rsidTr="00777DF9">
        <w:trPr>
          <w:trHeight w:val="274"/>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Sex Ratio at Birth</w:t>
            </w:r>
          </w:p>
        </w:tc>
        <w:tc>
          <w:tcPr>
            <w:tcW w:w="3402"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974</w:t>
            </w:r>
          </w:p>
        </w:tc>
        <w:tc>
          <w:tcPr>
            <w:tcW w:w="2646"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SRS 2020</w:t>
            </w:r>
          </w:p>
        </w:tc>
      </w:tr>
      <w:tr w:rsidR="00275464" w:rsidRPr="00187AB5" w:rsidTr="00777DF9">
        <w:trPr>
          <w:trHeight w:val="274"/>
        </w:trPr>
        <w:tc>
          <w:tcPr>
            <w:cnfStyle w:val="001000000000" w:firstRow="0" w:lastRow="0" w:firstColumn="1" w:lastColumn="0" w:oddVBand="0" w:evenVBand="0" w:oddHBand="0" w:evenHBand="0" w:firstRowFirstColumn="0" w:firstRowLastColumn="0" w:lastRowFirstColumn="0" w:lastRowLastColumn="0"/>
            <w:tcW w:w="2972" w:type="dxa"/>
          </w:tcPr>
          <w:p w:rsidR="00275464" w:rsidRPr="00187AB5" w:rsidRDefault="00275464" w:rsidP="00777DF9">
            <w:pPr>
              <w:pStyle w:val="Default"/>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Life Expectancy at Birth</w:t>
            </w:r>
          </w:p>
        </w:tc>
        <w:tc>
          <w:tcPr>
            <w:tcW w:w="3402"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75 Years</w:t>
            </w:r>
          </w:p>
        </w:tc>
        <w:tc>
          <w:tcPr>
            <w:tcW w:w="2646" w:type="dxa"/>
          </w:tcPr>
          <w:p w:rsidR="00275464" w:rsidRPr="00187AB5" w:rsidRDefault="00275464" w:rsidP="00777DF9">
            <w:pPr>
              <w:pStyle w:val="Defaul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eastAsia="en-IN"/>
                <w14:ligatures w14:val="none"/>
              </w:rPr>
            </w:pPr>
            <w:r w:rsidRPr="00187AB5">
              <w:rPr>
                <w:rFonts w:ascii="Times New Roman" w:eastAsia="Times New Roman" w:hAnsi="Times New Roman" w:cs="Times New Roman"/>
                <w:color w:val="auto"/>
                <w:lang w:eastAsia="en-IN"/>
                <w14:ligatures w14:val="none"/>
              </w:rPr>
              <w:t>SRS Abridged Life table</w:t>
            </w:r>
          </w:p>
        </w:tc>
      </w:tr>
    </w:tbl>
    <w:p w:rsidR="00275464" w:rsidRDefault="00275464" w:rsidP="00275464">
      <w:pPr>
        <w:pStyle w:val="Default"/>
        <w:rPr>
          <w:rFonts w:ascii="Times New Roman" w:eastAsia="Times New Roman" w:hAnsi="Times New Roman" w:cs="Times New Roman"/>
          <w:i/>
          <w:iCs/>
          <w:color w:val="auto"/>
          <w:sz w:val="28"/>
          <w:szCs w:val="28"/>
          <w:lang w:eastAsia="en-IN"/>
          <w14:ligatures w14:val="none"/>
        </w:rPr>
      </w:pPr>
    </w:p>
    <w:p w:rsidR="00275464" w:rsidRDefault="00275464" w:rsidP="00275464">
      <w:pPr>
        <w:pStyle w:val="Default"/>
        <w:rPr>
          <w:rFonts w:ascii="Times New Roman" w:eastAsia="Times New Roman" w:hAnsi="Times New Roman" w:cs="Times New Roman"/>
          <w:i/>
          <w:iCs/>
          <w:color w:val="auto"/>
          <w:sz w:val="28"/>
          <w:szCs w:val="28"/>
          <w:lang w:eastAsia="en-IN"/>
          <w14:ligatures w14:val="none"/>
        </w:rPr>
      </w:pPr>
    </w:p>
    <w:p w:rsidR="00275464" w:rsidRPr="005652F8" w:rsidRDefault="00275464" w:rsidP="00275464">
      <w:r w:rsidRPr="0051302D">
        <w:rPr>
          <w:highlight w:val="darkGray"/>
        </w:rPr>
        <w:t>3.2.1 Declining Fertility Trends in Kerala:</w:t>
      </w:r>
    </w:p>
    <w:p w:rsidR="00275464" w:rsidRDefault="00275464" w:rsidP="00275464">
      <w:pPr>
        <w:ind w:firstLine="720"/>
        <w:jc w:val="both"/>
      </w:pPr>
      <w:r w:rsidRPr="00113DD8">
        <w:t xml:space="preserve">The total fertility rate (TFR) indicates the average number of children expected to be born per woman during her entire span of reproductive period assuming that the age specific fertility rates, to which she is exposed to, continue to be the same and that there is no </w:t>
      </w:r>
      <w:r w:rsidRPr="004F0442">
        <w:rPr>
          <w:b/>
          <w:bCs/>
        </w:rPr>
        <w:t>mortality</w:t>
      </w:r>
      <w:r w:rsidRPr="00113DD8">
        <w:t>.</w:t>
      </w:r>
      <w:r>
        <w:t xml:space="preserve">  </w:t>
      </w:r>
      <w:r w:rsidRPr="00113DD8">
        <w:t>The</w:t>
      </w:r>
      <w:r>
        <w:t xml:space="preserve"> </w:t>
      </w:r>
      <w:r w:rsidRPr="00113DD8">
        <w:t>TFR</w:t>
      </w:r>
      <w:r>
        <w:t xml:space="preserve"> of Kerala</w:t>
      </w:r>
      <w:r w:rsidRPr="00113DD8">
        <w:t xml:space="preserve"> has declined from </w:t>
      </w:r>
      <w:r w:rsidRPr="0039372C">
        <w:rPr>
          <w:b/>
          <w:bCs/>
        </w:rPr>
        <w:t>4.1 to 1.5 during 1971 to 2020</w:t>
      </w:r>
      <w:r>
        <w:t>.</w:t>
      </w:r>
      <w:r w:rsidRPr="00113DD8">
        <w:t xml:space="preserve"> </w:t>
      </w:r>
      <w:r>
        <w:t xml:space="preserve">  </w:t>
      </w:r>
      <w:r w:rsidRPr="0043572C">
        <w:t>This decline was rapid until the late 1980s, after which it remained consistently below the replacement level, stabilizing between 1.7 and 1.5. Kerala reached below the replacement level of fertility (2.1 TFR) in 1988, while the rest of India was experiencing higher or mid-level fertility. Kerala was the first state in India to achieve a TFR below the replacement level in 1988.</w:t>
      </w:r>
    </w:p>
    <w:p w:rsidR="00275464" w:rsidRDefault="00275464" w:rsidP="00275464">
      <w:pPr>
        <w:ind w:firstLine="720"/>
        <w:jc w:val="both"/>
      </w:pPr>
    </w:p>
    <w:p w:rsidR="00275464" w:rsidRPr="0043572C" w:rsidRDefault="00275464" w:rsidP="00275464">
      <w:pPr>
        <w:ind w:firstLine="720"/>
        <w:jc w:val="center"/>
        <w:rPr>
          <w:b/>
          <w:bCs/>
          <w:sz w:val="18"/>
          <w:szCs w:val="18"/>
        </w:rPr>
      </w:pPr>
      <w:r w:rsidRPr="0043572C">
        <w:rPr>
          <w:b/>
          <w:bCs/>
          <w:sz w:val="18"/>
          <w:szCs w:val="18"/>
        </w:rPr>
        <w:t>Chart1: Total Fertility Rate trends in Kerala and India from 1971 to 2020.</w:t>
      </w:r>
    </w:p>
    <w:p w:rsidR="00275464" w:rsidRDefault="00275464" w:rsidP="00275464">
      <w:pPr>
        <w:spacing w:after="0"/>
      </w:pPr>
      <w:r>
        <w:rPr>
          <w:noProof/>
          <w:lang w:eastAsia="en-IN" w:bidi="ml-IN"/>
        </w:rPr>
        <w:drawing>
          <wp:inline distT="0" distB="0" distL="0" distR="0" wp14:anchorId="65005CC4" wp14:editId="59F3B680">
            <wp:extent cx="5731510" cy="1584325"/>
            <wp:effectExtent l="0" t="0" r="0" b="0"/>
            <wp:docPr id="137454416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75464" w:rsidRPr="00C46A2D" w:rsidRDefault="00275464" w:rsidP="00275464">
      <w:pPr>
        <w:spacing w:after="0"/>
        <w:jc w:val="center"/>
        <w:rPr>
          <w:i/>
          <w:iCs/>
        </w:rPr>
      </w:pPr>
      <w:r w:rsidRPr="00C46A2D">
        <w:rPr>
          <w:i/>
          <w:iCs/>
        </w:rPr>
        <w:t>Source: Registrar General of India. Reports of the sample registration system, 1981 to 20</w:t>
      </w:r>
      <w:r>
        <w:rPr>
          <w:i/>
          <w:iCs/>
        </w:rPr>
        <w:t>20</w:t>
      </w:r>
    </w:p>
    <w:p w:rsidR="00275464" w:rsidRPr="00283F9B" w:rsidRDefault="00275464" w:rsidP="00275464">
      <w:pPr>
        <w:pStyle w:val="Default"/>
        <w:rPr>
          <w:rFonts w:ascii="Times New Roman" w:eastAsia="Times New Roman" w:hAnsi="Times New Roman" w:cs="Times New Roman"/>
          <w:i/>
          <w:iCs/>
          <w:color w:val="auto"/>
          <w:sz w:val="28"/>
          <w:szCs w:val="28"/>
          <w:lang w:eastAsia="en-IN"/>
          <w14:ligatures w14:val="none"/>
        </w:rPr>
      </w:pPr>
    </w:p>
    <w:p w:rsidR="00275464" w:rsidRDefault="00275464" w:rsidP="00275464">
      <w:r w:rsidRPr="0051302D">
        <w:rPr>
          <w:highlight w:val="darkGray"/>
        </w:rPr>
        <w:t>3.2.2 Infant Mortality Rate: Kerala’s Success in Reducing Infant Deaths:</w:t>
      </w:r>
    </w:p>
    <w:p w:rsidR="00275464" w:rsidRDefault="00275464" w:rsidP="00275464">
      <w:pPr>
        <w:jc w:val="both"/>
      </w:pPr>
      <w:r>
        <w:lastRenderedPageBreak/>
        <w:t xml:space="preserve">The Infant Mortality Rate (IMR), which is widely accepted as a crude indicator of the overall health scenario of a country or a region, is defined as the infant deaths (less than one year) per thousand live births in a given time period and for a given region.  </w:t>
      </w:r>
      <w:r w:rsidRPr="004F0442">
        <w:t>In the last ten years, IMR has witnessed a decline of about 55% in Kerala (from 13.3 in 2010 to 6 in</w:t>
      </w:r>
      <w:r>
        <w:rPr>
          <w:i/>
          <w:iCs/>
        </w:rPr>
        <w:t xml:space="preserve"> </w:t>
      </w:r>
      <w:r w:rsidRPr="004F0442">
        <w:t>2020).</w:t>
      </w:r>
      <w:r>
        <w:t xml:space="preserve"> </w:t>
      </w:r>
      <w:r w:rsidRPr="006A4A87">
        <w:t xml:space="preserve">According to the latest Sample Registration System (SRS) Report (2020), Kerala has the lowest IMR in the country, being the only state with a single-digit IMR of 6 per 1,000 live births. Kerala successfully reduced its two-digit IMR from 10 in 2017 to a single digit in 2018 (7), and further lowered it to 6 in 2019, maintaining this impressive level in 2020. This achievement underscores Kerala’s </w:t>
      </w:r>
      <w:proofErr w:type="spellStart"/>
      <w:r w:rsidRPr="006A4A87">
        <w:t>ongoing</w:t>
      </w:r>
      <w:proofErr w:type="spellEnd"/>
      <w:r w:rsidRPr="006A4A87">
        <w:t xml:space="preserve"> commitment to improving child health and reducing infant mortality.</w:t>
      </w:r>
    </w:p>
    <w:p w:rsidR="00275464" w:rsidRDefault="00275464" w:rsidP="00275464">
      <w:pPr>
        <w:jc w:val="both"/>
        <w:rPr>
          <w:sz w:val="28"/>
          <w:szCs w:val="28"/>
        </w:rPr>
      </w:pPr>
      <w:r>
        <w:rPr>
          <w:noProof/>
          <w:lang w:eastAsia="en-IN" w:bidi="ml-IN"/>
        </w:rPr>
        <w:drawing>
          <wp:inline distT="0" distB="0" distL="0" distR="0" wp14:anchorId="75AD2A88" wp14:editId="0F45A20A">
            <wp:extent cx="5556250" cy="1841500"/>
            <wp:effectExtent l="0" t="0" r="6350" b="0"/>
            <wp:docPr id="39736755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00000000-0008-0000-0300-00002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5464" w:rsidRDefault="00275464" w:rsidP="00275464"/>
    <w:p w:rsidR="00275464" w:rsidRDefault="00275464" w:rsidP="00275464">
      <w:r w:rsidRPr="0051302D">
        <w:rPr>
          <w:highlight w:val="darkGray"/>
        </w:rPr>
        <w:t>3.2.3 Maternal Mortality Ratio: Kerala’s Success in Protecting Maternal Health</w:t>
      </w:r>
    </w:p>
    <w:p w:rsidR="00275464" w:rsidRPr="006D70DF" w:rsidRDefault="00275464" w:rsidP="00275464">
      <w:pPr>
        <w:jc w:val="both"/>
      </w:pPr>
      <w:r>
        <w:t xml:space="preserve">Maternal Mortality Ratio is </w:t>
      </w:r>
      <w:r w:rsidRPr="00844DEE">
        <w:t>the number of maternal deaths during a given time period per 100,000 live births during the same</w:t>
      </w:r>
      <w:r>
        <w:t xml:space="preserve"> period.  </w:t>
      </w:r>
      <w:r w:rsidRPr="006D70DF">
        <w:t>According to this latest bulletin, Kerala’s MMR, which was the lowest in the country at 30 in 2017-19, dropped by another 11 points in 2018-20 to 19, significantly lower than the national average of 97</w:t>
      </w:r>
    </w:p>
    <w:p w:rsidR="00275464" w:rsidRDefault="00275464" w:rsidP="00275464">
      <w:r>
        <w:rPr>
          <w:noProof/>
          <w:lang w:eastAsia="en-IN" w:bidi="ml-IN"/>
        </w:rPr>
        <w:drawing>
          <wp:inline distT="0" distB="0" distL="0" distR="0" wp14:anchorId="7D660C0E" wp14:editId="4EE97EA7">
            <wp:extent cx="6174740" cy="2303362"/>
            <wp:effectExtent l="0" t="0" r="0" b="0"/>
            <wp:docPr id="36118009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75464" w:rsidRDefault="00275464" w:rsidP="00275464"/>
    <w:p w:rsidR="00275464" w:rsidRDefault="00275464" w:rsidP="00275464">
      <w:r w:rsidRPr="0051302D">
        <w:rPr>
          <w:highlight w:val="darkGray"/>
        </w:rPr>
        <w:t>3.2.4 Sex Ratio at Birth:  Kerala Leads with the Highest Ratio</w:t>
      </w:r>
    </w:p>
    <w:p w:rsidR="00275464" w:rsidRDefault="00275464" w:rsidP="00275464">
      <w:pPr>
        <w:rPr>
          <w:sz w:val="23"/>
          <w:szCs w:val="23"/>
        </w:rPr>
      </w:pPr>
      <w:r w:rsidRPr="00A701B8">
        <w:rPr>
          <w:sz w:val="23"/>
          <w:szCs w:val="23"/>
        </w:rPr>
        <w:t>The Sex ratio at birth is defined as the number of female births per 1000 male birth.</w:t>
      </w:r>
      <w:r>
        <w:rPr>
          <w:sz w:val="23"/>
          <w:szCs w:val="23"/>
        </w:rPr>
        <w:t xml:space="preserve">  </w:t>
      </w:r>
      <w:r w:rsidRPr="00A701B8">
        <w:rPr>
          <w:sz w:val="23"/>
          <w:szCs w:val="23"/>
        </w:rPr>
        <w:t>Kerala stands out with the highest SRB in the country at 974, reflecting the state's commitment to gender equality and balanced sex ratios.</w:t>
      </w:r>
    </w:p>
    <w:p w:rsidR="00275464" w:rsidRPr="00715630" w:rsidRDefault="00275464" w:rsidP="00275464">
      <w:pPr>
        <w:rPr>
          <w:lang w:val="en-US"/>
        </w:rPr>
      </w:pPr>
      <w:r>
        <w:rPr>
          <w:noProof/>
          <w:lang w:eastAsia="en-IN" w:bidi="ml-IN"/>
        </w:rPr>
        <w:lastRenderedPageBreak/>
        <w:drawing>
          <wp:inline distT="0" distB="0" distL="0" distR="0" wp14:anchorId="6EACB963" wp14:editId="7350FA4E">
            <wp:extent cx="5988050" cy="1758950"/>
            <wp:effectExtent l="0" t="0" r="0" b="0"/>
            <wp:docPr id="209885256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715630">
        <w:rPr>
          <w:lang w:val="en-US"/>
        </w:rPr>
        <w:t xml:space="preserve"> </w:t>
      </w:r>
    </w:p>
    <w:p w:rsidR="00275464" w:rsidRDefault="00275464" w:rsidP="00275464">
      <w:pPr>
        <w:jc w:val="both"/>
        <w:rPr>
          <w:sz w:val="28"/>
          <w:szCs w:val="28"/>
        </w:rPr>
      </w:pPr>
    </w:p>
    <w:p w:rsidR="00275464" w:rsidRDefault="00275464" w:rsidP="00275464">
      <w:r w:rsidRPr="0051302D">
        <w:rPr>
          <w:highlight w:val="darkGray"/>
        </w:rPr>
        <w:t>3.2.5 Life Expectancy at Birth:  Leading the Way in Equal Life Expectancy for Urban and Rural</w:t>
      </w:r>
      <w:r w:rsidRPr="00EB32D8">
        <w:t xml:space="preserve"> </w:t>
      </w:r>
      <w:r w:rsidRPr="0051302D">
        <w:rPr>
          <w:highlight w:val="darkGray"/>
        </w:rPr>
        <w:t>Populations</w:t>
      </w:r>
    </w:p>
    <w:p w:rsidR="00275464" w:rsidRDefault="00275464" w:rsidP="00275464"/>
    <w:p w:rsidR="00275464" w:rsidRDefault="00275464" w:rsidP="00275464">
      <w:pPr>
        <w:jc w:val="both"/>
      </w:pPr>
      <w:r w:rsidRPr="00EB32D8">
        <w:t xml:space="preserve">The expectation of life at birth in India, according to the SRS Abridged Life Table 2016-20, is 70 years. Delhi has the highest life expectancy at 75.8 years, followed by Kerala at 75 years. Delhi records the highest life expectancy at birth for males (74.1 years), and Kerala holds the top spot for females (78.0 years). </w:t>
      </w:r>
      <w:r w:rsidRPr="00A15089">
        <w:t>Kerala has recorded the highest life expectancy at birth for males and females in rural areas; whereas Jammu &amp; Kashmir has recorded the highest for males in urban areas and Himachal Pradesh has recorded the highest life expectancy for females in urban areas.</w:t>
      </w:r>
      <w:r>
        <w:t xml:space="preserve">  </w:t>
      </w:r>
      <w:r w:rsidRPr="00EB32D8">
        <w:t>Generally, most states show a higher life expectancy in urban areas than rural ones, with Kerala being an exception. While the national difference in urban-rural life expectancy is about 4.6 years, Kerala’s difference is minimal—only 0.5 years (rural: 75.2, urban: 74.7).</w:t>
      </w:r>
    </w:p>
    <w:p w:rsidR="00275464" w:rsidRDefault="00275464" w:rsidP="00275464">
      <w:pPr>
        <w:jc w:val="both"/>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p>
    <w:p w:rsidR="00E030C0" w:rsidRDefault="00E030C0" w:rsidP="00275464">
      <w:pPr>
        <w:rPr>
          <w:b/>
          <w:bCs/>
          <w:sz w:val="28"/>
          <w:szCs w:val="28"/>
          <w:highlight w:val="green"/>
          <w:u w:val="single"/>
        </w:rPr>
      </w:pPr>
      <w:bookmarkStart w:id="0" w:name="_GoBack"/>
      <w:bookmarkEnd w:id="0"/>
    </w:p>
    <w:sectPr w:rsidR="00E0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F3"/>
    <w:rsid w:val="00060C48"/>
    <w:rsid w:val="00275464"/>
    <w:rsid w:val="00561C12"/>
    <w:rsid w:val="006D16F3"/>
    <w:rsid w:val="00AC56AB"/>
    <w:rsid w:val="00E030C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6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AC56AB"/>
    <w:pPr>
      <w:spacing w:after="0" w:line="240" w:lineRule="auto"/>
    </w:pPr>
    <w:rPr>
      <w:kern w:val="2"/>
      <w14:ligatures w14:val="standardContextual"/>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MediumShading1-Accent6">
    <w:name w:val="Medium Shading 1 Accent 6"/>
    <w:basedOn w:val="TableNormal"/>
    <w:uiPriority w:val="63"/>
    <w:rsid w:val="00AC56AB"/>
    <w:pPr>
      <w:spacing w:after="0" w:line="240" w:lineRule="auto"/>
    </w:pPr>
    <w:rPr>
      <w:lang w:val="en-US" w:bidi="ml-IN"/>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cPr>
      <w:shd w:val="clear" w:color="auto" w:fill="E5B8B7" w:themeFill="accent2" w:themeFillTint="66"/>
    </w:tc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Default">
    <w:name w:val="Default"/>
    <w:rsid w:val="00275464"/>
    <w:pPr>
      <w:autoSpaceDE w:val="0"/>
      <w:autoSpaceDN w:val="0"/>
      <w:adjustRightInd w:val="0"/>
      <w:spacing w:after="0" w:line="240" w:lineRule="auto"/>
    </w:pPr>
    <w:rPr>
      <w:rFonts w:ascii="Calibri" w:hAnsi="Calibri" w:cs="Calibri"/>
      <w:color w:val="000000"/>
      <w:sz w:val="24"/>
      <w:szCs w:val="24"/>
      <w14:ligatures w14:val="standardContextual"/>
    </w:rPr>
  </w:style>
  <w:style w:type="paragraph" w:styleId="ListParagraph">
    <w:name w:val="List Paragraph"/>
    <w:basedOn w:val="Normal"/>
    <w:uiPriority w:val="34"/>
    <w:qFormat/>
    <w:rsid w:val="00275464"/>
    <w:pPr>
      <w:ind w:left="720"/>
      <w:contextualSpacing/>
    </w:pPr>
  </w:style>
  <w:style w:type="table" w:customStyle="1" w:styleId="GridTable1LightAccent1">
    <w:name w:val="Grid Table 1 Light Accent 1"/>
    <w:basedOn w:val="TableNormal"/>
    <w:uiPriority w:val="46"/>
    <w:rsid w:val="00275464"/>
    <w:pPr>
      <w:spacing w:after="0" w:line="240" w:lineRule="auto"/>
    </w:pPr>
    <w:rPr>
      <w:kern w:val="2"/>
      <w14:ligatures w14:val="standardContextua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75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64"/>
    <w:rPr>
      <w:rFonts w:ascii="Tahoma" w:hAnsi="Tahoma" w:cs="Tahoma"/>
      <w:kern w:val="2"/>
      <w:sz w:val="16"/>
      <w:szCs w:val="16"/>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464"/>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AC56AB"/>
    <w:pPr>
      <w:spacing w:after="0" w:line="240" w:lineRule="auto"/>
    </w:pPr>
    <w:rPr>
      <w:kern w:val="2"/>
      <w14:ligatures w14:val="standardContextual"/>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MediumShading1-Accent6">
    <w:name w:val="Medium Shading 1 Accent 6"/>
    <w:basedOn w:val="TableNormal"/>
    <w:uiPriority w:val="63"/>
    <w:rsid w:val="00AC56AB"/>
    <w:pPr>
      <w:spacing w:after="0" w:line="240" w:lineRule="auto"/>
    </w:pPr>
    <w:rPr>
      <w:lang w:val="en-US" w:bidi="ml-IN"/>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cPr>
      <w:shd w:val="clear" w:color="auto" w:fill="E5B8B7" w:themeFill="accent2" w:themeFillTint="66"/>
    </w:tc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Default">
    <w:name w:val="Default"/>
    <w:rsid w:val="00275464"/>
    <w:pPr>
      <w:autoSpaceDE w:val="0"/>
      <w:autoSpaceDN w:val="0"/>
      <w:adjustRightInd w:val="0"/>
      <w:spacing w:after="0" w:line="240" w:lineRule="auto"/>
    </w:pPr>
    <w:rPr>
      <w:rFonts w:ascii="Calibri" w:hAnsi="Calibri" w:cs="Calibri"/>
      <w:color w:val="000000"/>
      <w:sz w:val="24"/>
      <w:szCs w:val="24"/>
      <w14:ligatures w14:val="standardContextual"/>
    </w:rPr>
  </w:style>
  <w:style w:type="paragraph" w:styleId="ListParagraph">
    <w:name w:val="List Paragraph"/>
    <w:basedOn w:val="Normal"/>
    <w:uiPriority w:val="34"/>
    <w:qFormat/>
    <w:rsid w:val="00275464"/>
    <w:pPr>
      <w:ind w:left="720"/>
      <w:contextualSpacing/>
    </w:pPr>
  </w:style>
  <w:style w:type="table" w:customStyle="1" w:styleId="GridTable1LightAccent1">
    <w:name w:val="Grid Table 1 Light Accent 1"/>
    <w:basedOn w:val="TableNormal"/>
    <w:uiPriority w:val="46"/>
    <w:rsid w:val="00275464"/>
    <w:pPr>
      <w:spacing w:after="0" w:line="240" w:lineRule="auto"/>
    </w:pPr>
    <w:rPr>
      <w:kern w:val="2"/>
      <w14:ligatures w14:val="standardContextua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275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464"/>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Time%20series%20data\Time%20series%20indicators\Mortality%20Rate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ime%20series%20data\Time%20series%20indicators\Mortality%20Rate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Fact%20Sheet\Secretary\Mortality%20Rate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ime%20series%20data\Time%20series%20indicators\Mortality%20Rate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3.0555555555555555E-2"/>
          <c:y val="5.0925925925925923E-2"/>
          <c:w val="0.93888888888888888"/>
          <c:h val="0.72377918220748738"/>
        </c:manualLayout>
      </c:layout>
      <c:lineChart>
        <c:grouping val="standard"/>
        <c:varyColors val="0"/>
        <c:ser>
          <c:idx val="0"/>
          <c:order val="0"/>
          <c:tx>
            <c:strRef>
              <c:f>'SRS Graph'!$B$84</c:f>
              <c:strCache>
                <c:ptCount val="1"/>
                <c:pt idx="0">
                  <c:v>Kerala</c:v>
                </c:pt>
              </c:strCache>
            </c:strRef>
          </c:tx>
          <c:spPr>
            <a:ln w="28575" cap="rnd">
              <a:solidFill>
                <a:schemeClr val="accent5">
                  <a:shade val="76000"/>
                </a:schemeClr>
              </a:solidFill>
              <a:round/>
            </a:ln>
            <a:effectLst/>
          </c:spPr>
          <c:marker>
            <c:symbol val="circle"/>
            <c:size val="5"/>
            <c:spPr>
              <a:solidFill>
                <a:schemeClr val="accent5">
                  <a:shade val="76000"/>
                </a:schemeClr>
              </a:solidFill>
              <a:ln w="9525">
                <a:solidFill>
                  <a:schemeClr val="accent5">
                    <a:shade val="76000"/>
                  </a:schemeClr>
                </a:solidFill>
              </a:ln>
              <a:effectLst/>
            </c:spPr>
          </c:marker>
          <c:dLbls>
            <c:dLbl>
              <c:idx val="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65E-49A1-95E7-78AECEE42CF0}"/>
                </c:ext>
              </c:extLst>
            </c:dLbl>
            <c:dLbl>
              <c:idx val="7"/>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65E-49A1-95E7-78AECEE42CF0}"/>
                </c:ext>
              </c:extLst>
            </c:dLbl>
            <c:dLbl>
              <c:idx val="14"/>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B65E-49A1-95E7-78AECEE42CF0}"/>
                </c:ext>
              </c:extLst>
            </c:dLbl>
            <c:dLbl>
              <c:idx val="17"/>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rgbClr val="FF0000"/>
                      </a:solidFill>
                      <a:latin typeface="+mn-lt"/>
                      <a:ea typeface="+mn-ea"/>
                      <a:cs typeface="+mn-cs"/>
                    </a:defRPr>
                  </a:pPr>
                  <a:endParaRPr lang="en-US"/>
                </a:p>
              </c:txPr>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B65E-49A1-95E7-78AECEE42CF0}"/>
                </c:ext>
              </c:extLst>
            </c:dLbl>
            <c:dLbl>
              <c:idx val="21"/>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B65E-49A1-95E7-78AECEE42CF0}"/>
                </c:ext>
              </c:extLst>
            </c:dLbl>
            <c:dLbl>
              <c:idx val="28"/>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B65E-49A1-95E7-78AECEE42CF0}"/>
                </c:ext>
              </c:extLst>
            </c:dLbl>
            <c:dLbl>
              <c:idx val="35"/>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B65E-49A1-95E7-78AECEE42CF0}"/>
                </c:ext>
              </c:extLst>
            </c:dLbl>
            <c:dLbl>
              <c:idx val="42"/>
              <c:dLblPos val="b"/>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B65E-49A1-95E7-78AECEE42CF0}"/>
                </c:ext>
              </c:extLst>
            </c:dLbl>
            <c:dLbl>
              <c:idx val="48"/>
              <c:layout>
                <c:manualLayout>
                  <c:x val="-4.0942654445422048E-2"/>
                  <c:y val="9.1319588340930929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B65E-49A1-95E7-78AECEE42CF0}"/>
                </c:ext>
              </c:extLst>
            </c:dLbl>
            <c:dLbl>
              <c:idx val="49"/>
              <c:layout>
                <c:manualLayout>
                  <c:x val="-6.073922513575478E-3"/>
                  <c:y val="7.6699705299995397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B65E-49A1-95E7-78AECEE42CF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'SRS Graph'!$A$85:$A$134</c:f>
              <c:numCache>
                <c:formatCode>General</c:formatCode>
                <c:ptCount val="50"/>
                <c:pt idx="0">
                  <c:v>1971</c:v>
                </c:pt>
                <c:pt idx="1">
                  <c:v>1972</c:v>
                </c:pt>
                <c:pt idx="2">
                  <c:v>1973</c:v>
                </c:pt>
                <c:pt idx="3">
                  <c:v>1974</c:v>
                </c:pt>
                <c:pt idx="4">
                  <c:v>1975</c:v>
                </c:pt>
                <c:pt idx="5">
                  <c:v>1976</c:v>
                </c:pt>
                <c:pt idx="6">
                  <c:v>1977</c:v>
                </c:pt>
                <c:pt idx="7">
                  <c:v>1978</c:v>
                </c:pt>
                <c:pt idx="8">
                  <c:v>1979</c:v>
                </c:pt>
                <c:pt idx="9">
                  <c:v>1980</c:v>
                </c:pt>
                <c:pt idx="10">
                  <c:v>1981</c:v>
                </c:pt>
                <c:pt idx="11">
                  <c:v>1982</c:v>
                </c:pt>
                <c:pt idx="12">
                  <c:v>1983</c:v>
                </c:pt>
                <c:pt idx="13">
                  <c:v>1984</c:v>
                </c:pt>
                <c:pt idx="14">
                  <c:v>1985</c:v>
                </c:pt>
                <c:pt idx="15">
                  <c:v>1986</c:v>
                </c:pt>
                <c:pt idx="16">
                  <c:v>1987</c:v>
                </c:pt>
                <c:pt idx="17">
                  <c:v>1988</c:v>
                </c:pt>
                <c:pt idx="18">
                  <c:v>1989</c:v>
                </c:pt>
                <c:pt idx="19">
                  <c:v>1990</c:v>
                </c:pt>
                <c:pt idx="20">
                  <c:v>1991</c:v>
                </c:pt>
                <c:pt idx="21">
                  <c:v>1992</c:v>
                </c:pt>
                <c:pt idx="22">
                  <c:v>1993</c:v>
                </c:pt>
                <c:pt idx="23">
                  <c:v>1994</c:v>
                </c:pt>
                <c:pt idx="24">
                  <c:v>1995</c:v>
                </c:pt>
                <c:pt idx="25">
                  <c:v>1996</c:v>
                </c:pt>
                <c:pt idx="26">
                  <c:v>1997</c:v>
                </c:pt>
                <c:pt idx="27">
                  <c:v>1998</c:v>
                </c:pt>
                <c:pt idx="28">
                  <c:v>1999</c:v>
                </c:pt>
                <c:pt idx="29">
                  <c:v>2000</c:v>
                </c:pt>
                <c:pt idx="30">
                  <c:v>2001</c:v>
                </c:pt>
                <c:pt idx="31">
                  <c:v>2002</c:v>
                </c:pt>
                <c:pt idx="32">
                  <c:v>2003</c:v>
                </c:pt>
                <c:pt idx="33">
                  <c:v>2004</c:v>
                </c:pt>
                <c:pt idx="34">
                  <c:v>2005</c:v>
                </c:pt>
                <c:pt idx="35">
                  <c:v>2006</c:v>
                </c:pt>
                <c:pt idx="36">
                  <c:v>2007</c:v>
                </c:pt>
                <c:pt idx="37">
                  <c:v>2008</c:v>
                </c:pt>
                <c:pt idx="38">
                  <c:v>2009</c:v>
                </c:pt>
                <c:pt idx="39">
                  <c:v>2010</c:v>
                </c:pt>
                <c:pt idx="40">
                  <c:v>2011</c:v>
                </c:pt>
                <c:pt idx="41">
                  <c:v>2012</c:v>
                </c:pt>
                <c:pt idx="42">
                  <c:v>2013</c:v>
                </c:pt>
                <c:pt idx="43">
                  <c:v>2014</c:v>
                </c:pt>
                <c:pt idx="44">
                  <c:v>2015</c:v>
                </c:pt>
                <c:pt idx="45">
                  <c:v>2016</c:v>
                </c:pt>
                <c:pt idx="46">
                  <c:v>2017</c:v>
                </c:pt>
                <c:pt idx="47">
                  <c:v>2018</c:v>
                </c:pt>
                <c:pt idx="48">
                  <c:v>2019</c:v>
                </c:pt>
                <c:pt idx="49">
                  <c:v>2020</c:v>
                </c:pt>
              </c:numCache>
            </c:numRef>
          </c:cat>
          <c:val>
            <c:numRef>
              <c:f>'SRS Graph'!$B$85:$B$134</c:f>
              <c:numCache>
                <c:formatCode>General</c:formatCode>
                <c:ptCount val="50"/>
                <c:pt idx="0">
                  <c:v>4.0999999999999996</c:v>
                </c:pt>
                <c:pt idx="1">
                  <c:v>4.0999999999999996</c:v>
                </c:pt>
                <c:pt idx="2">
                  <c:v>3.8</c:v>
                </c:pt>
                <c:pt idx="3">
                  <c:v>3.3</c:v>
                </c:pt>
                <c:pt idx="4">
                  <c:v>3.4</c:v>
                </c:pt>
                <c:pt idx="5">
                  <c:v>3.4</c:v>
                </c:pt>
                <c:pt idx="6">
                  <c:v>3</c:v>
                </c:pt>
                <c:pt idx="7">
                  <c:v>2.9</c:v>
                </c:pt>
                <c:pt idx="8">
                  <c:v>3</c:v>
                </c:pt>
                <c:pt idx="9">
                  <c:v>3</c:v>
                </c:pt>
                <c:pt idx="10">
                  <c:v>2.8</c:v>
                </c:pt>
                <c:pt idx="11">
                  <c:v>2.9</c:v>
                </c:pt>
                <c:pt idx="12">
                  <c:v>2.6</c:v>
                </c:pt>
                <c:pt idx="13">
                  <c:v>2.4</c:v>
                </c:pt>
                <c:pt idx="14">
                  <c:v>2.4</c:v>
                </c:pt>
                <c:pt idx="15">
                  <c:v>2.2999999999999998</c:v>
                </c:pt>
                <c:pt idx="16">
                  <c:v>2.2000000000000002</c:v>
                </c:pt>
                <c:pt idx="17">
                  <c:v>2</c:v>
                </c:pt>
                <c:pt idx="18">
                  <c:v>2</c:v>
                </c:pt>
                <c:pt idx="19">
                  <c:v>1.9</c:v>
                </c:pt>
                <c:pt idx="20">
                  <c:v>1.8</c:v>
                </c:pt>
                <c:pt idx="21">
                  <c:v>1.7</c:v>
                </c:pt>
                <c:pt idx="22">
                  <c:v>1.7</c:v>
                </c:pt>
                <c:pt idx="23">
                  <c:v>1.7</c:v>
                </c:pt>
                <c:pt idx="24">
                  <c:v>1.8</c:v>
                </c:pt>
                <c:pt idx="25">
                  <c:v>1.8</c:v>
                </c:pt>
                <c:pt idx="26">
                  <c:v>1.8</c:v>
                </c:pt>
                <c:pt idx="27">
                  <c:v>1.8</c:v>
                </c:pt>
                <c:pt idx="28">
                  <c:v>1.8</c:v>
                </c:pt>
                <c:pt idx="29">
                  <c:v>1.9</c:v>
                </c:pt>
                <c:pt idx="30">
                  <c:v>1.8</c:v>
                </c:pt>
                <c:pt idx="31">
                  <c:v>1.8</c:v>
                </c:pt>
                <c:pt idx="32">
                  <c:v>1.8</c:v>
                </c:pt>
                <c:pt idx="33">
                  <c:v>1.7</c:v>
                </c:pt>
                <c:pt idx="34">
                  <c:v>1.7</c:v>
                </c:pt>
                <c:pt idx="35">
                  <c:v>1.7</c:v>
                </c:pt>
                <c:pt idx="36">
                  <c:v>1.7</c:v>
                </c:pt>
                <c:pt idx="37">
                  <c:v>1.7</c:v>
                </c:pt>
                <c:pt idx="38">
                  <c:v>1.7</c:v>
                </c:pt>
                <c:pt idx="39">
                  <c:v>1.8</c:v>
                </c:pt>
                <c:pt idx="40">
                  <c:v>1.8</c:v>
                </c:pt>
                <c:pt idx="41">
                  <c:v>1.8</c:v>
                </c:pt>
                <c:pt idx="42">
                  <c:v>1.8</c:v>
                </c:pt>
                <c:pt idx="43">
                  <c:v>1.9</c:v>
                </c:pt>
                <c:pt idx="44">
                  <c:v>1.8</c:v>
                </c:pt>
                <c:pt idx="45">
                  <c:v>1.8</c:v>
                </c:pt>
                <c:pt idx="46">
                  <c:v>1.7</c:v>
                </c:pt>
                <c:pt idx="47">
                  <c:v>1.7</c:v>
                </c:pt>
                <c:pt idx="48">
                  <c:v>1.6</c:v>
                </c:pt>
                <c:pt idx="49">
                  <c:v>1.5</c:v>
                </c:pt>
              </c:numCache>
            </c:numRef>
          </c:val>
          <c:smooth val="0"/>
          <c:extLst xmlns:c16r2="http://schemas.microsoft.com/office/drawing/2015/06/chart">
            <c:ext xmlns:c16="http://schemas.microsoft.com/office/drawing/2014/chart" uri="{C3380CC4-5D6E-409C-BE32-E72D297353CC}">
              <c16:uniqueId val="{0000000A-B65E-49A1-95E7-78AECEE42CF0}"/>
            </c:ext>
          </c:extLst>
        </c:ser>
        <c:ser>
          <c:idx val="1"/>
          <c:order val="1"/>
          <c:tx>
            <c:strRef>
              <c:f>'SRS Graph'!$C$84</c:f>
              <c:strCache>
                <c:ptCount val="1"/>
                <c:pt idx="0">
                  <c:v>All India</c:v>
                </c:pt>
              </c:strCache>
            </c:strRef>
          </c:tx>
          <c:spPr>
            <a:ln w="28575" cap="rnd">
              <a:solidFill>
                <a:schemeClr val="accent5">
                  <a:tint val="77000"/>
                </a:schemeClr>
              </a:solidFill>
              <a:round/>
            </a:ln>
            <a:effectLst/>
          </c:spPr>
          <c:marker>
            <c:symbol val="circle"/>
            <c:size val="5"/>
            <c:spPr>
              <a:solidFill>
                <a:schemeClr val="accent5">
                  <a:tint val="77000"/>
                </a:schemeClr>
              </a:solidFill>
              <a:ln w="9525">
                <a:solidFill>
                  <a:schemeClr val="accent5">
                    <a:tint val="77000"/>
                  </a:schemeClr>
                </a:solidFill>
              </a:ln>
              <a:effectLst/>
            </c:spPr>
          </c:marker>
          <c:dLbls>
            <c:dLbl>
              <c:idx val="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B65E-49A1-95E7-78AECEE42CF0}"/>
                </c:ext>
              </c:extLst>
            </c:dLbl>
            <c:dLbl>
              <c:idx val="7"/>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B65E-49A1-95E7-78AECEE42CF0}"/>
                </c:ext>
              </c:extLst>
            </c:dLbl>
            <c:dLbl>
              <c:idx val="14"/>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B65E-49A1-95E7-78AECEE42CF0}"/>
                </c:ext>
              </c:extLst>
            </c:dLbl>
            <c:dLbl>
              <c:idx val="17"/>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rgbClr val="FF0000"/>
                      </a:solidFill>
                      <a:latin typeface="+mn-lt"/>
                      <a:ea typeface="+mn-ea"/>
                      <a:cs typeface="+mn-cs"/>
                    </a:defRPr>
                  </a:pPr>
                  <a:endParaRPr lang="en-US"/>
                </a:p>
              </c:txPr>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B65E-49A1-95E7-78AECEE42CF0}"/>
                </c:ext>
              </c:extLst>
            </c:dLbl>
            <c:dLbl>
              <c:idx val="21"/>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B65E-49A1-95E7-78AECEE42CF0}"/>
                </c:ext>
              </c:extLst>
            </c:dLbl>
            <c:dLbl>
              <c:idx val="28"/>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0-B65E-49A1-95E7-78AECEE42CF0}"/>
                </c:ext>
              </c:extLst>
            </c:dLbl>
            <c:dLbl>
              <c:idx val="35"/>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B65E-49A1-95E7-78AECEE42CF0}"/>
                </c:ext>
              </c:extLst>
            </c:dLbl>
            <c:dLbl>
              <c:idx val="42"/>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2-B65E-49A1-95E7-78AECEE42CF0}"/>
                </c:ext>
              </c:extLst>
            </c:dLbl>
            <c:dLbl>
              <c:idx val="48"/>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3-B65E-49A1-95E7-78AECEE42CF0}"/>
                </c:ext>
              </c:extLst>
            </c:dLbl>
            <c:dLbl>
              <c:idx val="49"/>
              <c:layout>
                <c:manualLayout>
                  <c:x val="-3.5966861992321681E-3"/>
                  <c:y val="-5.4769880738591889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4-B65E-49A1-95E7-78AECEE42CF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'SRS Graph'!$A$85:$A$134</c:f>
              <c:numCache>
                <c:formatCode>General</c:formatCode>
                <c:ptCount val="50"/>
                <c:pt idx="0">
                  <c:v>1971</c:v>
                </c:pt>
                <c:pt idx="1">
                  <c:v>1972</c:v>
                </c:pt>
                <c:pt idx="2">
                  <c:v>1973</c:v>
                </c:pt>
                <c:pt idx="3">
                  <c:v>1974</c:v>
                </c:pt>
                <c:pt idx="4">
                  <c:v>1975</c:v>
                </c:pt>
                <c:pt idx="5">
                  <c:v>1976</c:v>
                </c:pt>
                <c:pt idx="6">
                  <c:v>1977</c:v>
                </c:pt>
                <c:pt idx="7">
                  <c:v>1978</c:v>
                </c:pt>
                <c:pt idx="8">
                  <c:v>1979</c:v>
                </c:pt>
                <c:pt idx="9">
                  <c:v>1980</c:v>
                </c:pt>
                <c:pt idx="10">
                  <c:v>1981</c:v>
                </c:pt>
                <c:pt idx="11">
                  <c:v>1982</c:v>
                </c:pt>
                <c:pt idx="12">
                  <c:v>1983</c:v>
                </c:pt>
                <c:pt idx="13">
                  <c:v>1984</c:v>
                </c:pt>
                <c:pt idx="14">
                  <c:v>1985</c:v>
                </c:pt>
                <c:pt idx="15">
                  <c:v>1986</c:v>
                </c:pt>
                <c:pt idx="16">
                  <c:v>1987</c:v>
                </c:pt>
                <c:pt idx="17">
                  <c:v>1988</c:v>
                </c:pt>
                <c:pt idx="18">
                  <c:v>1989</c:v>
                </c:pt>
                <c:pt idx="19">
                  <c:v>1990</c:v>
                </c:pt>
                <c:pt idx="20">
                  <c:v>1991</c:v>
                </c:pt>
                <c:pt idx="21">
                  <c:v>1992</c:v>
                </c:pt>
                <c:pt idx="22">
                  <c:v>1993</c:v>
                </c:pt>
                <c:pt idx="23">
                  <c:v>1994</c:v>
                </c:pt>
                <c:pt idx="24">
                  <c:v>1995</c:v>
                </c:pt>
                <c:pt idx="25">
                  <c:v>1996</c:v>
                </c:pt>
                <c:pt idx="26">
                  <c:v>1997</c:v>
                </c:pt>
                <c:pt idx="27">
                  <c:v>1998</c:v>
                </c:pt>
                <c:pt idx="28">
                  <c:v>1999</c:v>
                </c:pt>
                <c:pt idx="29">
                  <c:v>2000</c:v>
                </c:pt>
                <c:pt idx="30">
                  <c:v>2001</c:v>
                </c:pt>
                <c:pt idx="31">
                  <c:v>2002</c:v>
                </c:pt>
                <c:pt idx="32">
                  <c:v>2003</c:v>
                </c:pt>
                <c:pt idx="33">
                  <c:v>2004</c:v>
                </c:pt>
                <c:pt idx="34">
                  <c:v>2005</c:v>
                </c:pt>
                <c:pt idx="35">
                  <c:v>2006</c:v>
                </c:pt>
                <c:pt idx="36">
                  <c:v>2007</c:v>
                </c:pt>
                <c:pt idx="37">
                  <c:v>2008</c:v>
                </c:pt>
                <c:pt idx="38">
                  <c:v>2009</c:v>
                </c:pt>
                <c:pt idx="39">
                  <c:v>2010</c:v>
                </c:pt>
                <c:pt idx="40">
                  <c:v>2011</c:v>
                </c:pt>
                <c:pt idx="41">
                  <c:v>2012</c:v>
                </c:pt>
                <c:pt idx="42">
                  <c:v>2013</c:v>
                </c:pt>
                <c:pt idx="43">
                  <c:v>2014</c:v>
                </c:pt>
                <c:pt idx="44">
                  <c:v>2015</c:v>
                </c:pt>
                <c:pt idx="45">
                  <c:v>2016</c:v>
                </c:pt>
                <c:pt idx="46">
                  <c:v>2017</c:v>
                </c:pt>
                <c:pt idx="47">
                  <c:v>2018</c:v>
                </c:pt>
                <c:pt idx="48">
                  <c:v>2019</c:v>
                </c:pt>
                <c:pt idx="49">
                  <c:v>2020</c:v>
                </c:pt>
              </c:numCache>
            </c:numRef>
          </c:cat>
          <c:val>
            <c:numRef>
              <c:f>'SRS Graph'!$C$85:$C$134</c:f>
              <c:numCache>
                <c:formatCode>General</c:formatCode>
                <c:ptCount val="50"/>
                <c:pt idx="0">
                  <c:v>5.2</c:v>
                </c:pt>
                <c:pt idx="1">
                  <c:v>5.2</c:v>
                </c:pt>
                <c:pt idx="2">
                  <c:v>4.9000000000000004</c:v>
                </c:pt>
                <c:pt idx="3">
                  <c:v>4.9000000000000004</c:v>
                </c:pt>
                <c:pt idx="4">
                  <c:v>4.9000000000000004</c:v>
                </c:pt>
                <c:pt idx="5">
                  <c:v>4.7</c:v>
                </c:pt>
                <c:pt idx="6">
                  <c:v>4.5</c:v>
                </c:pt>
                <c:pt idx="7">
                  <c:v>4.5</c:v>
                </c:pt>
                <c:pt idx="8">
                  <c:v>4.4000000000000004</c:v>
                </c:pt>
                <c:pt idx="9">
                  <c:v>4.4000000000000004</c:v>
                </c:pt>
                <c:pt idx="10">
                  <c:v>4.5</c:v>
                </c:pt>
                <c:pt idx="11">
                  <c:v>4.5</c:v>
                </c:pt>
                <c:pt idx="12">
                  <c:v>4.5</c:v>
                </c:pt>
                <c:pt idx="13">
                  <c:v>4.5</c:v>
                </c:pt>
                <c:pt idx="14">
                  <c:v>4.3</c:v>
                </c:pt>
                <c:pt idx="15">
                  <c:v>4.2</c:v>
                </c:pt>
                <c:pt idx="16">
                  <c:v>4.0999999999999996</c:v>
                </c:pt>
                <c:pt idx="17">
                  <c:v>4</c:v>
                </c:pt>
                <c:pt idx="18">
                  <c:v>3.9</c:v>
                </c:pt>
                <c:pt idx="19">
                  <c:v>3.8</c:v>
                </c:pt>
                <c:pt idx="20">
                  <c:v>3.6</c:v>
                </c:pt>
                <c:pt idx="21">
                  <c:v>3.6</c:v>
                </c:pt>
                <c:pt idx="22">
                  <c:v>3.5</c:v>
                </c:pt>
                <c:pt idx="23">
                  <c:v>3.5</c:v>
                </c:pt>
                <c:pt idx="24">
                  <c:v>3.5</c:v>
                </c:pt>
                <c:pt idx="25">
                  <c:v>3.4</c:v>
                </c:pt>
                <c:pt idx="26">
                  <c:v>3.32</c:v>
                </c:pt>
                <c:pt idx="27">
                  <c:v>3.25</c:v>
                </c:pt>
                <c:pt idx="28">
                  <c:v>3.19</c:v>
                </c:pt>
                <c:pt idx="29">
                  <c:v>3.19</c:v>
                </c:pt>
                <c:pt idx="30">
                  <c:v>3.1</c:v>
                </c:pt>
                <c:pt idx="31">
                  <c:v>3.01</c:v>
                </c:pt>
                <c:pt idx="32">
                  <c:v>2.96</c:v>
                </c:pt>
                <c:pt idx="33">
                  <c:v>2.9</c:v>
                </c:pt>
                <c:pt idx="34">
                  <c:v>2.9</c:v>
                </c:pt>
                <c:pt idx="35">
                  <c:v>2.79</c:v>
                </c:pt>
                <c:pt idx="36">
                  <c:v>2.68</c:v>
                </c:pt>
                <c:pt idx="37">
                  <c:v>2.6</c:v>
                </c:pt>
                <c:pt idx="38">
                  <c:v>2.6</c:v>
                </c:pt>
                <c:pt idx="39">
                  <c:v>2.5</c:v>
                </c:pt>
                <c:pt idx="40">
                  <c:v>2.4</c:v>
                </c:pt>
                <c:pt idx="41">
                  <c:v>2.4</c:v>
                </c:pt>
                <c:pt idx="42">
                  <c:v>2.2999999999999998</c:v>
                </c:pt>
                <c:pt idx="43">
                  <c:v>2.2999999999999998</c:v>
                </c:pt>
                <c:pt idx="44">
                  <c:v>2.2999999999999998</c:v>
                </c:pt>
                <c:pt idx="45">
                  <c:v>2.2999999999999998</c:v>
                </c:pt>
                <c:pt idx="46">
                  <c:v>2.2000000000000002</c:v>
                </c:pt>
                <c:pt idx="47">
                  <c:v>2.2000000000000002</c:v>
                </c:pt>
                <c:pt idx="48">
                  <c:v>2.1</c:v>
                </c:pt>
                <c:pt idx="49">
                  <c:v>2</c:v>
                </c:pt>
              </c:numCache>
            </c:numRef>
          </c:val>
          <c:smooth val="0"/>
          <c:extLst xmlns:c16r2="http://schemas.microsoft.com/office/drawing/2015/06/chart">
            <c:ext xmlns:c16="http://schemas.microsoft.com/office/drawing/2014/chart" uri="{C3380CC4-5D6E-409C-BE32-E72D297353CC}">
              <c16:uniqueId val="{00000015-B65E-49A1-95E7-78AECEE42CF0}"/>
            </c:ext>
          </c:extLst>
        </c:ser>
        <c:dLbls>
          <c:showLegendKey val="0"/>
          <c:showVal val="0"/>
          <c:showCatName val="0"/>
          <c:showSerName val="0"/>
          <c:showPercent val="0"/>
          <c:showBubbleSize val="0"/>
        </c:dLbls>
        <c:marker val="1"/>
        <c:smooth val="0"/>
        <c:axId val="149092224"/>
        <c:axId val="149093760"/>
      </c:lineChart>
      <c:catAx>
        <c:axId val="14909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093760"/>
        <c:crosses val="autoZero"/>
        <c:auto val="0"/>
        <c:lblAlgn val="ctr"/>
        <c:lblOffset val="100"/>
        <c:tickLblSkip val="7"/>
        <c:noMultiLvlLbl val="0"/>
      </c:catAx>
      <c:valAx>
        <c:axId val="149093760"/>
        <c:scaling>
          <c:orientation val="minMax"/>
        </c:scaling>
        <c:delete val="1"/>
        <c:axPos val="l"/>
        <c:numFmt formatCode="General" sourceLinked="1"/>
        <c:majorTickMark val="none"/>
        <c:minorTickMark val="none"/>
        <c:tickLblPos val="nextTo"/>
        <c:crossAx val="149092224"/>
        <c:crosses val="autoZero"/>
        <c:crossBetween val="between"/>
      </c:valAx>
      <c:spPr>
        <a:noFill/>
        <a:ln>
          <a:noFill/>
        </a:ln>
        <a:effectLst/>
      </c:spPr>
    </c:plotArea>
    <c:legend>
      <c:legendPos val="b"/>
      <c:layout>
        <c:manualLayout>
          <c:xMode val="edge"/>
          <c:yMode val="edge"/>
          <c:x val="0.53710031295592997"/>
          <c:y val="5.7930423170787872E-2"/>
          <c:w val="0.33486745406824148"/>
          <c:h val="0.123356126536814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i="0" u="none" strike="noStrike" baseline="0">
                <a:effectLst/>
              </a:rPr>
              <a:t>The IMR of Kerala and at the all-India level over the last five decades (from 1971 to 2020)</a:t>
            </a:r>
            <a:endParaRPr lang="en-IN" sz="800"/>
          </a:p>
        </c:rich>
      </c:tx>
      <c:overlay val="0"/>
      <c:spPr>
        <a:noFill/>
        <a:ln>
          <a:noFill/>
        </a:ln>
        <a:effectLst/>
      </c:spPr>
    </c:title>
    <c:autoTitleDeleted val="0"/>
    <c:plotArea>
      <c:layout>
        <c:manualLayout>
          <c:layoutTarget val="inner"/>
          <c:xMode val="edge"/>
          <c:yMode val="edge"/>
          <c:x val="1.8006230529595019E-2"/>
          <c:y val="0.22073583371348102"/>
          <c:w val="0.97652981852138498"/>
          <c:h val="0.43929405376052133"/>
        </c:manualLayout>
      </c:layout>
      <c:lineChart>
        <c:grouping val="standard"/>
        <c:varyColors val="0"/>
        <c:ser>
          <c:idx val="0"/>
          <c:order val="0"/>
          <c:tx>
            <c:strRef>
              <c:f>'SRS Graph'!$B$444</c:f>
              <c:strCache>
                <c:ptCount val="1"/>
                <c:pt idx="0">
                  <c:v>Kerala</c:v>
                </c:pt>
              </c:strCache>
            </c:strRef>
          </c:tx>
          <c:spPr>
            <a:ln w="28575"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dLbls>
            <c:dLbl>
              <c:idx val="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1E34-4CF8-8174-3052AFEFAFF2}"/>
                </c:ext>
              </c:extLst>
            </c:dLbl>
            <c:dLbl>
              <c:idx val="5"/>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E34-4CF8-8174-3052AFEFAFF2}"/>
                </c:ext>
              </c:extLst>
            </c:dLbl>
            <c:dLbl>
              <c:idx val="9"/>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1E34-4CF8-8174-3052AFEFAFF2}"/>
                </c:ext>
              </c:extLst>
            </c:dLbl>
            <c:dLbl>
              <c:idx val="12"/>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1E34-4CF8-8174-3052AFEFAFF2}"/>
                </c:ext>
              </c:extLst>
            </c:dLbl>
            <c:dLbl>
              <c:idx val="16"/>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1E34-4CF8-8174-3052AFEFAFF2}"/>
                </c:ext>
              </c:extLst>
            </c:dLbl>
            <c:dLbl>
              <c:idx val="21"/>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1E34-4CF8-8174-3052AFEFAFF2}"/>
                </c:ext>
              </c:extLst>
            </c:dLbl>
            <c:dLbl>
              <c:idx val="26"/>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1E34-4CF8-8174-3052AFEFAFF2}"/>
                </c:ext>
              </c:extLst>
            </c:dLbl>
            <c:dLbl>
              <c:idx val="31"/>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1E34-4CF8-8174-3052AFEFAFF2}"/>
                </c:ext>
              </c:extLst>
            </c:dLbl>
            <c:dLbl>
              <c:idx val="35"/>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1E34-4CF8-8174-3052AFEFAFF2}"/>
                </c:ext>
              </c:extLst>
            </c:dLbl>
            <c:dLbl>
              <c:idx val="39"/>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1E34-4CF8-8174-3052AFEFAFF2}"/>
                </c:ext>
              </c:extLst>
            </c:dLbl>
            <c:dLbl>
              <c:idx val="44"/>
              <c:layout>
                <c:manualLayout>
                  <c:x val="-4.0685358255451602E-2"/>
                  <c:y val="-4.5094578694904588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1E34-4CF8-8174-3052AFEFAFF2}"/>
                </c:ext>
              </c:extLst>
            </c:dLbl>
            <c:dLbl>
              <c:idx val="48"/>
              <c:layout>
                <c:manualLayout>
                  <c:x val="-3.6697819314641861E-2"/>
                  <c:y val="-5.330475931887832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1E34-4CF8-8174-3052AFEFAFF2}"/>
                </c:ext>
              </c:extLst>
            </c:dLbl>
            <c:dLbl>
              <c:idx val="49"/>
              <c:layout>
                <c:manualLayout>
                  <c:x val="-4.9874939809300264E-3"/>
                  <c:y val="-2.4848370653920149E-2"/>
                </c:manualLayout>
              </c:layout>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15:layout>
                    <c:manualLayout>
                      <c:w val="4.100024758603614E-2"/>
                      <c:h val="0.11579364921954023"/>
                    </c:manualLayout>
                  </c15:layout>
                </c:ext>
                <c:ext xmlns:c16="http://schemas.microsoft.com/office/drawing/2014/chart" uri="{C3380CC4-5D6E-409C-BE32-E72D297353CC}">
                  <c16:uniqueId val="{0000000C-1E34-4CF8-8174-3052AFEFAF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'SRS Graph'!$A$445:$A$494</c:f>
              <c:numCache>
                <c:formatCode>General</c:formatCode>
                <c:ptCount val="50"/>
                <c:pt idx="0">
                  <c:v>1971</c:v>
                </c:pt>
                <c:pt idx="1">
                  <c:v>1972</c:v>
                </c:pt>
                <c:pt idx="2">
                  <c:v>1973</c:v>
                </c:pt>
                <c:pt idx="3">
                  <c:v>1974</c:v>
                </c:pt>
                <c:pt idx="4">
                  <c:v>1975</c:v>
                </c:pt>
                <c:pt idx="5">
                  <c:v>1976</c:v>
                </c:pt>
                <c:pt idx="6">
                  <c:v>1977</c:v>
                </c:pt>
                <c:pt idx="7">
                  <c:v>1978</c:v>
                </c:pt>
                <c:pt idx="8">
                  <c:v>1979</c:v>
                </c:pt>
                <c:pt idx="9">
                  <c:v>1980</c:v>
                </c:pt>
                <c:pt idx="10">
                  <c:v>1981</c:v>
                </c:pt>
                <c:pt idx="11">
                  <c:v>1982</c:v>
                </c:pt>
                <c:pt idx="12">
                  <c:v>1983</c:v>
                </c:pt>
                <c:pt idx="13">
                  <c:v>1984</c:v>
                </c:pt>
                <c:pt idx="14">
                  <c:v>1985</c:v>
                </c:pt>
                <c:pt idx="15">
                  <c:v>1986</c:v>
                </c:pt>
                <c:pt idx="16">
                  <c:v>1987</c:v>
                </c:pt>
                <c:pt idx="17">
                  <c:v>1988</c:v>
                </c:pt>
                <c:pt idx="18">
                  <c:v>1989</c:v>
                </c:pt>
                <c:pt idx="19">
                  <c:v>1990</c:v>
                </c:pt>
                <c:pt idx="20">
                  <c:v>1991</c:v>
                </c:pt>
                <c:pt idx="21">
                  <c:v>1992</c:v>
                </c:pt>
                <c:pt idx="22">
                  <c:v>1993</c:v>
                </c:pt>
                <c:pt idx="23">
                  <c:v>1994</c:v>
                </c:pt>
                <c:pt idx="24">
                  <c:v>1995</c:v>
                </c:pt>
                <c:pt idx="25">
                  <c:v>1996</c:v>
                </c:pt>
                <c:pt idx="26">
                  <c:v>1997</c:v>
                </c:pt>
                <c:pt idx="27">
                  <c:v>1998</c:v>
                </c:pt>
                <c:pt idx="28">
                  <c:v>1999</c:v>
                </c:pt>
                <c:pt idx="29">
                  <c:v>2000</c:v>
                </c:pt>
                <c:pt idx="30">
                  <c:v>2001</c:v>
                </c:pt>
                <c:pt idx="31">
                  <c:v>2002</c:v>
                </c:pt>
                <c:pt idx="32">
                  <c:v>2003</c:v>
                </c:pt>
                <c:pt idx="33">
                  <c:v>2004</c:v>
                </c:pt>
                <c:pt idx="34">
                  <c:v>2005</c:v>
                </c:pt>
                <c:pt idx="35">
                  <c:v>2006</c:v>
                </c:pt>
                <c:pt idx="36">
                  <c:v>2007</c:v>
                </c:pt>
                <c:pt idx="37">
                  <c:v>2008</c:v>
                </c:pt>
                <c:pt idx="38">
                  <c:v>2009</c:v>
                </c:pt>
                <c:pt idx="39">
                  <c:v>2010</c:v>
                </c:pt>
                <c:pt idx="40">
                  <c:v>2011</c:v>
                </c:pt>
                <c:pt idx="41">
                  <c:v>2012</c:v>
                </c:pt>
                <c:pt idx="42">
                  <c:v>2013</c:v>
                </c:pt>
                <c:pt idx="43">
                  <c:v>2014</c:v>
                </c:pt>
                <c:pt idx="44">
                  <c:v>2015</c:v>
                </c:pt>
                <c:pt idx="45">
                  <c:v>2016</c:v>
                </c:pt>
                <c:pt idx="46">
                  <c:v>2017</c:v>
                </c:pt>
                <c:pt idx="47">
                  <c:v>2018</c:v>
                </c:pt>
                <c:pt idx="48">
                  <c:v>2019</c:v>
                </c:pt>
                <c:pt idx="49">
                  <c:v>2020</c:v>
                </c:pt>
              </c:numCache>
            </c:numRef>
          </c:cat>
          <c:val>
            <c:numRef>
              <c:f>'SRS Graph'!$B$445:$B$494</c:f>
              <c:numCache>
                <c:formatCode>General</c:formatCode>
                <c:ptCount val="50"/>
                <c:pt idx="0">
                  <c:v>58</c:v>
                </c:pt>
                <c:pt idx="1">
                  <c:v>63</c:v>
                </c:pt>
                <c:pt idx="2">
                  <c:v>54</c:v>
                </c:pt>
                <c:pt idx="3">
                  <c:v>54</c:v>
                </c:pt>
                <c:pt idx="4">
                  <c:v>54</c:v>
                </c:pt>
                <c:pt idx="5">
                  <c:v>56</c:v>
                </c:pt>
                <c:pt idx="6">
                  <c:v>47</c:v>
                </c:pt>
                <c:pt idx="7">
                  <c:v>42</c:v>
                </c:pt>
                <c:pt idx="8">
                  <c:v>42.7</c:v>
                </c:pt>
                <c:pt idx="9">
                  <c:v>40.200000000000003</c:v>
                </c:pt>
                <c:pt idx="10">
                  <c:v>37</c:v>
                </c:pt>
                <c:pt idx="11">
                  <c:v>30</c:v>
                </c:pt>
                <c:pt idx="12">
                  <c:v>33</c:v>
                </c:pt>
                <c:pt idx="13">
                  <c:v>29</c:v>
                </c:pt>
                <c:pt idx="14">
                  <c:v>31</c:v>
                </c:pt>
                <c:pt idx="15">
                  <c:v>27</c:v>
                </c:pt>
                <c:pt idx="16">
                  <c:v>28</c:v>
                </c:pt>
                <c:pt idx="17">
                  <c:v>28</c:v>
                </c:pt>
                <c:pt idx="18">
                  <c:v>21</c:v>
                </c:pt>
                <c:pt idx="19">
                  <c:v>17</c:v>
                </c:pt>
                <c:pt idx="20">
                  <c:v>16</c:v>
                </c:pt>
                <c:pt idx="21">
                  <c:v>17</c:v>
                </c:pt>
                <c:pt idx="22">
                  <c:v>13</c:v>
                </c:pt>
                <c:pt idx="23">
                  <c:v>16</c:v>
                </c:pt>
                <c:pt idx="24">
                  <c:v>15</c:v>
                </c:pt>
                <c:pt idx="25">
                  <c:v>14</c:v>
                </c:pt>
                <c:pt idx="26">
                  <c:v>12.2</c:v>
                </c:pt>
                <c:pt idx="27">
                  <c:v>16</c:v>
                </c:pt>
                <c:pt idx="28">
                  <c:v>14.5</c:v>
                </c:pt>
                <c:pt idx="29">
                  <c:v>13.9</c:v>
                </c:pt>
                <c:pt idx="30">
                  <c:v>11.3</c:v>
                </c:pt>
                <c:pt idx="31">
                  <c:v>10</c:v>
                </c:pt>
                <c:pt idx="32">
                  <c:v>11</c:v>
                </c:pt>
                <c:pt idx="33">
                  <c:v>12</c:v>
                </c:pt>
                <c:pt idx="34">
                  <c:v>14</c:v>
                </c:pt>
                <c:pt idx="35">
                  <c:v>15</c:v>
                </c:pt>
                <c:pt idx="36">
                  <c:v>13</c:v>
                </c:pt>
                <c:pt idx="37">
                  <c:v>11.5</c:v>
                </c:pt>
                <c:pt idx="38">
                  <c:v>11.6</c:v>
                </c:pt>
                <c:pt idx="39">
                  <c:v>13.3</c:v>
                </c:pt>
                <c:pt idx="40">
                  <c:v>12.1</c:v>
                </c:pt>
                <c:pt idx="41">
                  <c:v>11.8</c:v>
                </c:pt>
                <c:pt idx="42">
                  <c:v>12</c:v>
                </c:pt>
                <c:pt idx="43">
                  <c:v>12</c:v>
                </c:pt>
                <c:pt idx="44">
                  <c:v>12</c:v>
                </c:pt>
                <c:pt idx="45">
                  <c:v>10</c:v>
                </c:pt>
                <c:pt idx="46">
                  <c:v>10</c:v>
                </c:pt>
                <c:pt idx="47">
                  <c:v>7</c:v>
                </c:pt>
                <c:pt idx="48">
                  <c:v>6</c:v>
                </c:pt>
                <c:pt idx="49">
                  <c:v>6</c:v>
                </c:pt>
              </c:numCache>
            </c:numRef>
          </c:val>
          <c:smooth val="0"/>
          <c:extLst xmlns:c16r2="http://schemas.microsoft.com/office/drawing/2015/06/chart">
            <c:ext xmlns:c16="http://schemas.microsoft.com/office/drawing/2014/chart" uri="{C3380CC4-5D6E-409C-BE32-E72D297353CC}">
              <c16:uniqueId val="{0000000D-1E34-4CF8-8174-3052AFEFAFF2}"/>
            </c:ext>
          </c:extLst>
        </c:ser>
        <c:ser>
          <c:idx val="1"/>
          <c:order val="1"/>
          <c:tx>
            <c:strRef>
              <c:f>'SRS Graph'!$C$444</c:f>
              <c:strCache>
                <c:ptCount val="1"/>
                <c:pt idx="0">
                  <c:v>India</c:v>
                </c:pt>
              </c:strCache>
            </c:strRef>
          </c:tx>
          <c:spPr>
            <a:ln w="28575"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dLbls>
            <c:dLbl>
              <c:idx val="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E-1E34-4CF8-8174-3052AFEFAFF2}"/>
                </c:ext>
              </c:extLst>
            </c:dLbl>
            <c:dLbl>
              <c:idx val="4"/>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1E34-4CF8-8174-3052AFEFAFF2}"/>
                </c:ext>
              </c:extLst>
            </c:dLbl>
            <c:dLbl>
              <c:idx val="9"/>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0-1E34-4CF8-8174-3052AFEFAFF2}"/>
                </c:ext>
              </c:extLst>
            </c:dLbl>
            <c:dLbl>
              <c:idx val="13"/>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1E34-4CF8-8174-3052AFEFAFF2}"/>
                </c:ext>
              </c:extLst>
            </c:dLbl>
            <c:dLbl>
              <c:idx val="17"/>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2-1E34-4CF8-8174-3052AFEFAFF2}"/>
                </c:ext>
              </c:extLst>
            </c:dLbl>
            <c:dLbl>
              <c:idx val="2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3-1E34-4CF8-8174-3052AFEFAFF2}"/>
                </c:ext>
              </c:extLst>
            </c:dLbl>
            <c:dLbl>
              <c:idx val="24"/>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4-1E34-4CF8-8174-3052AFEFAFF2}"/>
                </c:ext>
              </c:extLst>
            </c:dLbl>
            <c:dLbl>
              <c:idx val="28"/>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5-1E34-4CF8-8174-3052AFEFAFF2}"/>
                </c:ext>
              </c:extLst>
            </c:dLbl>
            <c:dLbl>
              <c:idx val="32"/>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6-1E34-4CF8-8174-3052AFEFAFF2}"/>
                </c:ext>
              </c:extLst>
            </c:dLbl>
            <c:dLbl>
              <c:idx val="36"/>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7-1E34-4CF8-8174-3052AFEFAFF2}"/>
                </c:ext>
              </c:extLst>
            </c:dLbl>
            <c:dLbl>
              <c:idx val="40"/>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8-1E34-4CF8-8174-3052AFEFAFF2}"/>
                </c:ext>
              </c:extLst>
            </c:dLbl>
            <c:dLbl>
              <c:idx val="45"/>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9-1E34-4CF8-8174-3052AFEFAFF2}"/>
                </c:ext>
              </c:extLst>
            </c:dLbl>
            <c:dLbl>
              <c:idx val="49"/>
              <c:dLblPos val="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A-1E34-4CF8-8174-3052AFEFAFF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'SRS Graph'!$A$445:$A$494</c:f>
              <c:numCache>
                <c:formatCode>General</c:formatCode>
                <c:ptCount val="50"/>
                <c:pt idx="0">
                  <c:v>1971</c:v>
                </c:pt>
                <c:pt idx="1">
                  <c:v>1972</c:v>
                </c:pt>
                <c:pt idx="2">
                  <c:v>1973</c:v>
                </c:pt>
                <c:pt idx="3">
                  <c:v>1974</c:v>
                </c:pt>
                <c:pt idx="4">
                  <c:v>1975</c:v>
                </c:pt>
                <c:pt idx="5">
                  <c:v>1976</c:v>
                </c:pt>
                <c:pt idx="6">
                  <c:v>1977</c:v>
                </c:pt>
                <c:pt idx="7">
                  <c:v>1978</c:v>
                </c:pt>
                <c:pt idx="8">
                  <c:v>1979</c:v>
                </c:pt>
                <c:pt idx="9">
                  <c:v>1980</c:v>
                </c:pt>
                <c:pt idx="10">
                  <c:v>1981</c:v>
                </c:pt>
                <c:pt idx="11">
                  <c:v>1982</c:v>
                </c:pt>
                <c:pt idx="12">
                  <c:v>1983</c:v>
                </c:pt>
                <c:pt idx="13">
                  <c:v>1984</c:v>
                </c:pt>
                <c:pt idx="14">
                  <c:v>1985</c:v>
                </c:pt>
                <c:pt idx="15">
                  <c:v>1986</c:v>
                </c:pt>
                <c:pt idx="16">
                  <c:v>1987</c:v>
                </c:pt>
                <c:pt idx="17">
                  <c:v>1988</c:v>
                </c:pt>
                <c:pt idx="18">
                  <c:v>1989</c:v>
                </c:pt>
                <c:pt idx="19">
                  <c:v>1990</c:v>
                </c:pt>
                <c:pt idx="20">
                  <c:v>1991</c:v>
                </c:pt>
                <c:pt idx="21">
                  <c:v>1992</c:v>
                </c:pt>
                <c:pt idx="22">
                  <c:v>1993</c:v>
                </c:pt>
                <c:pt idx="23">
                  <c:v>1994</c:v>
                </c:pt>
                <c:pt idx="24">
                  <c:v>1995</c:v>
                </c:pt>
                <c:pt idx="25">
                  <c:v>1996</c:v>
                </c:pt>
                <c:pt idx="26">
                  <c:v>1997</c:v>
                </c:pt>
                <c:pt idx="27">
                  <c:v>1998</c:v>
                </c:pt>
                <c:pt idx="28">
                  <c:v>1999</c:v>
                </c:pt>
                <c:pt idx="29">
                  <c:v>2000</c:v>
                </c:pt>
                <c:pt idx="30">
                  <c:v>2001</c:v>
                </c:pt>
                <c:pt idx="31">
                  <c:v>2002</c:v>
                </c:pt>
                <c:pt idx="32">
                  <c:v>2003</c:v>
                </c:pt>
                <c:pt idx="33">
                  <c:v>2004</c:v>
                </c:pt>
                <c:pt idx="34">
                  <c:v>2005</c:v>
                </c:pt>
                <c:pt idx="35">
                  <c:v>2006</c:v>
                </c:pt>
                <c:pt idx="36">
                  <c:v>2007</c:v>
                </c:pt>
                <c:pt idx="37">
                  <c:v>2008</c:v>
                </c:pt>
                <c:pt idx="38">
                  <c:v>2009</c:v>
                </c:pt>
                <c:pt idx="39">
                  <c:v>2010</c:v>
                </c:pt>
                <c:pt idx="40">
                  <c:v>2011</c:v>
                </c:pt>
                <c:pt idx="41">
                  <c:v>2012</c:v>
                </c:pt>
                <c:pt idx="42">
                  <c:v>2013</c:v>
                </c:pt>
                <c:pt idx="43">
                  <c:v>2014</c:v>
                </c:pt>
                <c:pt idx="44">
                  <c:v>2015</c:v>
                </c:pt>
                <c:pt idx="45">
                  <c:v>2016</c:v>
                </c:pt>
                <c:pt idx="46">
                  <c:v>2017</c:v>
                </c:pt>
                <c:pt idx="47">
                  <c:v>2018</c:v>
                </c:pt>
                <c:pt idx="48">
                  <c:v>2019</c:v>
                </c:pt>
                <c:pt idx="49">
                  <c:v>2020</c:v>
                </c:pt>
              </c:numCache>
            </c:numRef>
          </c:cat>
          <c:val>
            <c:numRef>
              <c:f>'SRS Graph'!$C$445:$C$494</c:f>
              <c:numCache>
                <c:formatCode>General</c:formatCode>
                <c:ptCount val="50"/>
                <c:pt idx="0">
                  <c:v>129</c:v>
                </c:pt>
                <c:pt idx="1">
                  <c:v>139</c:v>
                </c:pt>
                <c:pt idx="2">
                  <c:v>134</c:v>
                </c:pt>
                <c:pt idx="3">
                  <c:v>126</c:v>
                </c:pt>
                <c:pt idx="4">
                  <c:v>140</c:v>
                </c:pt>
                <c:pt idx="5">
                  <c:v>129</c:v>
                </c:pt>
                <c:pt idx="6">
                  <c:v>130</c:v>
                </c:pt>
                <c:pt idx="7">
                  <c:v>127</c:v>
                </c:pt>
                <c:pt idx="8">
                  <c:v>120</c:v>
                </c:pt>
                <c:pt idx="9">
                  <c:v>113.9</c:v>
                </c:pt>
                <c:pt idx="10">
                  <c:v>110</c:v>
                </c:pt>
                <c:pt idx="11">
                  <c:v>105</c:v>
                </c:pt>
                <c:pt idx="12">
                  <c:v>105</c:v>
                </c:pt>
                <c:pt idx="13">
                  <c:v>104</c:v>
                </c:pt>
                <c:pt idx="14">
                  <c:v>97</c:v>
                </c:pt>
                <c:pt idx="15">
                  <c:v>96</c:v>
                </c:pt>
                <c:pt idx="16">
                  <c:v>95</c:v>
                </c:pt>
                <c:pt idx="17">
                  <c:v>94</c:v>
                </c:pt>
                <c:pt idx="18">
                  <c:v>91</c:v>
                </c:pt>
                <c:pt idx="19">
                  <c:v>80</c:v>
                </c:pt>
                <c:pt idx="20">
                  <c:v>80</c:v>
                </c:pt>
                <c:pt idx="21">
                  <c:v>79</c:v>
                </c:pt>
                <c:pt idx="22">
                  <c:v>74</c:v>
                </c:pt>
                <c:pt idx="23">
                  <c:v>74</c:v>
                </c:pt>
                <c:pt idx="24">
                  <c:v>74</c:v>
                </c:pt>
                <c:pt idx="25">
                  <c:v>72</c:v>
                </c:pt>
                <c:pt idx="26">
                  <c:v>71</c:v>
                </c:pt>
                <c:pt idx="27">
                  <c:v>72</c:v>
                </c:pt>
                <c:pt idx="28">
                  <c:v>70</c:v>
                </c:pt>
                <c:pt idx="29">
                  <c:v>68</c:v>
                </c:pt>
                <c:pt idx="30">
                  <c:v>66</c:v>
                </c:pt>
                <c:pt idx="31">
                  <c:v>63</c:v>
                </c:pt>
                <c:pt idx="32">
                  <c:v>60</c:v>
                </c:pt>
                <c:pt idx="33">
                  <c:v>58</c:v>
                </c:pt>
                <c:pt idx="34">
                  <c:v>58</c:v>
                </c:pt>
                <c:pt idx="35">
                  <c:v>57</c:v>
                </c:pt>
                <c:pt idx="36">
                  <c:v>55</c:v>
                </c:pt>
                <c:pt idx="37">
                  <c:v>53.47</c:v>
                </c:pt>
                <c:pt idx="38">
                  <c:v>50.35</c:v>
                </c:pt>
                <c:pt idx="39">
                  <c:v>47.06</c:v>
                </c:pt>
                <c:pt idx="40">
                  <c:v>44.24</c:v>
                </c:pt>
                <c:pt idx="41">
                  <c:v>42.27</c:v>
                </c:pt>
                <c:pt idx="42">
                  <c:v>40</c:v>
                </c:pt>
                <c:pt idx="43">
                  <c:v>39</c:v>
                </c:pt>
                <c:pt idx="44">
                  <c:v>37</c:v>
                </c:pt>
                <c:pt idx="45">
                  <c:v>34</c:v>
                </c:pt>
                <c:pt idx="46">
                  <c:v>33</c:v>
                </c:pt>
                <c:pt idx="47">
                  <c:v>32</c:v>
                </c:pt>
                <c:pt idx="48">
                  <c:v>30</c:v>
                </c:pt>
                <c:pt idx="49">
                  <c:v>28</c:v>
                </c:pt>
              </c:numCache>
            </c:numRef>
          </c:val>
          <c:smooth val="0"/>
          <c:extLst xmlns:c16r2="http://schemas.microsoft.com/office/drawing/2015/06/chart">
            <c:ext xmlns:c16="http://schemas.microsoft.com/office/drawing/2014/chart" uri="{C3380CC4-5D6E-409C-BE32-E72D297353CC}">
              <c16:uniqueId val="{0000001B-1E34-4CF8-8174-3052AFEFAFF2}"/>
            </c:ext>
          </c:extLst>
        </c:ser>
        <c:dLbls>
          <c:showLegendKey val="0"/>
          <c:showVal val="0"/>
          <c:showCatName val="0"/>
          <c:showSerName val="0"/>
          <c:showPercent val="0"/>
          <c:showBubbleSize val="0"/>
        </c:dLbls>
        <c:marker val="1"/>
        <c:smooth val="0"/>
        <c:axId val="149345408"/>
        <c:axId val="149347328"/>
      </c:lineChart>
      <c:catAx>
        <c:axId val="1493454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900" i="1">
                    <a:effectLst/>
                  </a:rPr>
                  <a:t>Source: Registrar General of India. Reports of the sample registration system, 1981 to 2020</a:t>
                </a:r>
                <a:endParaRPr lang="en-IN" sz="900">
                  <a:effectLst/>
                </a:endParaRPr>
              </a:p>
            </c:rich>
          </c:tx>
          <c:layout>
            <c:manualLayout>
              <c:xMode val="edge"/>
              <c:yMode val="edge"/>
              <c:x val="1.5383206170799663E-2"/>
              <c:y val="0.8760242812405061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7328"/>
        <c:crossesAt val="0"/>
        <c:auto val="1"/>
        <c:lblAlgn val="ctr"/>
        <c:lblOffset val="100"/>
        <c:tickLblSkip val="1"/>
        <c:tickMarkSkip val="1"/>
        <c:noMultiLvlLbl val="0"/>
      </c:catAx>
      <c:valAx>
        <c:axId val="149347328"/>
        <c:scaling>
          <c:orientation val="minMax"/>
        </c:scaling>
        <c:delete val="1"/>
        <c:axPos val="r"/>
        <c:numFmt formatCode="General" sourceLinked="1"/>
        <c:majorTickMark val="none"/>
        <c:minorTickMark val="none"/>
        <c:tickLblPos val="nextTo"/>
        <c:crossAx val="149345408"/>
        <c:crosses val="max"/>
        <c:crossBetween val="midCat"/>
        <c:majorUnit val="25"/>
      </c:valAx>
      <c:spPr>
        <a:noFill/>
        <a:ln>
          <a:noFill/>
        </a:ln>
        <a:effectLst/>
      </c:spPr>
    </c:plotArea>
    <c:legend>
      <c:legendPos val="b"/>
      <c:layout>
        <c:manualLayout>
          <c:xMode val="edge"/>
          <c:yMode val="edge"/>
          <c:x val="0.61009020319600427"/>
          <c:y val="0.2490390527380551"/>
          <c:w val="0.33302842985748277"/>
          <c:h val="0.138547767735929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mn-lt"/>
                <a:ea typeface="+mn-ea"/>
                <a:cs typeface="+mn-cs"/>
              </a:defRPr>
            </a:pPr>
            <a:r>
              <a:rPr lang="en-IN" sz="1000"/>
              <a:t>trend in MMR kerala &amp;</a:t>
            </a:r>
            <a:r>
              <a:rPr lang="en-IN" sz="1000" baseline="0"/>
              <a:t> india</a:t>
            </a:r>
          </a:p>
        </c:rich>
      </c:tx>
      <c:overlay val="0"/>
      <c:spPr>
        <a:noFill/>
        <a:ln>
          <a:noFill/>
        </a:ln>
        <a:effectLst/>
      </c:spPr>
    </c:title>
    <c:autoTitleDeleted val="0"/>
    <c:plotArea>
      <c:layout>
        <c:manualLayout>
          <c:layoutTarget val="inner"/>
          <c:xMode val="edge"/>
          <c:yMode val="edge"/>
          <c:x val="0"/>
          <c:y val="0.19898809523809524"/>
          <c:w val="1"/>
          <c:h val="0.38583204884924149"/>
        </c:manualLayout>
      </c:layout>
      <c:lineChart>
        <c:grouping val="standard"/>
        <c:varyColors val="0"/>
        <c:ser>
          <c:idx val="0"/>
          <c:order val="0"/>
          <c:tx>
            <c:strRef>
              <c:f>MMR!$B$3</c:f>
              <c:strCache>
                <c:ptCount val="1"/>
                <c:pt idx="0">
                  <c:v>KERALA</c:v>
                </c:pt>
              </c:strCache>
            </c:strRef>
          </c:tx>
          <c:spPr>
            <a:ln w="22225" cap="rnd">
              <a:solidFill>
                <a:schemeClr val="accent5">
                  <a:shade val="76000"/>
                </a:schemeClr>
              </a:solidFill>
              <a:round/>
            </a:ln>
            <a:effectLst/>
          </c:spPr>
          <c:marker>
            <c:symbol val="diamond"/>
            <c:size val="6"/>
            <c:spPr>
              <a:solidFill>
                <a:schemeClr val="accent5">
                  <a:shade val="76000"/>
                </a:schemeClr>
              </a:solidFill>
              <a:ln w="9525">
                <a:solidFill>
                  <a:schemeClr val="accent5">
                    <a:shade val="76000"/>
                  </a:schemeClr>
                </a:solidFill>
                <a:round/>
              </a:ln>
              <a:effectLst/>
            </c:spPr>
          </c:marker>
          <c:dLbls>
            <c:spPr>
              <a:noFill/>
              <a:ln>
                <a:noFill/>
              </a:ln>
              <a:effectLst/>
            </c:spPr>
            <c:txPr>
              <a:bodyPr rot="0" spcFirstLastPara="1" vertOverflow="ellipsis" vert="horz" wrap="square" anchor="ctr" anchorCtr="1"/>
              <a:lstStyle/>
              <a:p>
                <a:pPr>
                  <a:defRPr sz="1000" b="1"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MMR!$A$4:$A$12</c:f>
              <c:strCache>
                <c:ptCount val="9"/>
                <c:pt idx="0">
                  <c:v>2004-06</c:v>
                </c:pt>
                <c:pt idx="1">
                  <c:v>2007-09</c:v>
                </c:pt>
                <c:pt idx="2">
                  <c:v>2010-12</c:v>
                </c:pt>
                <c:pt idx="3">
                  <c:v>2011-13</c:v>
                </c:pt>
                <c:pt idx="4">
                  <c:v>2014-16</c:v>
                </c:pt>
                <c:pt idx="5">
                  <c:v>2015-17</c:v>
                </c:pt>
                <c:pt idx="6">
                  <c:v>2016-18</c:v>
                </c:pt>
                <c:pt idx="7">
                  <c:v>2017-19</c:v>
                </c:pt>
                <c:pt idx="8">
                  <c:v>2018-20</c:v>
                </c:pt>
              </c:strCache>
            </c:strRef>
          </c:cat>
          <c:val>
            <c:numRef>
              <c:f>MMR!$B$4:$B$12</c:f>
              <c:numCache>
                <c:formatCode>General</c:formatCode>
                <c:ptCount val="9"/>
                <c:pt idx="0">
                  <c:v>95</c:v>
                </c:pt>
                <c:pt idx="1">
                  <c:v>81</c:v>
                </c:pt>
                <c:pt idx="2">
                  <c:v>66</c:v>
                </c:pt>
                <c:pt idx="3">
                  <c:v>61</c:v>
                </c:pt>
                <c:pt idx="4">
                  <c:v>46</c:v>
                </c:pt>
                <c:pt idx="5">
                  <c:v>42</c:v>
                </c:pt>
                <c:pt idx="6">
                  <c:v>43</c:v>
                </c:pt>
                <c:pt idx="7">
                  <c:v>30</c:v>
                </c:pt>
                <c:pt idx="8">
                  <c:v>19</c:v>
                </c:pt>
              </c:numCache>
            </c:numRef>
          </c:val>
          <c:smooth val="0"/>
          <c:extLst xmlns:c16r2="http://schemas.microsoft.com/office/drawing/2015/06/chart">
            <c:ext xmlns:c16="http://schemas.microsoft.com/office/drawing/2014/chart" uri="{C3380CC4-5D6E-409C-BE32-E72D297353CC}">
              <c16:uniqueId val="{00000000-9B50-4130-BC59-EC303E8018EE}"/>
            </c:ext>
          </c:extLst>
        </c:ser>
        <c:ser>
          <c:idx val="1"/>
          <c:order val="1"/>
          <c:tx>
            <c:strRef>
              <c:f>MMR!$C$3</c:f>
              <c:strCache>
                <c:ptCount val="1"/>
                <c:pt idx="0">
                  <c:v>INDIA</c:v>
                </c:pt>
              </c:strCache>
            </c:strRef>
          </c:tx>
          <c:spPr>
            <a:ln w="22225" cap="rnd">
              <a:solidFill>
                <a:schemeClr val="accent5">
                  <a:tint val="77000"/>
                </a:schemeClr>
              </a:solidFill>
              <a:round/>
            </a:ln>
            <a:effectLst/>
          </c:spPr>
          <c:marker>
            <c:symbol val="square"/>
            <c:size val="6"/>
            <c:spPr>
              <a:solidFill>
                <a:schemeClr val="accent5">
                  <a:tint val="77000"/>
                </a:schemeClr>
              </a:solidFill>
              <a:ln w="9525">
                <a:solidFill>
                  <a:schemeClr val="accent5">
                    <a:tint val="77000"/>
                  </a:schemeClr>
                </a:solidFill>
                <a:round/>
              </a:ln>
              <a:effectLst/>
            </c:spPr>
          </c:marker>
          <c:dLbls>
            <c:spPr>
              <a:noFill/>
              <a:ln>
                <a:noFill/>
              </a:ln>
              <a:effectLst/>
            </c:spPr>
            <c:txPr>
              <a:bodyPr rot="0" spcFirstLastPara="1" vertOverflow="ellipsis" vert="horz" wrap="square" anchor="ctr" anchorCtr="1"/>
              <a:lstStyle/>
              <a:p>
                <a:pPr>
                  <a:defRPr sz="1000" b="1"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MMR!$A$4:$A$12</c:f>
              <c:strCache>
                <c:ptCount val="9"/>
                <c:pt idx="0">
                  <c:v>2004-06</c:v>
                </c:pt>
                <c:pt idx="1">
                  <c:v>2007-09</c:v>
                </c:pt>
                <c:pt idx="2">
                  <c:v>2010-12</c:v>
                </c:pt>
                <c:pt idx="3">
                  <c:v>2011-13</c:v>
                </c:pt>
                <c:pt idx="4">
                  <c:v>2014-16</c:v>
                </c:pt>
                <c:pt idx="5">
                  <c:v>2015-17</c:v>
                </c:pt>
                <c:pt idx="6">
                  <c:v>2016-18</c:v>
                </c:pt>
                <c:pt idx="7">
                  <c:v>2017-19</c:v>
                </c:pt>
                <c:pt idx="8">
                  <c:v>2018-20</c:v>
                </c:pt>
              </c:strCache>
            </c:strRef>
          </c:cat>
          <c:val>
            <c:numRef>
              <c:f>MMR!$C$4:$C$12</c:f>
              <c:numCache>
                <c:formatCode>General</c:formatCode>
                <c:ptCount val="9"/>
                <c:pt idx="0">
                  <c:v>254</c:v>
                </c:pt>
                <c:pt idx="1">
                  <c:v>212</c:v>
                </c:pt>
                <c:pt idx="2">
                  <c:v>178</c:v>
                </c:pt>
                <c:pt idx="3">
                  <c:v>167</c:v>
                </c:pt>
                <c:pt idx="4">
                  <c:v>130</c:v>
                </c:pt>
                <c:pt idx="5">
                  <c:v>122</c:v>
                </c:pt>
                <c:pt idx="6">
                  <c:v>113</c:v>
                </c:pt>
                <c:pt idx="7">
                  <c:v>103</c:v>
                </c:pt>
                <c:pt idx="8">
                  <c:v>97</c:v>
                </c:pt>
              </c:numCache>
            </c:numRef>
          </c:val>
          <c:smooth val="0"/>
          <c:extLst xmlns:c16r2="http://schemas.microsoft.com/office/drawing/2015/06/chart">
            <c:ext xmlns:c16="http://schemas.microsoft.com/office/drawing/2014/chart" uri="{C3380CC4-5D6E-409C-BE32-E72D297353CC}">
              <c16:uniqueId val="{00000001-9B50-4130-BC59-EC303E8018EE}"/>
            </c:ext>
          </c:extLst>
        </c:ser>
        <c:dLbls>
          <c:showLegendKey val="0"/>
          <c:showVal val="0"/>
          <c:showCatName val="0"/>
          <c:showSerName val="0"/>
          <c:showPercent val="0"/>
          <c:showBubbleSize val="0"/>
        </c:dLbls>
        <c:marker val="1"/>
        <c:smooth val="0"/>
        <c:axId val="155375488"/>
        <c:axId val="155561984"/>
      </c:lineChart>
      <c:catAx>
        <c:axId val="155375488"/>
        <c:scaling>
          <c:orientation val="minMax"/>
        </c:scaling>
        <c:delete val="0"/>
        <c:axPos val="b"/>
        <c:title>
          <c:tx>
            <c:rich>
              <a:bodyPr rot="0" spcFirstLastPara="1" vertOverflow="ellipsis" vert="horz" wrap="square" anchor="ctr" anchorCtr="1"/>
              <a:lstStyle/>
              <a:p>
                <a:pPr>
                  <a:defRPr sz="800" b="1" i="0" u="none" strike="noStrike" kern="1200" cap="all" baseline="0">
                    <a:solidFill>
                      <a:schemeClr val="tx1">
                        <a:lumMod val="65000"/>
                        <a:lumOff val="35000"/>
                      </a:schemeClr>
                    </a:solidFill>
                    <a:latin typeface="+mn-lt"/>
                    <a:ea typeface="+mn-ea"/>
                    <a:cs typeface="+mn-cs"/>
                  </a:defRPr>
                </a:pPr>
                <a:r>
                  <a:rPr lang="en-IN" sz="800" b="1" i="0" u="none" strike="noStrike" kern="1200" cap="all" spc="120" normalizeH="0" baseline="0">
                    <a:solidFill>
                      <a:sysClr val="windowText" lastClr="000000">
                        <a:lumMod val="65000"/>
                        <a:lumOff val="35000"/>
                      </a:sysClr>
                    </a:solidFill>
                  </a:rPr>
                  <a:t>source -srs mmr bulletin</a:t>
                </a:r>
              </a:p>
            </c:rich>
          </c:tx>
          <c:layout>
            <c:manualLayout>
              <c:xMode val="edge"/>
              <c:yMode val="edge"/>
              <c:x val="1.6320363286551315E-2"/>
              <c:y val="0.9012381831119173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1000" b="1" i="0" u="none" strike="noStrike" kern="1200" cap="all" spc="120" normalizeH="0" baseline="0">
                <a:solidFill>
                  <a:schemeClr val="tx1">
                    <a:lumMod val="65000"/>
                    <a:lumOff val="35000"/>
                  </a:schemeClr>
                </a:solidFill>
                <a:latin typeface="+mn-lt"/>
                <a:ea typeface="+mn-ea"/>
                <a:cs typeface="+mn-cs"/>
              </a:defRPr>
            </a:pPr>
            <a:endParaRPr lang="en-US"/>
          </a:p>
        </c:txPr>
        <c:crossAx val="155561984"/>
        <c:crosses val="autoZero"/>
        <c:auto val="1"/>
        <c:lblAlgn val="ctr"/>
        <c:lblOffset val="100"/>
        <c:noMultiLvlLbl val="0"/>
      </c:catAx>
      <c:valAx>
        <c:axId val="155561984"/>
        <c:scaling>
          <c:orientation val="minMax"/>
        </c:scaling>
        <c:delete val="1"/>
        <c:axPos val="l"/>
        <c:title>
          <c:overlay val="0"/>
          <c:spPr>
            <a:noFill/>
            <a:ln>
              <a:noFill/>
            </a:ln>
            <a:effectLst/>
          </c:spPr>
          <c:txPr>
            <a:bodyPr rot="-5400000" spcFirstLastPara="1" vertOverflow="ellipsis" vert="horz" wrap="square" anchor="ctr" anchorCtr="1"/>
            <a:lstStyle/>
            <a:p>
              <a:pPr>
                <a:defRPr sz="10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5375488"/>
        <c:crosses val="autoZero"/>
        <c:crossBetween val="between"/>
      </c:valAx>
      <c:spPr>
        <a:noFill/>
        <a:ln>
          <a:noFill/>
        </a:ln>
        <a:effectLst/>
      </c:spPr>
    </c:plotArea>
    <c:legend>
      <c:legendPos val="t"/>
      <c:layout>
        <c:manualLayout>
          <c:xMode val="edge"/>
          <c:yMode val="edge"/>
          <c:x val="0.63693106436812763"/>
          <c:y val="0.17579834102881078"/>
          <c:w val="0.36000640764974795"/>
          <c:h val="8.8381785854480796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sz="1000" b="1"/>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1">
                <a:effectLst/>
              </a:rPr>
              <a:t>Sex ratio (female per 1000 male) at birth, India and Kerala, 2005-2007 tp 2018-20</a:t>
            </a:r>
            <a:endParaRPr lang="en-IN" sz="800">
              <a:effectLst/>
            </a:endParaRPr>
          </a:p>
        </c:rich>
      </c:tx>
      <c:overlay val="0"/>
      <c:spPr>
        <a:noFill/>
        <a:ln>
          <a:noFill/>
        </a:ln>
        <a:effectLst/>
      </c:spPr>
    </c:title>
    <c:autoTitleDeleted val="0"/>
    <c:plotArea>
      <c:layout>
        <c:manualLayout>
          <c:layoutTarget val="inner"/>
          <c:xMode val="edge"/>
          <c:yMode val="edge"/>
          <c:x val="7.9247594050743664E-2"/>
          <c:y val="0.20581627296587926"/>
          <c:w val="0.89019685039370078"/>
          <c:h val="0.58235206806045803"/>
        </c:manualLayout>
      </c:layout>
      <c:lineChart>
        <c:grouping val="standard"/>
        <c:varyColors val="0"/>
        <c:ser>
          <c:idx val="0"/>
          <c:order val="0"/>
          <c:tx>
            <c:strRef>
              <c:f>'Sex Ratio at Birth'!$B$14</c:f>
              <c:strCache>
                <c:ptCount val="1"/>
                <c:pt idx="0">
                  <c:v>India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'Sex Ratio at Birth'!$A$15:$A$22</c:f>
              <c:strCache>
                <c:ptCount val="8"/>
                <c:pt idx="0">
                  <c:v>2005-07</c:v>
                </c:pt>
                <c:pt idx="1">
                  <c:v>2009-11</c:v>
                </c:pt>
                <c:pt idx="2">
                  <c:v>2013-15</c:v>
                </c:pt>
                <c:pt idx="3">
                  <c:v>2014-16</c:v>
                </c:pt>
                <c:pt idx="4">
                  <c:v>2015-17</c:v>
                </c:pt>
                <c:pt idx="5">
                  <c:v>2016-18</c:v>
                </c:pt>
                <c:pt idx="6">
                  <c:v>2017-19</c:v>
                </c:pt>
                <c:pt idx="7">
                  <c:v>2018-20</c:v>
                </c:pt>
              </c:strCache>
            </c:strRef>
          </c:cat>
          <c:val>
            <c:numRef>
              <c:f>'Sex Ratio at Birth'!$B$15:$B$22</c:f>
              <c:numCache>
                <c:formatCode>General</c:formatCode>
                <c:ptCount val="8"/>
                <c:pt idx="0">
                  <c:v>901</c:v>
                </c:pt>
                <c:pt idx="1">
                  <c:v>906</c:v>
                </c:pt>
                <c:pt idx="2">
                  <c:v>900</c:v>
                </c:pt>
                <c:pt idx="3">
                  <c:v>898</c:v>
                </c:pt>
                <c:pt idx="4">
                  <c:v>896</c:v>
                </c:pt>
                <c:pt idx="5">
                  <c:v>899</c:v>
                </c:pt>
                <c:pt idx="6">
                  <c:v>904</c:v>
                </c:pt>
                <c:pt idx="7">
                  <c:v>907</c:v>
                </c:pt>
              </c:numCache>
            </c:numRef>
          </c:val>
          <c:smooth val="0"/>
          <c:extLst xmlns:c16r2="http://schemas.microsoft.com/office/drawing/2015/06/chart">
            <c:ext xmlns:c16="http://schemas.microsoft.com/office/drawing/2014/chart" uri="{C3380CC4-5D6E-409C-BE32-E72D297353CC}">
              <c16:uniqueId val="{00000000-EABC-4383-BC11-AF4BB336584A}"/>
            </c:ext>
          </c:extLst>
        </c:ser>
        <c:ser>
          <c:idx val="1"/>
          <c:order val="1"/>
          <c:tx>
            <c:strRef>
              <c:f>'Sex Ratio at Birth'!$C$14</c:f>
              <c:strCache>
                <c:ptCount val="1"/>
                <c:pt idx="0">
                  <c:v>Kerala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'Sex Ratio at Birth'!$A$15:$A$22</c:f>
              <c:strCache>
                <c:ptCount val="8"/>
                <c:pt idx="0">
                  <c:v>2005-07</c:v>
                </c:pt>
                <c:pt idx="1">
                  <c:v>2009-11</c:v>
                </c:pt>
                <c:pt idx="2">
                  <c:v>2013-15</c:v>
                </c:pt>
                <c:pt idx="3">
                  <c:v>2014-16</c:v>
                </c:pt>
                <c:pt idx="4">
                  <c:v>2015-17</c:v>
                </c:pt>
                <c:pt idx="5">
                  <c:v>2016-18</c:v>
                </c:pt>
                <c:pt idx="6">
                  <c:v>2017-19</c:v>
                </c:pt>
                <c:pt idx="7">
                  <c:v>2018-20</c:v>
                </c:pt>
              </c:strCache>
            </c:strRef>
          </c:cat>
          <c:val>
            <c:numRef>
              <c:f>'Sex Ratio at Birth'!$C$15:$C$22</c:f>
              <c:numCache>
                <c:formatCode>General</c:formatCode>
                <c:ptCount val="8"/>
                <c:pt idx="0">
                  <c:v>958</c:v>
                </c:pt>
                <c:pt idx="1">
                  <c:v>965</c:v>
                </c:pt>
                <c:pt idx="2">
                  <c:v>967</c:v>
                </c:pt>
                <c:pt idx="3">
                  <c:v>959</c:v>
                </c:pt>
                <c:pt idx="4">
                  <c:v>948</c:v>
                </c:pt>
                <c:pt idx="5">
                  <c:v>957</c:v>
                </c:pt>
                <c:pt idx="6">
                  <c:v>968</c:v>
                </c:pt>
                <c:pt idx="7">
                  <c:v>974</c:v>
                </c:pt>
              </c:numCache>
            </c:numRef>
          </c:val>
          <c:smooth val="0"/>
          <c:extLst xmlns:c16r2="http://schemas.microsoft.com/office/drawing/2015/06/chart">
            <c:ext xmlns:c16="http://schemas.microsoft.com/office/drawing/2014/chart" uri="{C3380CC4-5D6E-409C-BE32-E72D297353CC}">
              <c16:uniqueId val="{00000001-EABC-4383-BC11-AF4BB336584A}"/>
            </c:ext>
          </c:extLst>
        </c:ser>
        <c:dLbls>
          <c:showLegendKey val="0"/>
          <c:showVal val="0"/>
          <c:showCatName val="0"/>
          <c:showSerName val="0"/>
          <c:showPercent val="0"/>
          <c:showBubbleSize val="0"/>
        </c:dLbls>
        <c:marker val="1"/>
        <c:smooth val="0"/>
        <c:axId val="155716608"/>
        <c:axId val="155739264"/>
      </c:lineChart>
      <c:catAx>
        <c:axId val="155716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Source :</a:t>
                </a:r>
                <a:r>
                  <a:rPr lang="en-IN" baseline="0"/>
                  <a:t> </a:t>
                </a:r>
                <a:r>
                  <a:rPr lang="en-IN"/>
                  <a:t>SRS - </a:t>
                </a:r>
                <a:r>
                  <a:rPr lang="en-IN" sz="1000" b="0" i="0" u="none" strike="noStrike" baseline="0">
                    <a:effectLst/>
                  </a:rPr>
                  <a:t>three years on moving average</a:t>
                </a:r>
                <a:endParaRPr lang="en-IN"/>
              </a:p>
            </c:rich>
          </c:tx>
          <c:layout>
            <c:manualLayout>
              <c:xMode val="edge"/>
              <c:yMode val="edge"/>
              <c:x val="1.6339020122484706E-2"/>
              <c:y val="0.9040224454701782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39264"/>
        <c:crosses val="autoZero"/>
        <c:auto val="1"/>
        <c:lblAlgn val="ctr"/>
        <c:lblOffset val="100"/>
        <c:noMultiLvlLbl val="0"/>
      </c:catAx>
      <c:valAx>
        <c:axId val="155739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16608"/>
        <c:crosses val="autoZero"/>
        <c:crossBetween val="between"/>
      </c:valAx>
      <c:spPr>
        <a:noFill/>
        <a:ln>
          <a:noFill/>
        </a:ln>
        <a:effectLst/>
      </c:spPr>
    </c:plotArea>
    <c:legend>
      <c:legendPos val="b"/>
      <c:layout>
        <c:manualLayout>
          <c:xMode val="edge"/>
          <c:yMode val="edge"/>
          <c:x val="0.45152471566054242"/>
          <c:y val="0.56379256041270698"/>
          <c:w val="0.29695034995625547"/>
          <c:h val="7.75867499321205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SAT4</dc:creator>
  <cp:keywords/>
  <dc:description/>
  <cp:lastModifiedBy>SAT4</cp:lastModifiedBy>
  <cp:revision>3</cp:revision>
  <dcterms:created xsi:type="dcterms:W3CDTF">2025-02-06T06:16:00Z</dcterms:created>
  <dcterms:modified xsi:type="dcterms:W3CDTF">2025-02-06T06:25:00Z</dcterms:modified>
</cp:coreProperties>
</file>