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40"/>
      </w:pPr>
      <w:r>
        <w:rPr>
          <w:rFonts w:ascii="Arial" w:cs="Arial" w:eastAsia="Arial" w:hAnsi="Arial"/>
          <w:b/>
          <w:bCs/>
          <w:i w:val="false"/>
          <w:iCs w:val="false"/>
          <w:color w:val="1A56DB"/>
          <w:sz w:val="80"/>
          <w:szCs w:val="80"/>
        </w:rPr>
        <w:t xml:space="preserve">AEGIS</w:t>
      </w:r>
    </w:p>
    <w:p>
      <w:pPr>
        <w:spacing w:before="0" w:after="40"/>
      </w:pPr>
      <w:r>
        <w:rPr>
          <w:rFonts w:ascii="Arial" w:cs="Arial" w:eastAsia="Arial" w:hAnsi="Arial"/>
          <w:b w:val="false"/>
          <w:bCs w:val="false"/>
          <w:i w:val="false"/>
          <w:iCs w:val="false"/>
          <w:color w:val="6B7280"/>
          <w:sz w:val="30"/>
          <w:szCs w:val="30"/>
        </w:rPr>
        <w:t xml:space="preserve">Autonomous Enterprise &amp; Guardian Intelligence System</w:t>
      </w:r>
    </w:p>
    <w:p>
      <w:pPr>
        <w:spacing w:before="0" w:after="40"/>
      </w:pPr>
      <w:r>
        <w:rPr>
          <w:rFonts w:ascii="Arial" w:cs="Arial" w:eastAsia="Arial" w:hAnsi="Arial"/>
          <w:b w:val="false"/>
          <w:bCs w:val="false"/>
          <w:i/>
          <w:iCs/>
          <w:color w:val="6B7280"/>
          <w:sz w:val="22"/>
          <w:szCs w:val="22"/>
        </w:rPr>
        <w:t xml:space="preserve">Enterprise Security Platform  •  Corporate Reference Document  •  Confidential</w:t>
      </w:r>
    </w:p>
    <w:p>
      <w:pPr>
        <w:spacing w:before="0" w:after="60"/>
      </w:pPr>
      <w:r>
        <w:rPr>
          <w:rFonts w:ascii="Arial" w:cs="Arial" w:eastAsia="Arial" w:hAnsi="Arial"/>
          <w:b w:val="false"/>
          <w:bCs w:val="false"/>
          <w:i w:val="false"/>
          <w:iCs w:val="false"/>
          <w:color w:val="6B7280"/>
          <w:sz w:val="20"/>
          <w:szCs w:val="20"/>
        </w:rPr>
        <w:t xml:space="preserve">Harshith Gangaraju  •  BTech CSE Year 1  •  Lendi Institute of Engineering &amp; Technology  •  Andhra Pradesh, India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60"/>
              <w:left w:type="dxa" w:w="240"/>
              <w:bottom w:type="dxa" w:w="160"/>
              <w:right w:type="dxa" w:w="240"/>
            </w:tcMar>
          </w:tcPr>
          <w:p>
            <w:pPr>
              <w:spacing w:before="40" w:after="40"/>
            </w:pPr>
            <w:r>
              <w:rPr>
                <w:rFonts w:ascii="Arial" w:cs="Arial" w:eastAsia="Arial" w:hAnsi="Arial"/>
                <w:b/>
                <w:bCs/>
                <w:color w:val="1A56DB"/>
                <w:sz w:val="20"/>
                <w:szCs w:val="20"/>
              </w:rPr>
              <w:t xml:space="preserve">One-Sentence Pitch</w:t>
            </w:r>
          </w:p>
          <w:p>
            <w:pPr>
              <w:spacing w:before="40" w:after="40"/>
            </w:pPr>
            <w:r>
              <w:rPr>
                <w:rFonts w:ascii="Arial" w:cs="Arial" w:eastAsia="Arial" w:hAnsi="Arial"/>
                <w:b w:val="false"/>
                <w:bCs w:val="false"/>
                <w:color w:val="1A56DB"/>
                <w:sz w:val="22"/>
                <w:szCs w:val="22"/>
              </w:rPr>
              <w:t xml:space="preserve">AEGIS replaces a Rs. 2 Crore per year Security Operations Centre for Rs. 8,000 per month — a self-hosted, 24/7 autonomous compliance and threat intelligence platform that runs inside the customer's own infrastructure, powered by a local AI brain, with zero data ever leaving their environment.</w:t>
            </w:r>
          </w:p>
        </w:tc>
      </w:tr>
    </w:tbl>
    <w:p>
      <w:pPr>
        <w:spacing w:before="200" w:after="0"/>
      </w:pPr>
      <w:r>
        <w:t xml:space="preserve"/>
      </w:r>
    </w:p>
    <w:p>
      <w:r>
        <w:br w:type="page"/>
      </w:r>
    </w:p>
    <w:p>
      <w:pPr>
        <w:pStyle w:val="Heading1"/>
        <w:pBdr>
          <w:left w:val="single" w:color="1A56DB" w:sz="20" w:space="8"/>
        </w:pBdr>
        <w:spacing w:before="400" w:after="160"/>
      </w:pPr>
      <w:r>
        <w:rPr>
          <w:rFonts w:ascii="Arial" w:cs="Arial" w:eastAsia="Arial" w:hAnsi="Arial"/>
          <w:b/>
          <w:bCs/>
          <w:color w:val="111827"/>
          <w:sz w:val="38"/>
          <w:szCs w:val="38"/>
        </w:rPr>
        <w:t xml:space="preserve">1. The Problem AEGIS Solves</w:t>
      </w:r>
    </w:p>
    <w:p>
      <w:pPr>
        <w:spacing w:before="80" w:after="80"/>
        <w:jc w:val="left"/>
      </w:pPr>
      <w:r>
        <w:rPr>
          <w:rFonts w:ascii="Arial" w:cs="Arial" w:eastAsia="Arial" w:hAnsi="Arial"/>
          <w:b w:val="false"/>
          <w:bCs w:val="false"/>
          <w:i w:val="false"/>
          <w:iCs w:val="false"/>
          <w:color w:val="111827"/>
          <w:sz w:val="22"/>
          <w:szCs w:val="22"/>
        </w:rPr>
        <w:t xml:space="preserve">Enterprise security has three structural failures that have remained unsolved for a decade. AEGIS is built to fix all three simultaneously.</w:t>
      </w:r>
    </w:p>
    <w:p>
      <w:pPr>
        <w:spacing w:before="80" w:after="0"/>
      </w:pPr>
      <w:r>
        <w:t xml:space="preserve"/>
      </w:r>
    </w:p>
    <w:p>
      <w:pPr>
        <w:pStyle w:val="Heading2"/>
        <w:pBdr>
          <w:bottom w:val="single" w:color="E5E7EB" w:sz="4"/>
        </w:pBdr>
        <w:spacing w:before="280" w:after="120"/>
      </w:pPr>
      <w:r>
        <w:rPr>
          <w:rFonts w:ascii="Arial" w:cs="Arial" w:eastAsia="Arial" w:hAnsi="Arial"/>
          <w:b/>
          <w:bCs/>
          <w:color w:val="111827"/>
          <w:sz w:val="28"/>
          <w:szCs w:val="28"/>
        </w:rPr>
        <w:t xml:space="preserve">1.1  The Scale of the Alert Problem</w:t>
      </w:r>
    </w:p>
    <w:p>
      <w:pPr>
        <w:spacing w:before="80" w:after="80"/>
        <w:jc w:val="left"/>
      </w:pPr>
      <w:r>
        <w:rPr>
          <w:rFonts w:ascii="Arial" w:cs="Arial" w:eastAsia="Arial" w:hAnsi="Arial"/>
          <w:b w:val="false"/>
          <w:bCs w:val="false"/>
          <w:i w:val="false"/>
          <w:iCs w:val="false"/>
          <w:color w:val="111827"/>
          <w:sz w:val="22"/>
          <w:szCs w:val="22"/>
        </w:rPr>
        <w:t xml:space="preserve">A medium-sized company faces this every single day:</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5E7EB" w:sz="1"/>
              <w:left w:val="single" w:color="E5E7EB" w:sz="1"/>
              <w:bottom w:val="single" w:color="E5E7EB" w:sz="1"/>
              <w:right w:val="single" w:color="E5E7EB" w:sz="1"/>
            </w:tcBorders>
            <w:shd w:fill="1E3A5F"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The Data</w:t>
            </w:r>
          </w:p>
        </w:tc>
        <w:tc>
          <w:tcPr>
            <w:tcW w:type="dxa" w:w="6160"/>
            <w:tcBorders>
              <w:top w:val="single" w:color="E5E7EB" w:sz="1"/>
              <w:left w:val="single" w:color="E5E7EB" w:sz="1"/>
              <w:bottom w:val="single" w:color="E5E7EB" w:sz="1"/>
              <w:right w:val="single" w:color="E5E7EB" w:sz="1"/>
            </w:tcBorders>
            <w:shd w:fill="1E3A5F"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What It Means</w:t>
            </w:r>
          </w:p>
        </w:tc>
      </w:tr>
      <w:tr>
        <w:tc>
          <w:tcPr>
            <w:tcW w:type="dxa" w:w="3200"/>
            <w:tcBorders>
              <w:top w:val="single" w:color="E5E7EB" w:sz="1"/>
              <w:left w:val="single" w:color="E5E7EB" w:sz="1"/>
              <w:bottom w:val="single" w:color="E5E7EB" w:sz="1"/>
              <w:right w:val="single" w:color="E5E7EB" w:sz="1"/>
            </w:tcBorders>
            <w:shd w:fill="F8FAFC"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50,000+ login attempts per day</w:t>
            </w:r>
          </w:p>
        </w:tc>
        <w:tc>
          <w:tcPr>
            <w:tcW w:type="dxa" w:w="6160"/>
            <w:tcBorders>
              <w:top w:val="single" w:color="E5E7EB" w:sz="1"/>
              <w:left w:val="single" w:color="E5E7EB" w:sz="1"/>
              <w:bottom w:val="single" w:color="E5E7EB" w:sz="1"/>
              <w:right w:val="single" w:color="E5E7EB" w:sz="1"/>
            </w:tcBorders>
            <w:shd w:fill="F8FAFC"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Real employees, bots, and attackers mixed together — indistinguishable without AI</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1,000,000+ network connections</w:t>
            </w:r>
          </w:p>
        </w:tc>
        <w:tc>
          <w:tcPr>
            <w:tcW w:type="dxa" w:w="6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Every API call, email, and web request — all generating log data</w:t>
            </w:r>
          </w:p>
        </w:tc>
      </w:tr>
      <w:tr>
        <w:tc>
          <w:tcPr>
            <w:tcW w:type="dxa" w:w="3200"/>
            <w:tcBorders>
              <w:top w:val="single" w:color="E5E7EB" w:sz="1"/>
              <w:left w:val="single" w:color="E5E7EB" w:sz="1"/>
              <w:bottom w:val="single" w:color="E5E7EB" w:sz="1"/>
              <w:right w:val="single" w:color="E5E7EB" w:sz="1"/>
            </w:tcBorders>
            <w:shd w:fill="F8FAFC"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200,000+ file changes</w:t>
            </w:r>
          </w:p>
        </w:tc>
        <w:tc>
          <w:tcPr>
            <w:tcW w:type="dxa" w:w="6160"/>
            <w:tcBorders>
              <w:top w:val="single" w:color="E5E7EB" w:sz="1"/>
              <w:left w:val="single" w:color="E5E7EB" w:sz="1"/>
              <w:bottom w:val="single" w:color="E5E7EB" w:sz="1"/>
              <w:right w:val="single" w:color="E5E7EB" w:sz="1"/>
            </w:tcBorders>
            <w:shd w:fill="F8FAFC"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Every document created, modified, or deleted across the organisation</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10,000–150,000 security alerts</w:t>
            </w:r>
          </w:p>
        </w:tc>
        <w:tc>
          <w:tcPr>
            <w:tcW w:type="dxa" w:w="6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Generated by tools trying to detect threats — 80% are false alarms</w:t>
            </w:r>
          </w:p>
        </w:tc>
      </w:tr>
      <w:tr>
        <w:tc>
          <w:tcPr>
            <w:tcW w:type="dxa" w:w="3200"/>
            <w:tcBorders>
              <w:top w:val="single" w:color="E5E7EB" w:sz="1"/>
              <w:left w:val="single" w:color="E5E7EB" w:sz="1"/>
              <w:bottom w:val="single" w:color="E5E7EB" w:sz="1"/>
              <w:right w:val="single" w:color="E5E7EB" w:sz="1"/>
            </w:tcBorders>
            <w:shd w:fill="F8FAFC"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277 days average dwell time</w:t>
            </w:r>
          </w:p>
        </w:tc>
        <w:tc>
          <w:tcPr>
            <w:tcW w:type="dxa" w:w="6160"/>
            <w:tcBorders>
              <w:top w:val="single" w:color="E5E7EB" w:sz="1"/>
              <w:left w:val="single" w:color="E5E7EB" w:sz="1"/>
              <w:bottom w:val="single" w:color="E5E7EB" w:sz="1"/>
              <w:right w:val="single" w:color="E5E7EB" w:sz="1"/>
            </w:tcBorders>
            <w:shd w:fill="F8FAFC"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How long a hacker hides inside a company before being discovered (Mandiant 2024)</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Rs. 3.9 Crore average breach cost</w:t>
            </w:r>
          </w:p>
        </w:tc>
        <w:tc>
          <w:tcPr>
            <w:tcW w:type="dxa" w:w="6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Cost of a single data breach in India in 2024 (IBM Security Report)</w:t>
            </w:r>
          </w:p>
        </w:tc>
      </w:tr>
    </w:tbl>
    <w:p>
      <w:pPr>
        <w:spacing w:before="160" w:after="0"/>
      </w:pPr>
      <w:r>
        <w:t xml:space="preserve"/>
      </w:r>
    </w:p>
    <w:p>
      <w:pPr>
        <w:pStyle w:val="Heading2"/>
        <w:pBdr>
          <w:bottom w:val="single" w:color="E5E7EB" w:sz="4"/>
        </w:pBdr>
        <w:spacing w:before="280" w:after="120"/>
      </w:pPr>
      <w:r>
        <w:rPr>
          <w:rFonts w:ascii="Arial" w:cs="Arial" w:eastAsia="Arial" w:hAnsi="Arial"/>
          <w:b/>
          <w:bCs/>
          <w:color w:val="111827"/>
          <w:sz w:val="28"/>
          <w:szCs w:val="28"/>
        </w:rPr>
        <w:t xml:space="preserve">1.2  The Three Root Causes</w:t>
      </w:r>
    </w:p>
    <w:p>
      <w:pPr>
        <w:spacing w:before="60" w:after="0"/>
      </w:pPr>
      <w:r>
        <w:t xml:space="preserve"/>
      </w:r>
    </w:p>
    <w:p>
      <w:pPr>
        <w:spacing w:before="200" w:after="80"/>
      </w:pPr>
      <w:r>
        <w:rPr>
          <w:rFonts w:ascii="Arial" w:cs="Arial" w:eastAsia="Arial" w:hAnsi="Arial"/>
          <w:b/>
          <w:bCs/>
          <w:color w:val="1A56DB"/>
          <w:sz w:val="24"/>
          <w:szCs w:val="24"/>
        </w:rPr>
        <w:t xml:space="preserve">Root Cause 1 — Tool Fragmentation</w:t>
      </w:r>
    </w:p>
    <w:p>
      <w:pPr>
        <w:spacing w:before="80" w:after="80"/>
        <w:jc w:val="left"/>
      </w:pPr>
      <w:r>
        <w:rPr>
          <w:rFonts w:ascii="Arial" w:cs="Arial" w:eastAsia="Arial" w:hAnsi="Arial"/>
          <w:b w:val="false"/>
          <w:bCs w:val="false"/>
          <w:i w:val="false"/>
          <w:iCs w:val="false"/>
          <w:color w:val="111827"/>
          <w:sz w:val="22"/>
          <w:szCs w:val="22"/>
        </w:rPr>
        <w:t xml:space="preserve">The average company runs 15 to 20 disconnected security tools. Each watches a different slice of the infrastructure. None share data in real time. Attackers move between these blind spots and go completely undetected.</w:t>
      </w:r>
    </w:p>
    <w:p>
      <w:pPr>
        <w:spacing w:before="80" w:after="0"/>
      </w:pPr>
      <w:r>
        <w:t xml:space="preserve"/>
      </w:r>
    </w:p>
    <w:p>
      <w:pPr>
        <w:spacing w:before="200" w:after="80"/>
      </w:pPr>
      <w:r>
        <w:rPr>
          <w:rFonts w:ascii="Arial" w:cs="Arial" w:eastAsia="Arial" w:hAnsi="Arial"/>
          <w:b/>
          <w:bCs/>
          <w:color w:val="1A56DB"/>
          <w:sz w:val="24"/>
          <w:szCs w:val="24"/>
        </w:rPr>
        <w:t xml:space="preserve">Root Cause 2 — The Talent Shortage</w:t>
      </w:r>
    </w:p>
    <w:p>
      <w:pPr>
        <w:spacing w:before="80" w:after="80"/>
        <w:jc w:val="left"/>
      </w:pPr>
      <w:r>
        <w:rPr>
          <w:rFonts w:ascii="Arial" w:cs="Arial" w:eastAsia="Arial" w:hAnsi="Arial"/>
          <w:b w:val="false"/>
          <w:bCs w:val="false"/>
          <w:i w:val="false"/>
          <w:iCs w:val="false"/>
          <w:color w:val="111827"/>
          <w:sz w:val="22"/>
          <w:szCs w:val="22"/>
        </w:rPr>
        <w:t xml:space="preserve">A senior security analyst in India costs Rs. 15 to 25 lakh per year. You need a minimum of 6 to cover 24/7 operations. That is Rs. 1 to 1.5 crore per year in salaries alone, before tools and training. There are 4 million unfilled cybersecurity positions globally. Companies cannot hire fast enough even if they have the budget.</w:t>
      </w:r>
    </w:p>
    <w:p>
      <w:pPr>
        <w:spacing w:before="80" w:after="0"/>
      </w:pPr>
      <w:r>
        <w:t xml:space="preserve"/>
      </w:r>
    </w:p>
    <w:p>
      <w:pPr>
        <w:spacing w:before="200" w:after="80"/>
      </w:pPr>
      <w:r>
        <w:rPr>
          <w:rFonts w:ascii="Arial" w:cs="Arial" w:eastAsia="Arial" w:hAnsi="Arial"/>
          <w:b/>
          <w:bCs/>
          <w:color w:val="1A56DB"/>
          <w:sz w:val="24"/>
          <w:szCs w:val="24"/>
        </w:rPr>
        <w:t xml:space="preserve">Root Cause 3 — Reactive Architecture</w:t>
      </w:r>
    </w:p>
    <w:p>
      <w:pPr>
        <w:spacing w:before="80" w:after="80"/>
        <w:jc w:val="left"/>
      </w:pPr>
      <w:r>
        <w:rPr>
          <w:rFonts w:ascii="Arial" w:cs="Arial" w:eastAsia="Arial" w:hAnsi="Arial"/>
          <w:b w:val="false"/>
          <w:bCs w:val="false"/>
          <w:i w:val="false"/>
          <w:iCs w:val="false"/>
          <w:color w:val="111827"/>
          <w:sz w:val="22"/>
          <w:szCs w:val="22"/>
        </w:rPr>
        <w:t xml:space="preserve">Every SIEM, every XDR, every MDR product on the market today waits for something bad to happen and then tells you about it. They are alarm systems, not prevention systems. By the time the alarm sounds, the attacker has been inside for months. A reactive system cannot solve a proactive problem.</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2F2" w:val="clear"/>
            <w:tcMar>
              <w:top w:type="dxa" w:w="160"/>
              <w:left w:type="dxa" w:w="240"/>
              <w:bottom w:type="dxa" w:w="160"/>
              <w:right w:type="dxa" w:w="240"/>
            </w:tcMar>
          </w:tcPr>
          <w:p>
            <w:pPr>
              <w:spacing w:before="40" w:after="40"/>
            </w:pPr>
            <w:r>
              <w:rPr>
                <w:rFonts w:ascii="Arial" w:cs="Arial" w:eastAsia="Arial" w:hAnsi="Arial"/>
                <w:b/>
                <w:bCs/>
                <w:color w:val="991B1B"/>
                <w:sz w:val="20"/>
                <w:szCs w:val="20"/>
              </w:rPr>
              <w:t xml:space="preserve">The Mid-Market Gap</w:t>
            </w:r>
          </w:p>
          <w:p>
            <w:pPr>
              <w:spacing w:before="40" w:after="40"/>
            </w:pPr>
            <w:r>
              <w:rPr>
                <w:rFonts w:ascii="Arial" w:cs="Arial" w:eastAsia="Arial" w:hAnsi="Arial"/>
                <w:b w:val="false"/>
                <w:bCs w:val="false"/>
                <w:color w:val="991B1B"/>
                <w:sz w:val="22"/>
                <w:szCs w:val="22"/>
              </w:rPr>
              <w:t xml:space="preserve">Fortune 500 companies can afford Rs. 2 Crore per year Security Operations Centres. The 50,000+ Indian B2B SaaS companies that are scaling toward enterprise customers cannot. They are left with three terrible choices: spend money they do not have, buy disconnected tools that create noise, or hope they are not attacked. Option 3 is the most common. Attackers know this.</w:t>
            </w:r>
          </w:p>
        </w:tc>
      </w:tr>
    </w:tbl>
    <w:p>
      <w:pPr>
        <w:spacing w:before="200" w:after="0"/>
      </w:pPr>
      <w:r>
        <w:t xml:space="preserve"/>
      </w:r>
    </w:p>
    <w:p>
      <w:r>
        <w:br w:type="page"/>
      </w:r>
    </w:p>
    <w:p>
      <w:pPr>
        <w:pStyle w:val="Heading1"/>
        <w:pBdr>
          <w:left w:val="single" w:color="1A56DB" w:sz="20" w:space="8"/>
        </w:pBdr>
        <w:spacing w:before="400" w:after="160"/>
      </w:pPr>
      <w:r>
        <w:rPr>
          <w:rFonts w:ascii="Arial" w:cs="Arial" w:eastAsia="Arial" w:hAnsi="Arial"/>
          <w:b/>
          <w:bCs/>
          <w:color w:val="111827"/>
          <w:sz w:val="38"/>
          <w:szCs w:val="38"/>
        </w:rPr>
        <w:t xml:space="preserve">2. The AEGIS Solution</w:t>
      </w:r>
    </w:p>
    <w:p>
      <w:pPr>
        <w:spacing w:before="80" w:after="80"/>
        <w:jc w:val="left"/>
      </w:pPr>
      <w:r>
        <w:rPr>
          <w:rFonts w:ascii="Arial" w:cs="Arial" w:eastAsia="Arial" w:hAnsi="Arial"/>
          <w:b w:val="false"/>
          <w:bCs w:val="false"/>
          <w:i w:val="false"/>
          <w:iCs w:val="false"/>
          <w:color w:val="111827"/>
          <w:sz w:val="22"/>
          <w:szCs w:val="22"/>
        </w:rPr>
        <w:t xml:space="preserve">AEGIS is not a tool. It is a self-hosted security operating system — a continuously running, self-improving intelligence layer that wraps around an organisation's entire digital infrastructure and runs 24 hours a day, 7 days a week, inside their own servers.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60"/>
              <w:left w:type="dxa" w:w="240"/>
              <w:bottom w:type="dxa" w:w="160"/>
              <w:right w:type="dxa" w:w="240"/>
            </w:tcMar>
          </w:tcPr>
          <w:p>
            <w:pPr>
              <w:spacing w:before="40" w:after="40"/>
            </w:pPr>
            <w:r>
              <w:rPr>
                <w:rFonts w:ascii="Arial" w:cs="Arial" w:eastAsia="Arial" w:hAnsi="Arial"/>
                <w:b/>
                <w:bCs/>
                <w:color w:val="065F46"/>
                <w:sz w:val="20"/>
                <w:szCs w:val="20"/>
              </w:rPr>
              <w:t xml:space="preserve">The Core Philosophy</w:t>
            </w:r>
          </w:p>
          <w:p>
            <w:pPr>
              <w:spacing w:before="40" w:after="40"/>
            </w:pPr>
            <w:r>
              <w:rPr>
                <w:rFonts w:ascii="Arial" w:cs="Arial" w:eastAsia="Arial" w:hAnsi="Arial"/>
                <w:b w:val="false"/>
                <w:bCs w:val="false"/>
                <w:color w:val="065F46"/>
                <w:sz w:val="22"/>
                <w:szCs w:val="22"/>
              </w:rPr>
              <w:t xml:space="preserve">The best time to stop an attack is before it starts. Security should be proactive, autonomous, and self-learning — not reactive, manual, and static. Every decision the AI makes is logged, auditable, and reversible. The human is always in command.</w:t>
            </w:r>
          </w:p>
        </w:tc>
      </w:tr>
    </w:tbl>
    <w:p>
      <w:pPr>
        <w:spacing w:before="160" w:after="0"/>
      </w:pPr>
      <w:r>
        <w:t xml:space="preserve"/>
      </w:r>
    </w:p>
    <w:p>
      <w:pPr>
        <w:pStyle w:val="Heading2"/>
        <w:pBdr>
          <w:bottom w:val="single" w:color="E5E7EB" w:sz="4"/>
        </w:pBdr>
        <w:spacing w:before="280" w:after="120"/>
      </w:pPr>
      <w:r>
        <w:rPr>
          <w:rFonts w:ascii="Arial" w:cs="Arial" w:eastAsia="Arial" w:hAnsi="Arial"/>
          <w:b/>
          <w:bCs/>
          <w:color w:val="111827"/>
          <w:sz w:val="28"/>
          <w:szCs w:val="28"/>
        </w:rPr>
        <w:t xml:space="preserve">2.1  Deployment Architecture</w:t>
      </w:r>
    </w:p>
    <w:p>
      <w:pPr>
        <w:spacing w:before="80" w:after="80"/>
        <w:jc w:val="left"/>
      </w:pPr>
      <w:r>
        <w:rPr>
          <w:rFonts w:ascii="Arial" w:cs="Arial" w:eastAsia="Arial" w:hAnsi="Arial"/>
          <w:b w:val="false"/>
          <w:bCs w:val="false"/>
          <w:i w:val="false"/>
          <w:iCs w:val="false"/>
          <w:color w:val="111827"/>
          <w:sz w:val="22"/>
          <w:szCs w:val="22"/>
        </w:rPr>
        <w:t xml:space="preserve">AEGIS runs in one of two deployment modes depending on customer requirements: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E5E7EB" w:sz="1"/>
              <w:left w:val="single" w:color="E5E7EB" w:sz="1"/>
              <w:bottom w:val="single" w:color="E5E7EB" w:sz="1"/>
              <w:right w:val="single" w:color="E5E7EB" w:sz="1"/>
            </w:tcBorders>
            <w:shd w:fill="1E3A5F"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Deployment Model</w:t>
            </w:r>
          </w:p>
        </w:tc>
        <w:tc>
          <w:tcPr>
            <w:tcW w:type="dxa" w:w="3480"/>
            <w:tcBorders>
              <w:top w:val="single" w:color="E5E7EB" w:sz="1"/>
              <w:left w:val="single" w:color="E5E7EB" w:sz="1"/>
              <w:bottom w:val="single" w:color="E5E7EB" w:sz="1"/>
              <w:right w:val="single" w:color="E5E7EB" w:sz="1"/>
            </w:tcBorders>
            <w:shd w:fill="1E3A5F"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How It Works</w:t>
            </w:r>
          </w:p>
        </w:tc>
        <w:tc>
          <w:tcPr>
            <w:tcW w:type="dxa" w:w="3480"/>
            <w:tcBorders>
              <w:top w:val="single" w:color="E5E7EB" w:sz="1"/>
              <w:left w:val="single" w:color="E5E7EB" w:sz="1"/>
              <w:bottom w:val="single" w:color="E5E7EB" w:sz="1"/>
              <w:right w:val="single" w:color="E5E7EB" w:sz="1"/>
            </w:tcBorders>
            <w:shd w:fill="1E3A5F"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Pricing &amp; Target</w:t>
            </w:r>
          </w:p>
        </w:tc>
      </w:tr>
      <w:tr>
        <w:tc>
          <w:tcPr>
            <w:tcW w:type="dxa" w:w="2400"/>
            <w:tcBorders>
              <w:top w:val="single" w:color="E5E7EB" w:sz="1"/>
              <w:left w:val="single" w:color="E5E7EB" w:sz="1"/>
              <w:bottom w:val="single" w:color="E5E7EB" w:sz="1"/>
              <w:right w:val="single" w:color="E5E7EB" w:sz="1"/>
            </w:tcBorders>
            <w:shd w:fill="F8FAFC" w:val="clear"/>
            <w:tcMar>
              <w:top w:type="dxa" w:w="100"/>
              <w:left w:type="dxa" w:w="140"/>
              <w:bottom w:type="dxa" w:w="100"/>
              <w:right w:type="dxa" w:w="140"/>
            </w:tcMar>
          </w:tcPr>
          <w:p>
            <w:r>
              <w:rPr>
                <w:rFonts w:ascii="Arial" w:cs="Arial" w:eastAsia="Arial" w:hAnsi="Arial"/>
                <w:b/>
                <w:bCs/>
                <w:color w:val="111827"/>
                <w:sz w:val="20"/>
                <w:szCs w:val="20"/>
              </w:rPr>
              <w:t xml:space="preserve">AEGIS-Hosted</w:t>
            </w:r>
          </w:p>
        </w:tc>
        <w:tc>
          <w:tcPr>
            <w:tcW w:type="dxa" w:w="3480"/>
            <w:tcBorders>
              <w:top w:val="single" w:color="E5E7EB" w:sz="1"/>
              <w:left w:val="single" w:color="E5E7EB" w:sz="1"/>
              <w:bottom w:val="single" w:color="E5E7EB" w:sz="1"/>
              <w:right w:val="single" w:color="E5E7EB" w:sz="1"/>
            </w:tcBorders>
            <w:shd w:fill="F8FAFC"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Customer connects via OAuth. AEGIS provisions an isolated VPC per customer on AEGIS infrastructure. No shared environment. Simpler setup. Target: Indian SaaS startups.</w:t>
            </w:r>
          </w:p>
        </w:tc>
        <w:tc>
          <w:tcPr>
            <w:tcW w:type="dxa" w:w="3480"/>
            <w:tcBorders>
              <w:top w:val="single" w:color="E5E7EB" w:sz="1"/>
              <w:left w:val="single" w:color="E5E7EB" w:sz="1"/>
              <w:bottom w:val="single" w:color="E5E7EB" w:sz="1"/>
              <w:right w:val="single" w:color="E5E7EB" w:sz="1"/>
            </w:tcBorders>
            <w:shd w:fill="F8FAFC"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Rs. 8,000 to 15,000/month. Self-serve. Operational in under 1 hour.</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111827"/>
                <w:sz w:val="20"/>
                <w:szCs w:val="20"/>
              </w:rPr>
              <w:t xml:space="preserve">Customer-Hosted (On-Premise)</w:t>
            </w:r>
          </w:p>
        </w:tc>
        <w:tc>
          <w:tcPr>
            <w:tcW w:type="dxa" w:w="348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Docker Compose deployed on customer's own AWS account or server. Zero data leaves their infrastructure. Local LLM, local database, local dashboard. Target: Enterprises and regulated industries.</w:t>
            </w:r>
          </w:p>
        </w:tc>
        <w:tc>
          <w:tcPr>
            <w:tcW w:type="dxa" w:w="348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Rs. 25,000+/month. Strongest privacy guarantee. Full data sovereignty.</w:t>
            </w:r>
          </w:p>
        </w:tc>
      </w:tr>
    </w:tbl>
    <w:p>
      <w:pPr>
        <w:spacing w:before="160" w:after="0"/>
      </w:pPr>
      <w:r>
        <w:t xml:space="preserve"/>
      </w:r>
    </w:p>
    <w:p>
      <w:pPr>
        <w:pStyle w:val="Heading2"/>
        <w:pBdr>
          <w:bottom w:val="single" w:color="E5E7EB" w:sz="4"/>
        </w:pBdr>
        <w:spacing w:before="280" w:after="120"/>
      </w:pPr>
      <w:r>
        <w:rPr>
          <w:rFonts w:ascii="Arial" w:cs="Arial" w:eastAsia="Arial" w:hAnsi="Arial"/>
          <w:b/>
          <w:bCs/>
          <w:color w:val="111827"/>
          <w:sz w:val="28"/>
          <w:szCs w:val="28"/>
        </w:rPr>
        <w:t xml:space="preserve">2.2  The Five AI Agents</w:t>
      </w:r>
    </w:p>
    <w:p>
      <w:pPr>
        <w:spacing w:before="80" w:after="80"/>
        <w:jc w:val="left"/>
      </w:pPr>
      <w:r>
        <w:rPr>
          <w:rFonts w:ascii="Arial" w:cs="Arial" w:eastAsia="Arial" w:hAnsi="Arial"/>
          <w:b w:val="false"/>
          <w:bCs w:val="false"/>
          <w:i w:val="false"/>
          <w:iCs w:val="false"/>
          <w:color w:val="111827"/>
          <w:sz w:val="22"/>
          <w:szCs w:val="22"/>
        </w:rPr>
        <w:t xml:space="preserve">AEGIS runs five specialised agents simultaneously. Each agent has one specific job and runs on its own schedule. Together they form a complete security operations capability.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6160"/>
      </w:tblGrid>
      <w:tr>
        <w:tc>
          <w:tcPr>
            <w:tcW w:type="dxa" w:w="1400"/>
            <w:tcBorders>
              <w:top w:val="single" w:color="E5E7EB" w:sz="1"/>
              <w:left w:val="single" w:color="E5E7EB" w:sz="1"/>
              <w:bottom w:val="single" w:color="E5E7EB" w:sz="1"/>
              <w:right w:val="single" w:color="E5E7EB" w:sz="1"/>
            </w:tcBorders>
            <w:shd w:fill="1E3A5F"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Agent</w:t>
            </w:r>
          </w:p>
        </w:tc>
        <w:tc>
          <w:tcPr>
            <w:tcW w:type="dxa" w:w="1800"/>
            <w:tcBorders>
              <w:top w:val="single" w:color="E5E7EB" w:sz="1"/>
              <w:left w:val="single" w:color="E5E7EB" w:sz="1"/>
              <w:bottom w:val="single" w:color="E5E7EB" w:sz="1"/>
              <w:right w:val="single" w:color="E5E7EB" w:sz="1"/>
            </w:tcBorders>
            <w:shd w:fill="1E3A5F"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Frequency</w:t>
            </w:r>
          </w:p>
        </w:tc>
        <w:tc>
          <w:tcPr>
            <w:tcW w:type="dxa" w:w="6160"/>
            <w:tcBorders>
              <w:top w:val="single" w:color="E5E7EB" w:sz="1"/>
              <w:left w:val="single" w:color="E5E7EB" w:sz="1"/>
              <w:bottom w:val="single" w:color="E5E7EB" w:sz="1"/>
              <w:right w:val="single" w:color="E5E7EB" w:sz="1"/>
            </w:tcBorders>
            <w:shd w:fill="1E3A5F"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What It Does</w:t>
            </w:r>
          </w:p>
        </w:tc>
      </w:tr>
      <w:tr>
        <w:tc>
          <w:tcPr>
            <w:tcW w:type="dxa" w:w="1400"/>
            <w:tcBorders>
              <w:top w:val="single" w:color="E5E7EB" w:sz="1"/>
              <w:left w:val="single" w:color="E5E7EB" w:sz="1"/>
              <w:bottom w:val="single" w:color="E5E7EB" w:sz="1"/>
              <w:right w:val="single" w:color="E5E7EB" w:sz="1"/>
            </w:tcBorders>
            <w:shd w:fill="F8FAFC"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HUNT</w:t>
            </w:r>
          </w:p>
        </w:tc>
        <w:tc>
          <w:tcPr>
            <w:tcW w:type="dxa" w:w="1800"/>
            <w:tcBorders>
              <w:top w:val="single" w:color="E5E7EB" w:sz="1"/>
              <w:left w:val="single" w:color="E5E7EB" w:sz="1"/>
              <w:bottom w:val="single" w:color="E5E7EB" w:sz="1"/>
              <w:right w:val="single" w:color="E5E7EB" w:sz="1"/>
            </w:tcBorders>
            <w:shd w:fill="F8FAFC"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Every 60 sec</w:t>
            </w:r>
          </w:p>
        </w:tc>
        <w:tc>
          <w:tcPr>
            <w:tcW w:type="dxa" w:w="6160"/>
            <w:tcBorders>
              <w:top w:val="single" w:color="E5E7EB" w:sz="1"/>
              <w:left w:val="single" w:color="E5E7EB" w:sz="1"/>
              <w:bottom w:val="single" w:color="E5E7EB" w:sz="1"/>
              <w:right w:val="single" w:color="E5E7EB" w:sz="1"/>
            </w:tcBorders>
            <w:shd w:fill="F8FAFC"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Proactive threat hypothesis engine. Asks: what would an attacker try right now? Scans asset inventory, cross-references CVE database, generates ranked attack hypothesis list by exploitability score. Feeds high-priority hypotheses to RED agent.</w:t>
            </w:r>
          </w:p>
        </w:tc>
      </w:tr>
      <w:tr>
        <w:tc>
          <w:tcPr>
            <w:tcW w:type="dxa" w:w="1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INTEL</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Every 15 min</w:t>
            </w:r>
          </w:p>
        </w:tc>
        <w:tc>
          <w:tcPr>
            <w:tcW w:type="dxa" w:w="6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OSINT intelligence loop. Monitors 15+ global threat feeds, HIBP breach database, paste sites, GitHub for secret leaks, certificate transparency logs, and Shodan for exposed assets. Matches new CVEs against customer's exact tech stack.</w:t>
            </w:r>
          </w:p>
        </w:tc>
      </w:tr>
      <w:tr>
        <w:tc>
          <w:tcPr>
            <w:tcW w:type="dxa" w:w="1400"/>
            <w:tcBorders>
              <w:top w:val="single" w:color="E5E7EB" w:sz="1"/>
              <w:left w:val="single" w:color="E5E7EB" w:sz="1"/>
              <w:bottom w:val="single" w:color="E5E7EB" w:sz="1"/>
              <w:right w:val="single" w:color="E5E7EB" w:sz="1"/>
            </w:tcBorders>
            <w:shd w:fill="F8FAFC"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RED</w:t>
            </w:r>
          </w:p>
        </w:tc>
        <w:tc>
          <w:tcPr>
            <w:tcW w:type="dxa" w:w="1800"/>
            <w:tcBorders>
              <w:top w:val="single" w:color="E5E7EB" w:sz="1"/>
              <w:left w:val="single" w:color="E5E7EB" w:sz="1"/>
              <w:bottom w:val="single" w:color="E5E7EB" w:sz="1"/>
              <w:right w:val="single" w:color="E5E7EB" w:sz="1"/>
            </w:tcBorders>
            <w:shd w:fill="F8FAFC"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Daily 23:00</w:t>
            </w:r>
          </w:p>
        </w:tc>
        <w:tc>
          <w:tcPr>
            <w:tcW w:type="dxa" w:w="6160"/>
            <w:tcBorders>
              <w:top w:val="single" w:color="E5E7EB" w:sz="1"/>
              <w:left w:val="single" w:color="E5E7EB" w:sz="1"/>
              <w:bottom w:val="single" w:color="E5E7EB" w:sz="1"/>
              <w:right w:val="single" w:color="E5E7EB" w:sz="1"/>
            </w:tcBorders>
            <w:shd w:fill="F8FAFC"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Autonomous ethical red team. Runs nightly penetration test against pre-approved in-scope assets. Reconnaissance, vulnerability discovery, safe proof-of-concept exploitation. Maps findings to MITRE ATT&amp;CK framework. Generates actionable fix report by 07:00.</w:t>
            </w:r>
          </w:p>
        </w:tc>
      </w:tr>
      <w:tr>
        <w:tc>
          <w:tcPr>
            <w:tcW w:type="dxa" w:w="1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BLUE</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Under 8 sec</w:t>
            </w:r>
          </w:p>
        </w:tc>
        <w:tc>
          <w:tcPr>
            <w:tcW w:type="dxa" w:w="6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Incident response engine. When a threat is detected, correlates 8 data sources simultaneously in under 8 seconds. Assigns risk score 0 to 100. Executes automated response for low-risk items, escalates high-risk items for human approval.</w:t>
            </w:r>
          </w:p>
        </w:tc>
      </w:tr>
      <w:tr>
        <w:tc>
          <w:tcPr>
            <w:tcW w:type="dxa" w:w="1400"/>
            <w:tcBorders>
              <w:top w:val="single" w:color="E5E7EB" w:sz="1"/>
              <w:left w:val="single" w:color="E5E7EB" w:sz="1"/>
              <w:bottom w:val="single" w:color="E5E7EB" w:sz="1"/>
              <w:right w:val="single" w:color="E5E7EB" w:sz="1"/>
            </w:tcBorders>
            <w:shd w:fill="F8FAFC"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COMPLY</w:t>
            </w:r>
          </w:p>
        </w:tc>
        <w:tc>
          <w:tcPr>
            <w:tcW w:type="dxa" w:w="1800"/>
            <w:tcBorders>
              <w:top w:val="single" w:color="E5E7EB" w:sz="1"/>
              <w:left w:val="single" w:color="E5E7EB" w:sz="1"/>
              <w:bottom w:val="single" w:color="E5E7EB" w:sz="1"/>
              <w:right w:val="single" w:color="E5E7EB" w:sz="1"/>
            </w:tcBorders>
            <w:shd w:fill="F8FAFC"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Every 4 hrs</w:t>
            </w:r>
          </w:p>
        </w:tc>
        <w:tc>
          <w:tcPr>
            <w:tcW w:type="dxa" w:w="6160"/>
            <w:tcBorders>
              <w:top w:val="single" w:color="E5E7EB" w:sz="1"/>
              <w:left w:val="single" w:color="E5E7EB" w:sz="1"/>
              <w:bottom w:val="single" w:color="E5E7EB" w:sz="1"/>
              <w:right w:val="single" w:color="E5E7EB" w:sz="1"/>
            </w:tcBorders>
            <w:shd w:fill="F8FAFC"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Continuous compliance auditor. Checks 20+ API-verifiable SOC2 controls across GitHub, AWS, and Google Workspace every 4 hours. Generates one-click evidence pack for auditors. Alerts on compliance drift within minutes of a violation occurring.</w:t>
            </w:r>
          </w:p>
        </w:tc>
      </w:tr>
    </w:tbl>
    <w:p>
      <w:pPr>
        <w:spacing w:before="160" w:after="0"/>
      </w:pPr>
      <w:r>
        <w:t xml:space="preserve"/>
      </w:r>
    </w:p>
    <w:p>
      <w:pPr>
        <w:pStyle w:val="Heading2"/>
        <w:pBdr>
          <w:bottom w:val="single" w:color="E5E7EB" w:sz="4"/>
        </w:pBdr>
        <w:spacing w:before="280" w:after="120"/>
      </w:pPr>
      <w:r>
        <w:rPr>
          <w:rFonts w:ascii="Arial" w:cs="Arial" w:eastAsia="Arial" w:hAnsi="Arial"/>
          <w:b/>
          <w:bCs/>
          <w:color w:val="111827"/>
          <w:sz w:val="28"/>
          <w:szCs w:val="28"/>
        </w:rPr>
        <w:t xml:space="preserve">2.3  The Risk Gate — Human Always In Control</w:t>
      </w:r>
    </w:p>
    <w:p>
      <w:pPr>
        <w:spacing w:before="80" w:after="80"/>
        <w:jc w:val="left"/>
      </w:pPr>
      <w:r>
        <w:rPr>
          <w:rFonts w:ascii="Arial" w:cs="Arial" w:eastAsia="Arial" w:hAnsi="Arial"/>
          <w:b w:val="false"/>
          <w:bCs w:val="false"/>
          <w:i w:val="false"/>
          <w:iCs w:val="false"/>
          <w:color w:val="111827"/>
          <w:sz w:val="22"/>
          <w:szCs w:val="22"/>
        </w:rPr>
        <w:t xml:space="preserve">Every AI action passes through a hardcoded risk gate before execution. This is the safety architecture that makes AEGIS trustworthy in production environments.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c>
          <w:tcPr>
            <w:tcW w:type="dxa" w:w="1800"/>
            <w:tcBorders>
              <w:top w:val="single" w:color="E5E7EB" w:sz="1"/>
              <w:left w:val="single" w:color="E5E7EB" w:sz="1"/>
              <w:bottom w:val="single" w:color="E5E7EB" w:sz="1"/>
              <w:right w:val="single" w:color="E5E7EB" w:sz="1"/>
            </w:tcBorders>
            <w:shd w:fill="1E3A5F"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Risk Level</w:t>
            </w:r>
          </w:p>
        </w:tc>
        <w:tc>
          <w:tcPr>
            <w:tcW w:type="dxa" w:w="2000"/>
            <w:tcBorders>
              <w:top w:val="single" w:color="E5E7EB" w:sz="1"/>
              <w:left w:val="single" w:color="E5E7EB" w:sz="1"/>
              <w:bottom w:val="single" w:color="E5E7EB" w:sz="1"/>
              <w:right w:val="single" w:color="E5E7EB" w:sz="1"/>
            </w:tcBorders>
            <w:shd w:fill="1E3A5F"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Decision</w:t>
            </w:r>
          </w:p>
        </w:tc>
        <w:tc>
          <w:tcPr>
            <w:tcW w:type="dxa" w:w="5560"/>
            <w:tcBorders>
              <w:top w:val="single" w:color="E5E7EB" w:sz="1"/>
              <w:left w:val="single" w:color="E5E7EB" w:sz="1"/>
              <w:bottom w:val="single" w:color="E5E7EB" w:sz="1"/>
              <w:right w:val="single" w:color="E5E7EB" w:sz="1"/>
            </w:tcBorders>
            <w:shd w:fill="1E3A5F"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What Happens</w:t>
            </w:r>
          </w:p>
        </w:tc>
      </w:tr>
      <w:tr>
        <w:tc>
          <w:tcPr>
            <w:tcW w:type="dxa" w:w="1800"/>
            <w:tcBorders>
              <w:top w:val="single" w:color="E5E7EB" w:sz="1"/>
              <w:left w:val="single" w:color="E5E7EB" w:sz="1"/>
              <w:bottom w:val="single" w:color="E5E7EB" w:sz="1"/>
              <w:right w:val="single" w:color="E5E7EB" w:sz="1"/>
            </w:tcBorders>
            <w:shd w:fill="F8FAFC"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Risk Score 0 to 25</w:t>
            </w:r>
          </w:p>
        </w:tc>
        <w:tc>
          <w:tcPr>
            <w:tcW w:type="dxa" w:w="2000"/>
            <w:tcBorders>
              <w:top w:val="single" w:color="E5E7EB" w:sz="1"/>
              <w:left w:val="single" w:color="E5E7EB" w:sz="1"/>
              <w:bottom w:val="single" w:color="E5E7EB" w:sz="1"/>
              <w:right w:val="single" w:color="E5E7EB" w:sz="1"/>
            </w:tcBorders>
            <w:shd w:fill="F8FAFC" w:val="clear"/>
            <w:tcMar>
              <w:top w:type="dxa" w:w="100"/>
              <w:left w:type="dxa" w:w="140"/>
              <w:bottom w:type="dxa" w:w="100"/>
              <w:right w:type="dxa" w:w="140"/>
            </w:tcMar>
          </w:tcPr>
          <w:p>
            <w:r>
              <w:rPr>
                <w:rFonts w:ascii="Arial" w:cs="Arial" w:eastAsia="Arial" w:hAnsi="Arial"/>
                <w:b/>
                <w:bCs/>
                <w:color w:val="065F46"/>
                <w:sz w:val="20"/>
                <w:szCs w:val="20"/>
              </w:rPr>
              <w:t xml:space="preserve">Auto-Execute</w:t>
            </w:r>
          </w:p>
        </w:tc>
        <w:tc>
          <w:tcPr>
            <w:tcW w:type="dxa" w:w="5560"/>
            <w:tcBorders>
              <w:top w:val="single" w:color="E5E7EB" w:sz="1"/>
              <w:left w:val="single" w:color="E5E7EB" w:sz="1"/>
              <w:bottom w:val="single" w:color="E5E7EB" w:sz="1"/>
              <w:right w:val="single" w:color="E5E7EB" w:sz="1"/>
            </w:tcBorders>
            <w:shd w:fill="F8FAFC"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AI acts immediately and logs the action with full reasoning. Example: blocking a known malicious IP that appears in 12 global threat databases. No human input needed.</w:t>
            </w:r>
          </w:p>
        </w:tc>
      </w:tr>
      <w:tr>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Risk Score 26 to 50</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1D6FA0"/>
                <w:sz w:val="20"/>
                <w:szCs w:val="20"/>
              </w:rPr>
              <w:t xml:space="preserve">Execute + Notify</w:t>
            </w:r>
          </w:p>
        </w:tc>
        <w:tc>
          <w:tcPr>
            <w:tcW w:type="dxa" w:w="5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AI acts and immediately sends a notification to the security operator explaining what it did and why. Operator can review and reverse within 5 minutes.</w:t>
            </w:r>
          </w:p>
        </w:tc>
      </w:tr>
      <w:tr>
        <w:tc>
          <w:tcPr>
            <w:tcW w:type="dxa" w:w="1800"/>
            <w:tcBorders>
              <w:top w:val="single" w:color="E5E7EB" w:sz="1"/>
              <w:left w:val="single" w:color="E5E7EB" w:sz="1"/>
              <w:bottom w:val="single" w:color="E5E7EB" w:sz="1"/>
              <w:right w:val="single" w:color="E5E7EB" w:sz="1"/>
            </w:tcBorders>
            <w:shd w:fill="F8FAFC"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Risk Score 51 to 75</w:t>
            </w:r>
          </w:p>
        </w:tc>
        <w:tc>
          <w:tcPr>
            <w:tcW w:type="dxa" w:w="2000"/>
            <w:tcBorders>
              <w:top w:val="single" w:color="E5E7EB" w:sz="1"/>
              <w:left w:val="single" w:color="E5E7EB" w:sz="1"/>
              <w:bottom w:val="single" w:color="E5E7EB" w:sz="1"/>
              <w:right w:val="single" w:color="E5E7EB" w:sz="1"/>
            </w:tcBorders>
            <w:shd w:fill="F8FAFC" w:val="clear"/>
            <w:tcMar>
              <w:top w:type="dxa" w:w="100"/>
              <w:left w:type="dxa" w:w="140"/>
              <w:bottom w:type="dxa" w:w="100"/>
              <w:right w:type="dxa" w:w="140"/>
            </w:tcMar>
          </w:tcPr>
          <w:p>
            <w:r>
              <w:rPr>
                <w:rFonts w:ascii="Arial" w:cs="Arial" w:eastAsia="Arial" w:hAnsi="Arial"/>
                <w:b/>
                <w:bCs/>
                <w:color w:val="92400E"/>
                <w:sz w:val="20"/>
                <w:szCs w:val="20"/>
              </w:rPr>
              <w:t xml:space="preserve">Pause 15 Minutes</w:t>
            </w:r>
          </w:p>
        </w:tc>
        <w:tc>
          <w:tcPr>
            <w:tcW w:type="dxa" w:w="5560"/>
            <w:tcBorders>
              <w:top w:val="single" w:color="E5E7EB" w:sz="1"/>
              <w:left w:val="single" w:color="E5E7EB" w:sz="1"/>
              <w:bottom w:val="single" w:color="E5E7EB" w:sz="1"/>
              <w:right w:val="single" w:color="E5E7EB" w:sz="1"/>
            </w:tcBorders>
            <w:shd w:fill="F8FAFC"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AI prepares the recommended action but pauses. If the operator does not override, AEGIS proceeds. The pause gives humans a window to intervene.</w:t>
            </w:r>
          </w:p>
        </w:tc>
      </w:tr>
      <w:tr>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Risk Score 76 to 100</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991B1B"/>
                <w:sz w:val="20"/>
                <w:szCs w:val="20"/>
              </w:rPr>
              <w:t xml:space="preserve">Human Required</w:t>
            </w:r>
          </w:p>
        </w:tc>
        <w:tc>
          <w:tcPr>
            <w:tcW w:type="dxa" w:w="5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AI does nothing except prepare a complete analysis and action plan. A human must read it and explicitly approve before any action is taken. No exceptions. No overrides.</w:t>
            </w:r>
          </w:p>
        </w:tc>
      </w:tr>
    </w:tbl>
    <w:p>
      <w:pPr>
        <w:spacing w:before="200" w:after="0"/>
      </w:pPr>
      <w:r>
        <w:t xml:space="preserve"/>
      </w:r>
    </w:p>
    <w:p>
      <w:r>
        <w:br w:type="page"/>
      </w:r>
    </w:p>
    <w:p>
      <w:pPr>
        <w:pStyle w:val="Heading1"/>
        <w:pBdr>
          <w:left w:val="single" w:color="1A56DB" w:sz="20" w:space="8"/>
        </w:pBdr>
        <w:spacing w:before="400" w:after="160"/>
      </w:pPr>
      <w:r>
        <w:rPr>
          <w:rFonts w:ascii="Arial" w:cs="Arial" w:eastAsia="Arial" w:hAnsi="Arial"/>
          <w:b/>
          <w:bCs/>
          <w:color w:val="111827"/>
          <w:sz w:val="38"/>
          <w:szCs w:val="38"/>
        </w:rPr>
        <w:t xml:space="preserve">3. The AI Brain — Technical Architecture</w:t>
      </w:r>
    </w:p>
    <w:p>
      <w:pPr>
        <w:spacing w:before="80" w:after="80"/>
        <w:jc w:val="left"/>
      </w:pPr>
      <w:r>
        <w:rPr>
          <w:rFonts w:ascii="Arial" w:cs="Arial" w:eastAsia="Arial" w:hAnsi="Arial"/>
          <w:b w:val="false"/>
          <w:bCs w:val="false"/>
          <w:i w:val="false"/>
          <w:iCs w:val="false"/>
          <w:color w:val="111827"/>
          <w:sz w:val="22"/>
          <w:szCs w:val="22"/>
        </w:rPr>
        <w:t xml:space="preserve">The AI Brain is AEGIS's most critical competitive differentiator. Unlike every competing product that depends on OpenAI, Anthropic, or Google APIs, AEGIS runs its own proprietary fine-tuned language model entirely within the customer's infrastructure.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60"/>
              <w:left w:type="dxa" w:w="240"/>
              <w:bottom w:type="dxa" w:w="160"/>
              <w:right w:type="dxa" w:w="240"/>
            </w:tcMar>
          </w:tcPr>
          <w:p>
            <w:pPr>
              <w:spacing w:before="40" w:after="40"/>
            </w:pPr>
            <w:r>
              <w:rPr>
                <w:rFonts w:ascii="Arial" w:cs="Arial" w:eastAsia="Arial" w:hAnsi="Arial"/>
                <w:b/>
                <w:bCs/>
                <w:color w:val="1A56DB"/>
                <w:sz w:val="20"/>
                <w:szCs w:val="20"/>
              </w:rPr>
              <w:t xml:space="preserve">Zero External AI Dependency</w:t>
            </w:r>
          </w:p>
          <w:p>
            <w:pPr>
              <w:spacing w:before="40" w:after="40"/>
            </w:pPr>
            <w:r>
              <w:rPr>
                <w:rFonts w:ascii="Arial" w:cs="Arial" w:eastAsia="Arial" w:hAnsi="Arial"/>
                <w:b w:val="false"/>
                <w:bCs w:val="false"/>
                <w:color w:val="1A56DB"/>
                <w:sz w:val="22"/>
                <w:szCs w:val="22"/>
              </w:rPr>
              <w:t xml:space="preserve">No OpenAI. No Anthropic. No Gemini in the critical security path. Your security data — every alert, every incident, every compliance finding — never leaves your environment. This is not a product choice. It is a fundamental security and privacy requirement.</w:t>
            </w:r>
          </w:p>
        </w:tc>
      </w:tr>
    </w:tbl>
    <w:p>
      <w:pPr>
        <w:spacing w:before="160" w:after="0"/>
      </w:pPr>
      <w:r>
        <w:t xml:space="preserve"/>
      </w:r>
    </w:p>
    <w:p>
      <w:pPr>
        <w:pStyle w:val="Heading2"/>
        <w:pBdr>
          <w:bottom w:val="single" w:color="E5E7EB" w:sz="4"/>
        </w:pBdr>
        <w:spacing w:before="280" w:after="120"/>
      </w:pPr>
      <w:r>
        <w:rPr>
          <w:rFonts w:ascii="Arial" w:cs="Arial" w:eastAsia="Arial" w:hAnsi="Arial"/>
          <w:b/>
          <w:bCs/>
          <w:color w:val="111827"/>
          <w:sz w:val="28"/>
          <w:szCs w:val="28"/>
        </w:rPr>
        <w:t xml:space="preserve">3.1  Three-Layer Learning Architecture</w:t>
      </w:r>
    </w:p>
    <w:p>
      <w:pPr>
        <w:spacing w:before="80" w:after="0"/>
      </w:pPr>
      <w:r>
        <w:t xml:space="preserve"/>
      </w:r>
    </w:p>
    <w:p>
      <w:pPr>
        <w:spacing w:before="200" w:after="80"/>
      </w:pPr>
      <w:r>
        <w:rPr>
          <w:rFonts w:ascii="Arial" w:cs="Arial" w:eastAsia="Arial" w:hAnsi="Arial"/>
          <w:b/>
          <w:bCs/>
          <w:color w:val="1A56DB"/>
          <w:sz w:val="24"/>
          <w:szCs w:val="24"/>
        </w:rPr>
        <w:t xml:space="preserve">Layer 1 — RAG: Real-Time Knowledge Injection</w:t>
      </w:r>
    </w:p>
    <w:p>
      <w:pPr>
        <w:spacing w:before="80" w:after="80"/>
        <w:jc w:val="left"/>
      </w:pPr>
      <w:r>
        <w:rPr>
          <w:rFonts w:ascii="Arial" w:cs="Arial" w:eastAsia="Arial" w:hAnsi="Arial"/>
          <w:b w:val="false"/>
          <w:bCs w:val="false"/>
          <w:i w:val="false"/>
          <w:iCs w:val="false"/>
          <w:color w:val="111827"/>
          <w:sz w:val="22"/>
          <w:szCs w:val="22"/>
        </w:rPr>
        <w:t xml:space="preserve">Retrieval-Augmented Generation solves the stale knowledge problem. When a new CVE is published on the NVD database, AEGIS knows about it within 60 seconds.</w:t>
      </w:r>
    </w:p>
    <w:p>
      <w:pPr>
        <w:spacing w:before="60" w:after="0"/>
      </w:pPr>
      <w:r>
        <w:t xml:space="preserve"/>
      </w:r>
    </w:p>
    <w:p>
      <w:pPr>
        <w:pStyle w:val="ListParagraph"/>
        <w:numPr>
          <w:ilvl w:val="0"/>
          <w:numId w:val="2"/>
        </w:numPr>
        <w:spacing w:before="60" w:after="60"/>
      </w:pPr>
      <w:r>
        <w:rPr>
          <w:rFonts w:ascii="Arial" w:cs="Arial" w:eastAsia="Arial" w:hAnsi="Arial"/>
          <w:b w:val="false"/>
          <w:bCs w:val="false"/>
          <w:i w:val="false"/>
          <w:iCs w:val="false"/>
          <w:color w:val="111827"/>
          <w:sz w:val="22"/>
          <w:szCs w:val="22"/>
        </w:rPr>
        <w:t xml:space="preserve">Every 60 seconds: INTEL agent fetches from 15+ threat feeds including NVD, CISA KEV, VirusTotal, and AlienVault OTX</w:t>
      </w:r>
    </w:p>
    <w:p>
      <w:pPr>
        <w:pStyle w:val="ListParagraph"/>
        <w:numPr>
          <w:ilvl w:val="0"/>
          <w:numId w:val="2"/>
        </w:numPr>
        <w:spacing w:before="60" w:after="60"/>
      </w:pPr>
      <w:r>
        <w:rPr>
          <w:rFonts w:ascii="Arial" w:cs="Arial" w:eastAsia="Arial" w:hAnsi="Arial"/>
          <w:b w:val="false"/>
          <w:bCs w:val="false"/>
          <w:i w:val="false"/>
          <w:iCs w:val="false"/>
          <w:color w:val="111827"/>
          <w:sz w:val="22"/>
          <w:szCs w:val="22"/>
        </w:rPr>
        <w:t xml:space="preserve">New data is chunked and embedded via sentence-transformers into mathematical vectors representing meaning</w:t>
      </w:r>
    </w:p>
    <w:p>
      <w:pPr>
        <w:pStyle w:val="ListParagraph"/>
        <w:numPr>
          <w:ilvl w:val="0"/>
          <w:numId w:val="2"/>
        </w:numPr>
        <w:spacing w:before="60" w:after="60"/>
      </w:pPr>
      <w:r>
        <w:rPr>
          <w:rFonts w:ascii="Arial" w:cs="Arial" w:eastAsia="Arial" w:hAnsi="Arial"/>
          <w:b w:val="false"/>
          <w:bCs w:val="false"/>
          <w:i w:val="false"/>
          <w:iCs w:val="false"/>
          <w:color w:val="111827"/>
          <w:sz w:val="22"/>
          <w:szCs w:val="22"/>
        </w:rPr>
        <w:t xml:space="preserve">Embeddings stored in self-hosted Weaviate vector database — sub-200ms retrieval on any query</w:t>
      </w:r>
    </w:p>
    <w:p>
      <w:pPr>
        <w:pStyle w:val="ListParagraph"/>
        <w:numPr>
          <w:ilvl w:val="0"/>
          <w:numId w:val="2"/>
        </w:numPr>
        <w:spacing w:before="60" w:after="60"/>
      </w:pPr>
      <w:r>
        <w:rPr>
          <w:rFonts w:ascii="Arial" w:cs="Arial" w:eastAsia="Arial" w:hAnsi="Arial"/>
          <w:b w:val="false"/>
          <w:bCs w:val="false"/>
          <w:i w:val="false"/>
          <w:iCs w:val="false"/>
          <w:color w:val="111827"/>
          <w:sz w:val="22"/>
          <w:szCs w:val="22"/>
        </w:rPr>
        <w:t xml:space="preserve">On each AI decision: system retrieves the most relevant current threat intelligence and injects it into the model's reasoning</w:t>
      </w:r>
    </w:p>
    <w:p>
      <w:pPr>
        <w:pStyle w:val="ListParagraph"/>
        <w:numPr>
          <w:ilvl w:val="0"/>
          <w:numId w:val="2"/>
        </w:numPr>
        <w:spacing w:before="60" w:after="60"/>
      </w:pPr>
      <w:r>
        <w:rPr>
          <w:rFonts w:ascii="Arial" w:cs="Arial" w:eastAsia="Arial" w:hAnsi="Arial"/>
          <w:b w:val="false"/>
          <w:bCs w:val="false"/>
          <w:i w:val="false"/>
          <w:iCs w:val="false"/>
          <w:color w:val="111827"/>
          <w:sz w:val="22"/>
          <w:szCs w:val="22"/>
        </w:rPr>
        <w:t xml:space="preserve">Result: the AI always reasons with current knowledge, never stale training data</w:t>
      </w:r>
    </w:p>
    <w:p>
      <w:pPr>
        <w:spacing w:before="120" w:after="0"/>
      </w:pPr>
      <w:r>
        <w:t xml:space="preserve"/>
      </w:r>
    </w:p>
    <w:p>
      <w:pPr>
        <w:spacing w:before="200" w:after="80"/>
      </w:pPr>
      <w:r>
        <w:rPr>
          <w:rFonts w:ascii="Arial" w:cs="Arial" w:eastAsia="Arial" w:hAnsi="Arial"/>
          <w:b/>
          <w:bCs/>
          <w:color w:val="1A56DB"/>
          <w:sz w:val="24"/>
          <w:szCs w:val="24"/>
        </w:rPr>
        <w:t xml:space="preserve">Layer 2 — QLoRA: Daily Domain Specialisation</w:t>
      </w:r>
    </w:p>
    <w:p>
      <w:pPr>
        <w:spacing w:before="80" w:after="80"/>
        <w:jc w:val="left"/>
      </w:pPr>
      <w:r>
        <w:rPr>
          <w:rFonts w:ascii="Arial" w:cs="Arial" w:eastAsia="Arial" w:hAnsi="Arial"/>
          <w:b w:val="false"/>
          <w:bCs w:val="false"/>
          <w:i w:val="false"/>
          <w:iCs w:val="false"/>
          <w:color w:val="111827"/>
          <w:sz w:val="22"/>
          <w:szCs w:val="22"/>
        </w:rPr>
        <w:t xml:space="preserve">Quantised Low-Rank Adaptation transforms the base Llama 3.1 8B general intelligence into a cybersecurity specialist. Every night at 02:00, the model is updated based on everything that happened that day.</w:t>
      </w:r>
    </w:p>
    <w:p>
      <w:pPr>
        <w:spacing w:before="60" w:after="0"/>
      </w:pPr>
      <w:r>
        <w:t xml:space="preserve"/>
      </w:r>
    </w:p>
    <w:p>
      <w:pPr>
        <w:pStyle w:val="ListParagraph"/>
        <w:numPr>
          <w:ilvl w:val="0"/>
          <w:numId w:val="2"/>
        </w:numPr>
        <w:spacing w:before="60" w:after="60"/>
      </w:pPr>
      <w:r>
        <w:rPr>
          <w:rFonts w:ascii="Arial" w:cs="Arial" w:eastAsia="Arial" w:hAnsi="Arial"/>
          <w:b w:val="false"/>
          <w:bCs w:val="false"/>
          <w:i w:val="false"/>
          <w:iCs w:val="false"/>
          <w:color w:val="111827"/>
          <w:sz w:val="22"/>
          <w:szCs w:val="22"/>
        </w:rPr>
        <w:t xml:space="preserve">Only 0.1 to 1% of model parameters updated per training run — efficient on a single GPU</w:t>
      </w:r>
    </w:p>
    <w:p>
      <w:pPr>
        <w:pStyle w:val="ListParagraph"/>
        <w:numPr>
          <w:ilvl w:val="0"/>
          <w:numId w:val="2"/>
        </w:numPr>
        <w:spacing w:before="60" w:after="60"/>
      </w:pPr>
      <w:r>
        <w:rPr>
          <w:rFonts w:ascii="Arial" w:cs="Arial" w:eastAsia="Arial" w:hAnsi="Arial"/>
          <w:b w:val="false"/>
          <w:bCs w:val="false"/>
          <w:i w:val="false"/>
          <w:iCs w:val="false"/>
          <w:color w:val="111827"/>
          <w:sz w:val="22"/>
          <w:szCs w:val="22"/>
        </w:rPr>
        <w:t xml:space="preserve">No catastrophic forgetting — LoRA adapters preserve base knowledge while adding security domain expertise</w:t>
      </w:r>
    </w:p>
    <w:p>
      <w:pPr>
        <w:pStyle w:val="ListParagraph"/>
        <w:numPr>
          <w:ilvl w:val="0"/>
          <w:numId w:val="2"/>
        </w:numPr>
        <w:spacing w:before="60" w:after="60"/>
      </w:pPr>
      <w:r>
        <w:rPr>
          <w:rFonts w:ascii="Arial" w:cs="Arial" w:eastAsia="Arial" w:hAnsi="Arial"/>
          <w:b w:val="false"/>
          <w:bCs w:val="false"/>
          <w:i w:val="false"/>
          <w:iCs w:val="false"/>
          <w:color w:val="111827"/>
          <w:sz w:val="22"/>
          <w:szCs w:val="22"/>
        </w:rPr>
        <w:t xml:space="preserve">Every adapter version stored — rollback to any previous state at any time</w:t>
      </w:r>
    </w:p>
    <w:p>
      <w:pPr>
        <w:pStyle w:val="ListParagraph"/>
        <w:numPr>
          <w:ilvl w:val="0"/>
          <w:numId w:val="2"/>
        </w:numPr>
        <w:spacing w:before="60" w:after="60"/>
      </w:pPr>
      <w:r>
        <w:rPr>
          <w:rFonts w:ascii="Arial" w:cs="Arial" w:eastAsia="Arial" w:hAnsi="Arial"/>
          <w:b w:val="false"/>
          <w:bCs w:val="false"/>
          <w:i w:val="false"/>
          <w:iCs w:val="false"/>
          <w:color w:val="111827"/>
          <w:sz w:val="22"/>
          <w:szCs w:val="22"/>
        </w:rPr>
        <w:t xml:space="preserve">Result: the model that wakes up tomorrow is measurably smarter than the one that ran today</w:t>
      </w:r>
    </w:p>
    <w:p>
      <w:pPr>
        <w:spacing w:before="120" w:after="0"/>
      </w:pPr>
      <w:r>
        <w:t xml:space="preserve"/>
      </w:r>
    </w:p>
    <w:p>
      <w:pPr>
        <w:spacing w:before="200" w:after="80"/>
      </w:pPr>
      <w:r>
        <w:rPr>
          <w:rFonts w:ascii="Arial" w:cs="Arial" w:eastAsia="Arial" w:hAnsi="Arial"/>
          <w:b/>
          <w:bCs/>
          <w:color w:val="1A56DB"/>
          <w:sz w:val="24"/>
          <w:szCs w:val="24"/>
        </w:rPr>
        <w:t xml:space="preserve">Layer 3 — RL Reward Loop: Learning From Outcomes</w:t>
      </w:r>
    </w:p>
    <w:p>
      <w:pPr>
        <w:spacing w:before="80" w:after="80"/>
        <w:jc w:val="left"/>
      </w:pPr>
      <w:r>
        <w:rPr>
          <w:rFonts w:ascii="Arial" w:cs="Arial" w:eastAsia="Arial" w:hAnsi="Arial"/>
          <w:b w:val="false"/>
          <w:bCs w:val="false"/>
          <w:i w:val="false"/>
          <w:iCs w:val="false"/>
          <w:color w:val="111827"/>
          <w:sz w:val="22"/>
          <w:szCs w:val="22"/>
        </w:rPr>
        <w:t xml:space="preserve">Every decision the AI makes is tracked against real-world outcomes. The model learns which reasoning patterns lead to correct outcomes and which do not. Updated weekly using Proximal Policy Optimisation.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000"/>
        <w:gridCol w:w="3160"/>
      </w:tblGrid>
      <w:tr>
        <w:tc>
          <w:tcPr>
            <w:tcW w:type="dxa" w:w="4200"/>
            <w:tcBorders>
              <w:top w:val="single" w:color="E5E7EB" w:sz="1"/>
              <w:left w:val="single" w:color="E5E7EB" w:sz="1"/>
              <w:bottom w:val="single" w:color="E5E7EB" w:sz="1"/>
              <w:right w:val="single" w:color="E5E7EB" w:sz="1"/>
            </w:tcBorders>
            <w:shd w:fill="1E3A5F"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Event</w:t>
            </w:r>
          </w:p>
        </w:tc>
        <w:tc>
          <w:tcPr>
            <w:tcW w:type="dxa" w:w="2000"/>
            <w:tcBorders>
              <w:top w:val="single" w:color="E5E7EB" w:sz="1"/>
              <w:left w:val="single" w:color="E5E7EB" w:sz="1"/>
              <w:bottom w:val="single" w:color="E5E7EB" w:sz="1"/>
              <w:right w:val="single" w:color="E5E7EB" w:sz="1"/>
            </w:tcBorders>
            <w:shd w:fill="1E3A5F"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Signal</w:t>
            </w:r>
          </w:p>
        </w:tc>
        <w:tc>
          <w:tcPr>
            <w:tcW w:type="dxa" w:w="3160"/>
            <w:tcBorders>
              <w:top w:val="single" w:color="E5E7EB" w:sz="1"/>
              <w:left w:val="single" w:color="E5E7EB" w:sz="1"/>
              <w:bottom w:val="single" w:color="E5E7EB" w:sz="1"/>
              <w:right w:val="single" w:color="E5E7EB" w:sz="1"/>
            </w:tcBorders>
            <w:shd w:fill="1E3A5F"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Learning Direction</w:t>
            </w:r>
          </w:p>
        </w:tc>
      </w:tr>
      <w:tr>
        <w:tc>
          <w:tcPr>
            <w:tcW w:type="dxa" w:w="4200"/>
            <w:tcBorders>
              <w:top w:val="single" w:color="E5E7EB" w:sz="1"/>
              <w:left w:val="single" w:color="E5E7EB" w:sz="1"/>
              <w:bottom w:val="single" w:color="E5E7EB" w:sz="1"/>
              <w:right w:val="single" w:color="E5E7EB" w:sz="1"/>
            </w:tcBorders>
            <w:shd w:fill="F8FAFC"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HUNT hypothesis confirmed by subsequent real attack</w:t>
            </w:r>
          </w:p>
        </w:tc>
        <w:tc>
          <w:tcPr>
            <w:tcW w:type="dxa" w:w="2000"/>
            <w:tcBorders>
              <w:top w:val="single" w:color="E5E7EB" w:sz="1"/>
              <w:left w:val="single" w:color="E5E7EB" w:sz="1"/>
              <w:bottom w:val="single" w:color="E5E7EB" w:sz="1"/>
              <w:right w:val="single" w:color="E5E7EB" w:sz="1"/>
            </w:tcBorders>
            <w:shd w:fill="F8FAFC"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+1.0 reward</w:t>
            </w:r>
          </w:p>
        </w:tc>
        <w:tc>
          <w:tcPr>
            <w:tcW w:type="dxa" w:w="3160"/>
            <w:tcBorders>
              <w:top w:val="single" w:color="E5E7EB" w:sz="1"/>
              <w:left w:val="single" w:color="E5E7EB" w:sz="1"/>
              <w:bottom w:val="single" w:color="E5E7EB" w:sz="1"/>
              <w:right w:val="single" w:color="E5E7EB" w:sz="1"/>
            </w:tcBorders>
            <w:shd w:fill="F8FAFC"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Do this more</w:t>
            </w:r>
          </w:p>
        </w:tc>
      </w:tr>
      <w:tr>
        <w:tc>
          <w:tcPr>
            <w:tcW w:type="dxa" w:w="4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BLUE classification matches security analyst judgement</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+0.8 reward</w:t>
            </w:r>
          </w:p>
        </w:tc>
        <w:tc>
          <w:tcPr>
            <w:tcW w:type="dxa" w:w="3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Do this more</w:t>
            </w:r>
          </w:p>
        </w:tc>
      </w:tr>
      <w:tr>
        <w:tc>
          <w:tcPr>
            <w:tcW w:type="dxa" w:w="4200"/>
            <w:tcBorders>
              <w:top w:val="single" w:color="E5E7EB" w:sz="1"/>
              <w:left w:val="single" w:color="E5E7EB" w:sz="1"/>
              <w:bottom w:val="single" w:color="E5E7EB" w:sz="1"/>
              <w:right w:val="single" w:color="E5E7EB" w:sz="1"/>
            </w:tcBorders>
            <w:shd w:fill="F8FAFC"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RED finding confirmed in follow-up external pentest</w:t>
            </w:r>
          </w:p>
        </w:tc>
        <w:tc>
          <w:tcPr>
            <w:tcW w:type="dxa" w:w="2000"/>
            <w:tcBorders>
              <w:top w:val="single" w:color="E5E7EB" w:sz="1"/>
              <w:left w:val="single" w:color="E5E7EB" w:sz="1"/>
              <w:bottom w:val="single" w:color="E5E7EB" w:sz="1"/>
              <w:right w:val="single" w:color="E5E7EB" w:sz="1"/>
            </w:tcBorders>
            <w:shd w:fill="F8FAFC"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+0.9 reward</w:t>
            </w:r>
          </w:p>
        </w:tc>
        <w:tc>
          <w:tcPr>
            <w:tcW w:type="dxa" w:w="3160"/>
            <w:tcBorders>
              <w:top w:val="single" w:color="E5E7EB" w:sz="1"/>
              <w:left w:val="single" w:color="E5E7EB" w:sz="1"/>
              <w:bottom w:val="single" w:color="E5E7EB" w:sz="1"/>
              <w:right w:val="single" w:color="E5E7EB" w:sz="1"/>
            </w:tcBorders>
            <w:shd w:fill="F8FAFC"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Do this more</w:t>
            </w:r>
          </w:p>
        </w:tc>
      </w:tr>
      <w:tr>
        <w:tc>
          <w:tcPr>
            <w:tcW w:type="dxa" w:w="4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False positive alert — analyst overrides AI decision</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-0.5 penalty</w:t>
            </w:r>
          </w:p>
        </w:tc>
        <w:tc>
          <w:tcPr>
            <w:tcW w:type="dxa" w:w="3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Do this less</w:t>
            </w:r>
          </w:p>
        </w:tc>
      </w:tr>
      <w:tr>
        <w:tc>
          <w:tcPr>
            <w:tcW w:type="dxa" w:w="4200"/>
            <w:tcBorders>
              <w:top w:val="single" w:color="E5E7EB" w:sz="1"/>
              <w:left w:val="single" w:color="E5E7EB" w:sz="1"/>
              <w:bottom w:val="single" w:color="E5E7EB" w:sz="1"/>
              <w:right w:val="single" w:color="E5E7EB" w:sz="1"/>
            </w:tcBorders>
            <w:shd w:fill="F8FAFC"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Missed threat — found by external audit after AEGIS missed it</w:t>
            </w:r>
          </w:p>
        </w:tc>
        <w:tc>
          <w:tcPr>
            <w:tcW w:type="dxa" w:w="2000"/>
            <w:tcBorders>
              <w:top w:val="single" w:color="E5E7EB" w:sz="1"/>
              <w:left w:val="single" w:color="E5E7EB" w:sz="1"/>
              <w:bottom w:val="single" w:color="E5E7EB" w:sz="1"/>
              <w:right w:val="single" w:color="E5E7EB" w:sz="1"/>
            </w:tcBorders>
            <w:shd w:fill="F8FAFC"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-1.0 penalty</w:t>
            </w:r>
          </w:p>
        </w:tc>
        <w:tc>
          <w:tcPr>
            <w:tcW w:type="dxa" w:w="3160"/>
            <w:tcBorders>
              <w:top w:val="single" w:color="E5E7EB" w:sz="1"/>
              <w:left w:val="single" w:color="E5E7EB" w:sz="1"/>
              <w:bottom w:val="single" w:color="E5E7EB" w:sz="1"/>
              <w:right w:val="single" w:color="E5E7EB" w:sz="1"/>
            </w:tcBorders>
            <w:shd w:fill="F8FAFC"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Do this much less</w:t>
            </w:r>
          </w:p>
        </w:tc>
      </w:tr>
      <w:tr>
        <w:tc>
          <w:tcPr>
            <w:tcW w:type="dxa" w:w="4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RED agent scope violation attempt</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-2.0 penalty</w:t>
            </w:r>
          </w:p>
        </w:tc>
        <w:tc>
          <w:tcPr>
            <w:tcW w:type="dxa" w:w="3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Never do this</w:t>
            </w:r>
          </w:p>
        </w:tc>
      </w:tr>
    </w:tbl>
    <w:p>
      <w:pPr>
        <w:spacing w:before="200" w:after="0"/>
      </w:pPr>
      <w:r>
        <w:t xml:space="preserve"/>
      </w:r>
    </w:p>
    <w:p>
      <w:r>
        <w:br w:type="page"/>
      </w:r>
    </w:p>
    <w:p>
      <w:pPr>
        <w:pStyle w:val="Heading1"/>
        <w:pBdr>
          <w:left w:val="single" w:color="1A56DB" w:sz="20" w:space="8"/>
        </w:pBdr>
        <w:spacing w:before="400" w:after="160"/>
      </w:pPr>
      <w:r>
        <w:rPr>
          <w:rFonts w:ascii="Arial" w:cs="Arial" w:eastAsia="Arial" w:hAnsi="Arial"/>
          <w:b/>
          <w:bCs/>
          <w:color w:val="111827"/>
          <w:sz w:val="38"/>
          <w:szCs w:val="38"/>
        </w:rPr>
        <w:t xml:space="preserve">4. Full Enterprise Platform Architecture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1"/>
              <w:left w:val="single" w:color="E5E7EB" w:sz="1"/>
              <w:bottom w:val="single" w:color="E5E7EB" w:sz="1"/>
              <w:right w:val="single" w:color="E5E7EB" w:sz="1"/>
            </w:tcBorders>
            <w:shd w:fill="1E3A5F"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Layer</w:t>
            </w:r>
          </w:p>
        </w:tc>
        <w:tc>
          <w:tcPr>
            <w:tcW w:type="dxa" w:w="6960"/>
            <w:tcBorders>
              <w:top w:val="single" w:color="E5E7EB" w:sz="1"/>
              <w:left w:val="single" w:color="E5E7EB" w:sz="1"/>
              <w:bottom w:val="single" w:color="E5E7EB" w:sz="1"/>
              <w:right w:val="single" w:color="E5E7EB" w:sz="1"/>
            </w:tcBorders>
            <w:shd w:fill="1E3A5F"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Description</w:t>
            </w:r>
          </w:p>
        </w:tc>
      </w:tr>
      <w:tr>
        <w:tc>
          <w:tcPr>
            <w:tcW w:type="dxa" w:w="2400"/>
            <w:tcBorders>
              <w:top w:val="single" w:color="E5E7EB" w:sz="1"/>
              <w:left w:val="single" w:color="E5E7EB" w:sz="1"/>
              <w:bottom w:val="single" w:color="E5E7EB" w:sz="1"/>
              <w:right w:val="single" w:color="E5E7EB" w:sz="1"/>
            </w:tcBorders>
            <w:shd w:fill="F8FAFC" w:val="clear"/>
            <w:tcMar>
              <w:top w:type="dxa" w:w="100"/>
              <w:left w:type="dxa" w:w="140"/>
              <w:bottom w:type="dxa" w:w="100"/>
              <w:right w:type="dxa" w:w="140"/>
            </w:tcMar>
          </w:tcPr>
          <w:p>
            <w:r>
              <w:rPr>
                <w:rFonts w:ascii="Arial" w:cs="Arial" w:eastAsia="Arial" w:hAnsi="Arial"/>
                <w:b/>
                <w:bCs/>
                <w:color w:val="111827"/>
                <w:sz w:val="20"/>
                <w:szCs w:val="20"/>
              </w:rPr>
              <w:t xml:space="preserve">Ingestion Layer</w:t>
            </w:r>
          </w:p>
        </w:tc>
        <w:tc>
          <w:tcPr>
            <w:tcW w:type="dxa" w:w="6960"/>
            <w:tcBorders>
              <w:top w:val="single" w:color="E5E7EB" w:sz="1"/>
              <w:left w:val="single" w:color="E5E7EB" w:sz="1"/>
              <w:bottom w:val="single" w:color="E5E7EB" w:sz="1"/>
              <w:right w:val="single" w:color="E5E7EB" w:sz="1"/>
            </w:tcBorders>
            <w:shd w:fill="F8FAFC"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REST API (FastAPI), WebSocket real-time streams, gRPC internal communication, Admin Portal (React + TypeScript). Accepts data from cloud APIs, SIEM connectors, endpoint agents, CI/CD pipelines, and network taps.</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111827"/>
                <w:sz w:val="20"/>
                <w:szCs w:val="20"/>
              </w:rPr>
              <w:t xml:space="preserve">Security Layer</w:t>
            </w:r>
          </w:p>
        </w:tc>
        <w:tc>
          <w:tcPr>
            <w:tcW w:type="dxa" w:w="69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12 checks on every request: Session validation, rate limiting, input sanitisation, MFA verification, RBAC enforcement, prompt injection guard, PII auto-masking, immutable audit logging, anomaly detection, AES-256 encryption, scope enforcement, tenant isolation.</w:t>
            </w:r>
          </w:p>
        </w:tc>
      </w:tr>
      <w:tr>
        <w:tc>
          <w:tcPr>
            <w:tcW w:type="dxa" w:w="2400"/>
            <w:tcBorders>
              <w:top w:val="single" w:color="E5E7EB" w:sz="1"/>
              <w:left w:val="single" w:color="E5E7EB" w:sz="1"/>
              <w:bottom w:val="single" w:color="E5E7EB" w:sz="1"/>
              <w:right w:val="single" w:color="E5E7EB" w:sz="1"/>
            </w:tcBorders>
            <w:shd w:fill="F8FAFC" w:val="clear"/>
            <w:tcMar>
              <w:top w:type="dxa" w:w="100"/>
              <w:left w:type="dxa" w:w="140"/>
              <w:bottom w:type="dxa" w:w="100"/>
              <w:right w:type="dxa" w:w="140"/>
            </w:tcMar>
          </w:tcPr>
          <w:p>
            <w:r>
              <w:rPr>
                <w:rFonts w:ascii="Arial" w:cs="Arial" w:eastAsia="Arial" w:hAnsi="Arial"/>
                <w:b/>
                <w:bCs/>
                <w:color w:val="111827"/>
                <w:sz w:val="20"/>
                <w:szCs w:val="20"/>
              </w:rPr>
              <w:t xml:space="preserve">Agent Orchestration</w:t>
            </w:r>
          </w:p>
        </w:tc>
        <w:tc>
          <w:tcPr>
            <w:tcW w:type="dxa" w:w="6960"/>
            <w:tcBorders>
              <w:top w:val="single" w:color="E5E7EB" w:sz="1"/>
              <w:left w:val="single" w:color="E5E7EB" w:sz="1"/>
              <w:bottom w:val="single" w:color="E5E7EB" w:sz="1"/>
              <w:right w:val="single" w:color="E5E7EB" w:sz="1"/>
            </w:tcBorders>
            <w:shd w:fill="F8FAFC"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Celery distributed task queue + Redis. Manages all five agents simultaneously with priority queuing. Handles agent scheduling, retry logic, failure recovery, and cross-agent data sharing.</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111827"/>
                <w:sz w:val="20"/>
                <w:szCs w:val="20"/>
              </w:rPr>
              <w:t xml:space="preserve">AI Brain Layer</w:t>
            </w:r>
          </w:p>
        </w:tc>
        <w:tc>
          <w:tcPr>
            <w:tcW w:type="dxa" w:w="69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Self-hosted Llama 3.1 8B (4-bit quantised). RAG pipeline via Weaviate + LangChain. Daily QLoRA fine-tuning via HuggingFace PEFT. Weekly RL reward loop via HuggingFace TRL (PPO algorithm).</w:t>
            </w:r>
          </w:p>
        </w:tc>
      </w:tr>
      <w:tr>
        <w:tc>
          <w:tcPr>
            <w:tcW w:type="dxa" w:w="2400"/>
            <w:tcBorders>
              <w:top w:val="single" w:color="E5E7EB" w:sz="1"/>
              <w:left w:val="single" w:color="E5E7EB" w:sz="1"/>
              <w:bottom w:val="single" w:color="E5E7EB" w:sz="1"/>
              <w:right w:val="single" w:color="E5E7EB" w:sz="1"/>
            </w:tcBorders>
            <w:shd w:fill="F8FAFC" w:val="clear"/>
            <w:tcMar>
              <w:top w:type="dxa" w:w="100"/>
              <w:left w:type="dxa" w:w="140"/>
              <w:bottom w:type="dxa" w:w="100"/>
              <w:right w:type="dxa" w:w="140"/>
            </w:tcMar>
          </w:tcPr>
          <w:p>
            <w:r>
              <w:rPr>
                <w:rFonts w:ascii="Arial" w:cs="Arial" w:eastAsia="Arial" w:hAnsi="Arial"/>
                <w:b/>
                <w:bCs/>
                <w:color w:val="111827"/>
                <w:sz w:val="20"/>
                <w:szCs w:val="20"/>
              </w:rPr>
              <w:t xml:space="preserve">Workflow Engine</w:t>
            </w:r>
          </w:p>
        </w:tc>
        <w:tc>
          <w:tcPr>
            <w:tcW w:type="dxa" w:w="6960"/>
            <w:tcBorders>
              <w:top w:val="single" w:color="E5E7EB" w:sz="1"/>
              <w:left w:val="single" w:color="E5E7EB" w:sz="1"/>
              <w:bottom w:val="single" w:color="E5E7EB" w:sz="1"/>
              <w:right w:val="single" w:color="E5E7EB" w:sz="1"/>
            </w:tcBorders>
            <w:shd w:fill="F8FAFC"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Risk Gate decision engine, approval flow management, runbook execution, SLA tracking, escalation paths, auto-remediation for low-risk actions, finding lifecycle management end to end.</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111827"/>
                <w:sz w:val="20"/>
                <w:szCs w:val="20"/>
              </w:rPr>
              <w:t xml:space="preserve">Integration Layer</w:t>
            </w:r>
          </w:p>
        </w:tc>
        <w:tc>
          <w:tcPr>
            <w:tcW w:type="dxa" w:w="69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Bidirectional Slack, Microsoft Teams, Jira, ServiceNow, PagerDuty, OpsGenie. SIEM connectors for Splunk, IBM QRadar, Microsoft Sentinel. Full REST API with OpenAPI 3.0 spec. Webhook support.</w:t>
            </w:r>
          </w:p>
        </w:tc>
      </w:tr>
      <w:tr>
        <w:tc>
          <w:tcPr>
            <w:tcW w:type="dxa" w:w="2400"/>
            <w:tcBorders>
              <w:top w:val="single" w:color="E5E7EB" w:sz="1"/>
              <w:left w:val="single" w:color="E5E7EB" w:sz="1"/>
              <w:bottom w:val="single" w:color="E5E7EB" w:sz="1"/>
              <w:right w:val="single" w:color="E5E7EB" w:sz="1"/>
            </w:tcBorders>
            <w:shd w:fill="F8FAFC" w:val="clear"/>
            <w:tcMar>
              <w:top w:type="dxa" w:w="100"/>
              <w:left w:type="dxa" w:w="140"/>
              <w:bottom w:type="dxa" w:w="100"/>
              <w:right w:type="dxa" w:w="140"/>
            </w:tcMar>
          </w:tcPr>
          <w:p>
            <w:r>
              <w:rPr>
                <w:rFonts w:ascii="Arial" w:cs="Arial" w:eastAsia="Arial" w:hAnsi="Arial"/>
                <w:b/>
                <w:bCs/>
                <w:color w:val="111827"/>
                <w:sz w:val="20"/>
                <w:szCs w:val="20"/>
              </w:rPr>
              <w:t xml:space="preserve">Data Layer</w:t>
            </w:r>
          </w:p>
        </w:tc>
        <w:tc>
          <w:tcPr>
            <w:tcW w:type="dxa" w:w="6960"/>
            <w:tcBorders>
              <w:top w:val="single" w:color="E5E7EB" w:sz="1"/>
              <w:left w:val="single" w:color="E5E7EB" w:sz="1"/>
              <w:bottom w:val="single" w:color="E5E7EB" w:sz="1"/>
              <w:right w:val="single" w:color="E5E7EB" w:sz="1"/>
            </w:tcBorders>
            <w:shd w:fill="F8FAFC"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PostgreSQL 16 with Row-Level Security for tenant isolation. Redis for sub-millisecond caching. Weaviate for vector embeddings. TimescaleDB for time-series security metrics. Elasticsearch for full-text finding search.</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111827"/>
                <w:sz w:val="20"/>
                <w:szCs w:val="20"/>
              </w:rPr>
              <w:t xml:space="preserve">Infrastructure Layer</w:t>
            </w:r>
          </w:p>
        </w:tc>
        <w:tc>
          <w:tcPr>
            <w:tcW w:type="dxa" w:w="69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Kubernetes + Helm for container orchestration. Terraform for infrastructure as code. Prometheus + Grafana + OpenTelemetry for full observability. ArgoCD for GitOps deployment. HashiCorp Vault for secrets management. Istio service mesh. Falco runtime security.</w:t>
            </w:r>
          </w:p>
        </w:tc>
      </w:tr>
    </w:tbl>
    <w:p>
      <w:pPr>
        <w:spacing w:before="200" w:after="0"/>
      </w:pPr>
      <w:r>
        <w:t xml:space="preserve"/>
      </w:r>
    </w:p>
    <w:p>
      <w:r>
        <w:br w:type="page"/>
      </w:r>
    </w:p>
    <w:p>
      <w:pPr>
        <w:pStyle w:val="Heading1"/>
        <w:pBdr>
          <w:left w:val="single" w:color="1A56DB" w:sz="20" w:space="8"/>
        </w:pBdr>
        <w:spacing w:before="400" w:after="160"/>
      </w:pPr>
      <w:r>
        <w:rPr>
          <w:rFonts w:ascii="Arial" w:cs="Arial" w:eastAsia="Arial" w:hAnsi="Arial"/>
          <w:b/>
          <w:bCs/>
          <w:color w:val="111827"/>
          <w:sz w:val="38"/>
          <w:szCs w:val="38"/>
        </w:rPr>
        <w:t xml:space="preserve">5. Enterprise Access Control — Five-Tier RBAC</w:t>
      </w:r>
    </w:p>
    <w:p>
      <w:pPr>
        <w:spacing w:before="80" w:after="80"/>
        <w:jc w:val="left"/>
      </w:pPr>
      <w:r>
        <w:rPr>
          <w:rFonts w:ascii="Arial" w:cs="Arial" w:eastAsia="Arial" w:hAnsi="Arial"/>
          <w:b w:val="false"/>
          <w:bCs w:val="false"/>
          <w:i w:val="false"/>
          <w:iCs w:val="false"/>
          <w:color w:val="111827"/>
          <w:sz w:val="22"/>
          <w:szCs w:val="22"/>
        </w:rPr>
        <w:t xml:space="preserve">Enterprise security teams require granular access control. AEGIS implements a five-tier role hierarchy where every user sees exactly what they need and nothing more.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400"/>
        <w:gridCol w:w="3360"/>
      </w:tblGrid>
      <w:tr>
        <w:tc>
          <w:tcPr>
            <w:tcW w:type="dxa" w:w="1600"/>
            <w:tcBorders>
              <w:top w:val="single" w:color="E5E7EB" w:sz="1"/>
              <w:left w:val="single" w:color="E5E7EB" w:sz="1"/>
              <w:bottom w:val="single" w:color="E5E7EB" w:sz="1"/>
              <w:right w:val="single" w:color="E5E7EB" w:sz="1"/>
            </w:tcBorders>
            <w:shd w:fill="1E3A5F"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
            </w:r>
          </w:p>
        </w:tc>
        <w:tc>
          <w:tcPr>
            <w:tcW w:type="dxa" w:w="2000"/>
            <w:tcBorders>
              <w:top w:val="single" w:color="E5E7EB" w:sz="1"/>
              <w:left w:val="single" w:color="E5E7EB" w:sz="1"/>
              <w:bottom w:val="single" w:color="E5E7EB" w:sz="1"/>
              <w:right w:val="single" w:color="E5E7EB" w:sz="1"/>
            </w:tcBorders>
            <w:shd w:fill="1E3A5F"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Role</w:t>
            </w:r>
          </w:p>
        </w:tc>
        <w:tc>
          <w:tcPr>
            <w:tcW w:type="dxa" w:w="2400"/>
            <w:tcBorders>
              <w:top w:val="single" w:color="E5E7EB" w:sz="1"/>
              <w:left w:val="single" w:color="E5E7EB" w:sz="1"/>
              <w:bottom w:val="single" w:color="E5E7EB" w:sz="1"/>
              <w:right w:val="single" w:color="E5E7EB" w:sz="1"/>
            </w:tcBorders>
            <w:shd w:fill="1E3A5F"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Typical User</w:t>
            </w:r>
          </w:p>
        </w:tc>
        <w:tc>
          <w:tcPr>
            <w:tcW w:type="dxa" w:w="3360"/>
            <w:tcBorders>
              <w:top w:val="single" w:color="E5E7EB" w:sz="1"/>
              <w:left w:val="single" w:color="E5E7EB" w:sz="1"/>
              <w:bottom w:val="single" w:color="E5E7EB" w:sz="1"/>
              <w:right w:val="single" w:color="E5E7EB" w:sz="1"/>
            </w:tcBorders>
            <w:shd w:fill="1E3A5F"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Permissions &amp; Access</w:t>
            </w:r>
          </w:p>
        </w:tc>
      </w:tr>
      <w:tr>
        <w:tc>
          <w:tcPr>
            <w:tcW w:type="dxa" w:w="1600"/>
            <w:tcBorders>
              <w:top w:val="single" w:color="E5E7EB" w:sz="1"/>
              <w:left w:val="single" w:color="E5E7EB" w:sz="1"/>
              <w:bottom w:val="single" w:color="E5E7EB" w:sz="1"/>
              <w:right w:val="single" w:color="E5E7EB" w:sz="1"/>
            </w:tcBorders>
            <w:shd w:fill="F8FAFC" w:val="clear"/>
            <w:tcMar>
              <w:top w:type="dxa" w:w="100"/>
              <w:left w:type="dxa" w:w="140"/>
              <w:bottom w:type="dxa" w:w="100"/>
              <w:right w:type="dxa" w:w="140"/>
            </w:tcMar>
          </w:tcPr>
          <w:p>
            <w:r>
              <w:rPr>
                <w:rFonts w:ascii="Arial" w:cs="Arial" w:eastAsia="Arial" w:hAnsi="Arial"/>
                <w:b/>
                <w:bCs/>
                <w:color w:val="111827"/>
                <w:sz w:val="20"/>
                <w:szCs w:val="20"/>
              </w:rPr>
              <w:t xml:space="preserve">Tier 1</w:t>
            </w:r>
          </w:p>
        </w:tc>
        <w:tc>
          <w:tcPr>
            <w:tcW w:type="dxa" w:w="2000"/>
            <w:tcBorders>
              <w:top w:val="single" w:color="E5E7EB" w:sz="1"/>
              <w:left w:val="single" w:color="E5E7EB" w:sz="1"/>
              <w:bottom w:val="single" w:color="E5E7EB" w:sz="1"/>
              <w:right w:val="single" w:color="E5E7EB" w:sz="1"/>
            </w:tcBorders>
            <w:shd w:fill="F8FAFC" w:val="clear"/>
            <w:tcMar>
              <w:top w:type="dxa" w:w="100"/>
              <w:left w:type="dxa" w:w="140"/>
              <w:bottom w:type="dxa" w:w="100"/>
              <w:right w:type="dxa" w:w="140"/>
            </w:tcMar>
          </w:tcPr>
          <w:p>
            <w:r>
              <w:rPr>
                <w:rFonts w:ascii="Arial" w:cs="Arial" w:eastAsia="Arial" w:hAnsi="Arial"/>
                <w:b/>
                <w:bCs/>
                <w:color w:val="111827"/>
                <w:sz w:val="20"/>
                <w:szCs w:val="20"/>
              </w:rPr>
              <w:t xml:space="preserve">Enterprise Admin</w:t>
            </w:r>
          </w:p>
        </w:tc>
        <w:tc>
          <w:tcPr>
            <w:tcW w:type="dxa" w:w="2400"/>
            <w:tcBorders>
              <w:top w:val="single" w:color="E5E7EB" w:sz="1"/>
              <w:left w:val="single" w:color="E5E7EB" w:sz="1"/>
              <w:bottom w:val="single" w:color="E5E7EB" w:sz="1"/>
              <w:right w:val="single" w:color="E5E7EB" w:sz="1"/>
            </w:tcBorders>
            <w:shd w:fill="F8FAFC"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CTO / Founder</w:t>
            </w:r>
          </w:p>
        </w:tc>
        <w:tc>
          <w:tcPr>
            <w:tcW w:type="dxa" w:w="3360"/>
            <w:tcBorders>
              <w:top w:val="single" w:color="E5E7EB" w:sz="1"/>
              <w:left w:val="single" w:color="E5E7EB" w:sz="1"/>
              <w:bottom w:val="single" w:color="E5E7EB" w:sz="1"/>
              <w:right w:val="single" w:color="E5E7EB" w:sz="1"/>
            </w:tcBorders>
            <w:shd w:fill="F8FAFC"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Full platform access. Manages all integrations, billing, and user accounts. Approves all AI actions with Risk Score 76+. Gets complete compliance reports and evidence pack. Can override any AI decision at any time.</w:t>
            </w:r>
          </w:p>
        </w:tc>
      </w:tr>
      <w:tr>
        <w:tc>
          <w:tcPr>
            <w:tcW w:type="dxa" w:w="1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111827"/>
                <w:sz w:val="20"/>
                <w:szCs w:val="20"/>
              </w:rPr>
              <w:t xml:space="preserve">Tier 2</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111827"/>
                <w:sz w:val="20"/>
                <w:szCs w:val="20"/>
              </w:rPr>
              <w:t xml:space="preserve">CISO / Security Lead</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Head of Security</w:t>
            </w:r>
          </w:p>
        </w:tc>
        <w:tc>
          <w:tcPr>
            <w:tcW w:type="dxa" w:w="3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Sees all findings and agent outputs. Approves AI actions up to Risk Score 75. Can assign findings, suppress false positives, and manage security workflows. Cannot change billing or integrations.</w:t>
            </w:r>
          </w:p>
        </w:tc>
      </w:tr>
      <w:tr>
        <w:tc>
          <w:tcPr>
            <w:tcW w:type="dxa" w:w="1600"/>
            <w:tcBorders>
              <w:top w:val="single" w:color="E5E7EB" w:sz="1"/>
              <w:left w:val="single" w:color="E5E7EB" w:sz="1"/>
              <w:bottom w:val="single" w:color="E5E7EB" w:sz="1"/>
              <w:right w:val="single" w:color="E5E7EB" w:sz="1"/>
            </w:tcBorders>
            <w:shd w:fill="F8FAFC" w:val="clear"/>
            <w:tcMar>
              <w:top w:type="dxa" w:w="100"/>
              <w:left w:type="dxa" w:w="140"/>
              <w:bottom w:type="dxa" w:w="100"/>
              <w:right w:type="dxa" w:w="140"/>
            </w:tcMar>
          </w:tcPr>
          <w:p>
            <w:r>
              <w:rPr>
                <w:rFonts w:ascii="Arial" w:cs="Arial" w:eastAsia="Arial" w:hAnsi="Arial"/>
                <w:b/>
                <w:bCs/>
                <w:color w:val="111827"/>
                <w:sz w:val="20"/>
                <w:szCs w:val="20"/>
              </w:rPr>
              <w:t xml:space="preserve">Tier 3</w:t>
            </w:r>
          </w:p>
        </w:tc>
        <w:tc>
          <w:tcPr>
            <w:tcW w:type="dxa" w:w="2000"/>
            <w:tcBorders>
              <w:top w:val="single" w:color="E5E7EB" w:sz="1"/>
              <w:left w:val="single" w:color="E5E7EB" w:sz="1"/>
              <w:bottom w:val="single" w:color="E5E7EB" w:sz="1"/>
              <w:right w:val="single" w:color="E5E7EB" w:sz="1"/>
            </w:tcBorders>
            <w:shd w:fill="F8FAFC" w:val="clear"/>
            <w:tcMar>
              <w:top w:type="dxa" w:w="100"/>
              <w:left w:type="dxa" w:w="140"/>
              <w:bottom w:type="dxa" w:w="100"/>
              <w:right w:type="dxa" w:w="140"/>
            </w:tcMar>
          </w:tcPr>
          <w:p>
            <w:r>
              <w:rPr>
                <w:rFonts w:ascii="Arial" w:cs="Arial" w:eastAsia="Arial" w:hAnsi="Arial"/>
                <w:b/>
                <w:bCs/>
                <w:color w:val="111827"/>
                <w:sz w:val="20"/>
                <w:szCs w:val="20"/>
              </w:rPr>
              <w:t xml:space="preserve">Security Analyst</w:t>
            </w:r>
          </w:p>
        </w:tc>
        <w:tc>
          <w:tcPr>
            <w:tcW w:type="dxa" w:w="2400"/>
            <w:tcBorders>
              <w:top w:val="single" w:color="E5E7EB" w:sz="1"/>
              <w:left w:val="single" w:color="E5E7EB" w:sz="1"/>
              <w:bottom w:val="single" w:color="E5E7EB" w:sz="1"/>
              <w:right w:val="single" w:color="E5E7EB" w:sz="1"/>
            </w:tcBorders>
            <w:shd w:fill="F8FAFC"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Security Team Member</w:t>
            </w:r>
          </w:p>
        </w:tc>
        <w:tc>
          <w:tcPr>
            <w:tcW w:type="dxa" w:w="3360"/>
            <w:tcBorders>
              <w:top w:val="single" w:color="E5E7EB" w:sz="1"/>
              <w:left w:val="single" w:color="E5E7EB" w:sz="1"/>
              <w:bottom w:val="single" w:color="E5E7EB" w:sz="1"/>
              <w:right w:val="single" w:color="E5E7EB" w:sz="1"/>
            </w:tcBorders>
            <w:shd w:fill="F8FAFC"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Sees all findings. Adds notes and comments. Marks findings as in-progress or resolved. Receives Slack and PagerDuty alerts. Cannot approve AI actions. Cannot see raw credentials.</w:t>
            </w:r>
          </w:p>
        </w:tc>
      </w:tr>
      <w:tr>
        <w:tc>
          <w:tcPr>
            <w:tcW w:type="dxa" w:w="1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111827"/>
                <w:sz w:val="20"/>
                <w:szCs w:val="20"/>
              </w:rPr>
              <w:t xml:space="preserve">Tier 4</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111827"/>
                <w:sz w:val="20"/>
                <w:szCs w:val="20"/>
              </w:rPr>
              <w:t xml:space="preserve">Developer / Engineer</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Engineering Team</w:t>
            </w:r>
          </w:p>
        </w:tc>
        <w:tc>
          <w:tcPr>
            <w:tcW w:type="dxa" w:w="3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Sees ONLY findings assigned to them. Gets exact step-by-step fix instructions for their specific stack. Can mark fixes as complete. Receives Jira ticket for their assigned issue. No visibility into other findings.</w:t>
            </w:r>
          </w:p>
        </w:tc>
      </w:tr>
      <w:tr>
        <w:tc>
          <w:tcPr>
            <w:tcW w:type="dxa" w:w="1600"/>
            <w:tcBorders>
              <w:top w:val="single" w:color="E5E7EB" w:sz="1"/>
              <w:left w:val="single" w:color="E5E7EB" w:sz="1"/>
              <w:bottom w:val="single" w:color="E5E7EB" w:sz="1"/>
              <w:right w:val="single" w:color="E5E7EB" w:sz="1"/>
            </w:tcBorders>
            <w:shd w:fill="F8FAFC" w:val="clear"/>
            <w:tcMar>
              <w:top w:type="dxa" w:w="100"/>
              <w:left w:type="dxa" w:w="140"/>
              <w:bottom w:type="dxa" w:w="100"/>
              <w:right w:type="dxa" w:w="140"/>
            </w:tcMar>
          </w:tcPr>
          <w:p>
            <w:r>
              <w:rPr>
                <w:rFonts w:ascii="Arial" w:cs="Arial" w:eastAsia="Arial" w:hAnsi="Arial"/>
                <w:b/>
                <w:bCs/>
                <w:color w:val="111827"/>
                <w:sz w:val="20"/>
                <w:szCs w:val="20"/>
              </w:rPr>
              <w:t xml:space="preserve">Tier 5</w:t>
            </w:r>
          </w:p>
        </w:tc>
        <w:tc>
          <w:tcPr>
            <w:tcW w:type="dxa" w:w="2000"/>
            <w:tcBorders>
              <w:top w:val="single" w:color="E5E7EB" w:sz="1"/>
              <w:left w:val="single" w:color="E5E7EB" w:sz="1"/>
              <w:bottom w:val="single" w:color="E5E7EB" w:sz="1"/>
              <w:right w:val="single" w:color="E5E7EB" w:sz="1"/>
            </w:tcBorders>
            <w:shd w:fill="F8FAFC" w:val="clear"/>
            <w:tcMar>
              <w:top w:type="dxa" w:w="100"/>
              <w:left w:type="dxa" w:w="140"/>
              <w:bottom w:type="dxa" w:w="100"/>
              <w:right w:type="dxa" w:w="140"/>
            </w:tcMar>
          </w:tcPr>
          <w:p>
            <w:r>
              <w:rPr>
                <w:rFonts w:ascii="Arial" w:cs="Arial" w:eastAsia="Arial" w:hAnsi="Arial"/>
                <w:b/>
                <w:bCs/>
                <w:color w:val="111827"/>
                <w:sz w:val="20"/>
                <w:szCs w:val="20"/>
              </w:rPr>
              <w:t xml:space="preserve">Read-Only Viewer</w:t>
            </w:r>
          </w:p>
        </w:tc>
        <w:tc>
          <w:tcPr>
            <w:tcW w:type="dxa" w:w="2400"/>
            <w:tcBorders>
              <w:top w:val="single" w:color="E5E7EB" w:sz="1"/>
              <w:left w:val="single" w:color="E5E7EB" w:sz="1"/>
              <w:bottom w:val="single" w:color="E5E7EB" w:sz="1"/>
              <w:right w:val="single" w:color="E5E7EB" w:sz="1"/>
            </w:tcBorders>
            <w:shd w:fill="F8FAFC"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Auditor / Board / Investor</w:t>
            </w:r>
          </w:p>
        </w:tc>
        <w:tc>
          <w:tcPr>
            <w:tcW w:type="dxa" w:w="3360"/>
            <w:tcBorders>
              <w:top w:val="single" w:color="E5E7EB" w:sz="1"/>
              <w:left w:val="single" w:color="E5E7EB" w:sz="1"/>
              <w:bottom w:val="single" w:color="E5E7EB" w:sz="1"/>
              <w:right w:val="single" w:color="E5E7EB" w:sz="1"/>
            </w:tcBorders>
            <w:shd w:fill="F8FAFC"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Compliance score dashboard only. No finding detail. No agent control. Time-limited access (30, 60, or 90 days configurable). Used for external audit reviews and board security briefings.</w:t>
            </w:r>
          </w:p>
        </w:tc>
      </w:tr>
    </w:tbl>
    <w:p>
      <w:pPr>
        <w:spacing w:before="160" w:after="0"/>
      </w:pPr>
      <w:r>
        <w:t xml:space="preserve"/>
      </w:r>
    </w:p>
    <w:p>
      <w:pPr>
        <w:pStyle w:val="Heading2"/>
        <w:pBdr>
          <w:bottom w:val="single" w:color="E5E7EB" w:sz="4"/>
        </w:pBdr>
        <w:spacing w:before="280" w:after="120"/>
      </w:pPr>
      <w:r>
        <w:rPr>
          <w:rFonts w:ascii="Arial" w:cs="Arial" w:eastAsia="Arial" w:hAnsi="Arial"/>
          <w:b/>
          <w:bCs/>
          <w:color w:val="111827"/>
          <w:sz w:val="28"/>
          <w:szCs w:val="28"/>
        </w:rPr>
        <w:t xml:space="preserve">5.1  Enterprise SSO &amp; Provisioning</w:t>
      </w:r>
    </w:p>
    <w:p>
      <w:pPr>
        <w:spacing w:before="60" w:after="0"/>
      </w:pPr>
      <w:r>
        <w:t xml:space="preserve"/>
      </w:r>
    </w:p>
    <w:p>
      <w:pPr>
        <w:pStyle w:val="ListParagraph"/>
        <w:numPr>
          <w:ilvl w:val="0"/>
          <w:numId w:val="2"/>
        </w:numPr>
        <w:spacing w:before="60" w:after="60"/>
      </w:pPr>
      <w:r>
        <w:rPr>
          <w:rFonts w:ascii="Arial" w:cs="Arial" w:eastAsia="Arial" w:hAnsi="Arial"/>
          <w:b w:val="false"/>
          <w:bCs w:val="false"/>
          <w:i w:val="false"/>
          <w:iCs w:val="false"/>
          <w:color w:val="111827"/>
          <w:sz w:val="22"/>
          <w:szCs w:val="22"/>
        </w:rPr>
        <w:t xml:space="preserve">SAML 2.0 integration with Okta, Microsoft Azure Active Directory, Google Workspace, and OneLogin</w:t>
      </w:r>
    </w:p>
    <w:p>
      <w:pPr>
        <w:pStyle w:val="ListParagraph"/>
        <w:numPr>
          <w:ilvl w:val="0"/>
          <w:numId w:val="2"/>
        </w:numPr>
        <w:spacing w:before="60" w:after="60"/>
      </w:pPr>
      <w:r>
        <w:rPr>
          <w:rFonts w:ascii="Arial" w:cs="Arial" w:eastAsia="Arial" w:hAnsi="Arial"/>
          <w:b w:val="false"/>
          <w:bCs w:val="false"/>
          <w:i w:val="false"/>
          <w:iCs w:val="false"/>
          <w:color w:val="111827"/>
          <w:sz w:val="22"/>
          <w:szCs w:val="22"/>
        </w:rPr>
        <w:t xml:space="preserve">SCIM 2.0 automatic user provisioning — when an employee is added to Okta, they appear in AEGIS automatically</w:t>
      </w:r>
    </w:p>
    <w:p>
      <w:pPr>
        <w:pStyle w:val="ListParagraph"/>
        <w:numPr>
          <w:ilvl w:val="0"/>
          <w:numId w:val="2"/>
        </w:numPr>
        <w:spacing w:before="60" w:after="60"/>
      </w:pPr>
      <w:r>
        <w:rPr>
          <w:rFonts w:ascii="Arial" w:cs="Arial" w:eastAsia="Arial" w:hAnsi="Arial"/>
          <w:b w:val="false"/>
          <w:bCs w:val="false"/>
          <w:i w:val="false"/>
          <w:iCs w:val="false"/>
          <w:color w:val="111827"/>
          <w:sz w:val="22"/>
          <w:szCs w:val="22"/>
        </w:rPr>
        <w:t xml:space="preserve">SCIM de-provisioning — when an employee is offboarded, access is revoked within seconds</w:t>
      </w:r>
    </w:p>
    <w:p>
      <w:pPr>
        <w:pStyle w:val="ListParagraph"/>
        <w:numPr>
          <w:ilvl w:val="0"/>
          <w:numId w:val="2"/>
        </w:numPr>
        <w:spacing w:before="60" w:after="60"/>
      </w:pPr>
      <w:r>
        <w:rPr>
          <w:rFonts w:ascii="Arial" w:cs="Arial" w:eastAsia="Arial" w:hAnsi="Arial"/>
          <w:b w:val="false"/>
          <w:bCs w:val="false"/>
          <w:i w:val="false"/>
          <w:iCs w:val="false"/>
          <w:color w:val="111827"/>
          <w:sz w:val="22"/>
          <w:szCs w:val="22"/>
        </w:rPr>
        <w:t xml:space="preserve">MFA enforced on all AEGIS accounts regardless of SSO provider</w:t>
      </w:r>
    </w:p>
    <w:p>
      <w:pPr>
        <w:pStyle w:val="ListParagraph"/>
        <w:numPr>
          <w:ilvl w:val="0"/>
          <w:numId w:val="2"/>
        </w:numPr>
        <w:spacing w:before="60" w:after="60"/>
      </w:pPr>
      <w:r>
        <w:rPr>
          <w:rFonts w:ascii="Arial" w:cs="Arial" w:eastAsia="Arial" w:hAnsi="Arial"/>
          <w:b w:val="false"/>
          <w:bCs w:val="false"/>
          <w:i w:val="false"/>
          <w:iCs w:val="false"/>
          <w:color w:val="111827"/>
          <w:sz w:val="22"/>
          <w:szCs w:val="22"/>
        </w:rPr>
        <w:t xml:space="preserve">Hardware security key support (YubiKey, FIDO2) for Tier 1 and Tier 2 accounts</w:t>
      </w:r>
    </w:p>
    <w:p>
      <w:pPr>
        <w:spacing w:before="200" w:after="0"/>
      </w:pPr>
      <w:r>
        <w:t xml:space="preserve"/>
      </w:r>
    </w:p>
    <w:p>
      <w:r>
        <w:br w:type="page"/>
      </w:r>
    </w:p>
    <w:p>
      <w:pPr>
        <w:pStyle w:val="Heading1"/>
        <w:pBdr>
          <w:left w:val="single" w:color="1A56DB" w:sz="20" w:space="8"/>
        </w:pBdr>
        <w:spacing w:before="400" w:after="160"/>
      </w:pPr>
      <w:r>
        <w:rPr>
          <w:rFonts w:ascii="Arial" w:cs="Arial" w:eastAsia="Arial" w:hAnsi="Arial"/>
          <w:b/>
          <w:bCs/>
          <w:color w:val="111827"/>
          <w:sz w:val="38"/>
          <w:szCs w:val="38"/>
        </w:rPr>
        <w:t xml:space="preserve">6. COMPLY Agent — SOC2 Compliance in Detail</w:t>
      </w:r>
    </w:p>
    <w:p>
      <w:pPr>
        <w:spacing w:before="80" w:after="80"/>
        <w:jc w:val="left"/>
      </w:pPr>
      <w:r>
        <w:rPr>
          <w:rFonts w:ascii="Arial" w:cs="Arial" w:eastAsia="Arial" w:hAnsi="Arial"/>
          <w:b w:val="false"/>
          <w:bCs w:val="false"/>
          <w:i w:val="false"/>
          <w:iCs w:val="false"/>
          <w:color w:val="111827"/>
          <w:sz w:val="22"/>
          <w:szCs w:val="22"/>
        </w:rPr>
        <w:t xml:space="preserve">COMPLY is the Phase 1 product — the entry point that gets AEGIS its first customers and proves the business. It solves a specific, urgent, expensive problem: Indian SaaS companies losing enterprise deals because they cannot demonstrate SOC2 compliance.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BEB" w:val="clear"/>
            <w:tcMar>
              <w:top w:type="dxa" w:w="160"/>
              <w:left w:type="dxa" w:w="240"/>
              <w:bottom w:type="dxa" w:w="160"/>
              <w:right w:type="dxa" w:w="240"/>
            </w:tcMar>
          </w:tcPr>
          <w:p>
            <w:pPr>
              <w:spacing w:before="40" w:after="40"/>
            </w:pPr>
            <w:r>
              <w:rPr>
                <w:rFonts w:ascii="Arial" w:cs="Arial" w:eastAsia="Arial" w:hAnsi="Arial"/>
                <w:b/>
                <w:bCs/>
                <w:color w:val="92400E"/>
                <w:sz w:val="20"/>
                <w:szCs w:val="20"/>
              </w:rPr>
              <w:t xml:space="preserve">The Pain in Numbers</w:t>
            </w:r>
          </w:p>
          <w:p>
            <w:pPr>
              <w:spacing w:before="40" w:after="40"/>
            </w:pPr>
            <w:r>
              <w:rPr>
                <w:rFonts w:ascii="Arial" w:cs="Arial" w:eastAsia="Arial" w:hAnsi="Arial"/>
                <w:b w:val="false"/>
                <w:bCs w:val="false"/>
                <w:color w:val="92400E"/>
                <w:sz w:val="22"/>
                <w:szCs w:val="22"/>
              </w:rPr>
              <w:t xml:space="preserve">A single SOC2 audit preparation engagement with a compliance consultant costs Rs. 15,000 to 20,000 per day over 3 to 6 months. The external audit itself costs Rs. 8 to 15 lakh. And without continuous monitoring, the company falls out of compliance between audits and has to start the expensive process again. AEGIS automates 80% of this work continuously.</w:t>
            </w:r>
          </w:p>
        </w:tc>
      </w:tr>
    </w:tbl>
    <w:p>
      <w:pPr>
        <w:spacing w:before="160" w:after="0"/>
      </w:pPr>
      <w:r>
        <w:t xml:space="preserve"/>
      </w:r>
    </w:p>
    <w:p>
      <w:pPr>
        <w:pStyle w:val="Heading2"/>
        <w:pBdr>
          <w:bottom w:val="single" w:color="E5E7EB" w:sz="4"/>
        </w:pBdr>
        <w:spacing w:before="280" w:after="120"/>
      </w:pPr>
      <w:r>
        <w:rPr>
          <w:rFonts w:ascii="Arial" w:cs="Arial" w:eastAsia="Arial" w:hAnsi="Arial"/>
          <w:b/>
          <w:bCs/>
          <w:color w:val="111827"/>
          <w:sz w:val="28"/>
          <w:szCs w:val="28"/>
        </w:rPr>
        <w:t xml:space="preserve">6.1  The 20 API-Verifiable SOC2 Controls</w:t>
      </w:r>
    </w:p>
    <w:p>
      <w:pPr>
        <w:spacing w:before="80" w:after="80"/>
        <w:jc w:val="left"/>
      </w:pPr>
      <w:r>
        <w:rPr>
          <w:rFonts w:ascii="Arial" w:cs="Arial" w:eastAsia="Arial" w:hAnsi="Arial"/>
          <w:b w:val="false"/>
          <w:bCs w:val="false"/>
          <w:i w:val="false"/>
          <w:iCs w:val="false"/>
          <w:color w:val="111827"/>
          <w:sz w:val="22"/>
          <w:szCs w:val="22"/>
        </w:rPr>
        <w:t xml:space="preserve">Every control AEGIS checks is verified via direct API call. No self-reporting. No questionnaires. No guessing. If a control is reported as FAIL, it is verified failed.</w:t>
      </w:r>
    </w:p>
    <w:p>
      <w:pPr>
        <w:spacing w:before="80" w:after="0"/>
      </w:pPr>
      <w:r>
        <w:t xml:space="preserve"/>
      </w:r>
    </w:p>
    <w:p>
      <w:pPr>
        <w:spacing w:before="200" w:after="80"/>
      </w:pPr>
      <w:r>
        <w:rPr>
          <w:rFonts w:ascii="Arial" w:cs="Arial" w:eastAsia="Arial" w:hAnsi="Arial"/>
          <w:b/>
          <w:bCs/>
          <w:color w:val="1A56DB"/>
          <w:sz w:val="24"/>
          <w:szCs w:val="24"/>
        </w:rPr>
        <w:t xml:space="preserve">GitHub Organisation (5 Controls)</w:t>
      </w:r>
    </w:p>
    <w:p>
      <w:pPr>
        <w:pStyle w:val="ListParagraph"/>
        <w:numPr>
          <w:ilvl w:val="0"/>
          <w:numId w:val="2"/>
        </w:numPr>
        <w:spacing w:before="60" w:after="60"/>
      </w:pPr>
      <w:r>
        <w:rPr>
          <w:rFonts w:ascii="Arial" w:cs="Arial" w:eastAsia="Arial" w:hAnsi="Arial"/>
          <w:b w:val="false"/>
          <w:bCs w:val="false"/>
          <w:i w:val="false"/>
          <w:iCs w:val="false"/>
          <w:color w:val="111827"/>
          <w:sz w:val="22"/>
          <w:szCs w:val="22"/>
        </w:rPr>
        <w:t xml:space="preserve">MFA required for all organisation members — GitHub Org API</w:t>
      </w:r>
    </w:p>
    <w:p>
      <w:pPr>
        <w:pStyle w:val="ListParagraph"/>
        <w:numPr>
          <w:ilvl w:val="0"/>
          <w:numId w:val="2"/>
        </w:numPr>
        <w:spacing w:before="60" w:after="60"/>
      </w:pPr>
      <w:r>
        <w:rPr>
          <w:rFonts w:ascii="Arial" w:cs="Arial" w:eastAsia="Arial" w:hAnsi="Arial"/>
          <w:b w:val="false"/>
          <w:bCs w:val="false"/>
          <w:i w:val="false"/>
          <w:iCs w:val="false"/>
          <w:color w:val="111827"/>
          <w:sz w:val="22"/>
          <w:szCs w:val="22"/>
        </w:rPr>
        <w:t xml:space="preserve">Secret scanning enabled on all repositories — GitHub Security API</w:t>
      </w:r>
    </w:p>
    <w:p>
      <w:pPr>
        <w:pStyle w:val="ListParagraph"/>
        <w:numPr>
          <w:ilvl w:val="0"/>
          <w:numId w:val="2"/>
        </w:numPr>
        <w:spacing w:before="60" w:after="60"/>
      </w:pPr>
      <w:r>
        <w:rPr>
          <w:rFonts w:ascii="Arial" w:cs="Arial" w:eastAsia="Arial" w:hAnsi="Arial"/>
          <w:b w:val="false"/>
          <w:bCs w:val="false"/>
          <w:i w:val="false"/>
          <w:iCs w:val="false"/>
          <w:color w:val="111827"/>
          <w:sz w:val="22"/>
          <w:szCs w:val="22"/>
        </w:rPr>
        <w:t xml:space="preserve">Dependabot vulnerability alerts active — GitHub Dependabot API</w:t>
      </w:r>
    </w:p>
    <w:p>
      <w:pPr>
        <w:pStyle w:val="ListParagraph"/>
        <w:numPr>
          <w:ilvl w:val="0"/>
          <w:numId w:val="2"/>
        </w:numPr>
        <w:spacing w:before="60" w:after="60"/>
      </w:pPr>
      <w:r>
        <w:rPr>
          <w:rFonts w:ascii="Arial" w:cs="Arial" w:eastAsia="Arial" w:hAnsi="Arial"/>
          <w:b w:val="false"/>
          <w:bCs w:val="false"/>
          <w:i w:val="false"/>
          <w:iCs w:val="false"/>
          <w:color w:val="111827"/>
          <w:sz w:val="22"/>
          <w:szCs w:val="22"/>
        </w:rPr>
        <w:t xml:space="preserve">Branch protection rules enforced on main/master branch</w:t>
      </w:r>
    </w:p>
    <w:p>
      <w:pPr>
        <w:pStyle w:val="ListParagraph"/>
        <w:numPr>
          <w:ilvl w:val="0"/>
          <w:numId w:val="2"/>
        </w:numPr>
        <w:spacing w:before="60" w:after="60"/>
      </w:pPr>
      <w:r>
        <w:rPr>
          <w:rFonts w:ascii="Arial" w:cs="Arial" w:eastAsia="Arial" w:hAnsi="Arial"/>
          <w:b w:val="false"/>
          <w:bCs w:val="false"/>
          <w:i w:val="false"/>
          <w:iCs w:val="false"/>
          <w:color w:val="111827"/>
          <w:sz w:val="22"/>
          <w:szCs w:val="22"/>
        </w:rPr>
        <w:t xml:space="preserve">Admin access count reviewed and minimised</w:t>
      </w:r>
    </w:p>
    <w:p>
      <w:pPr>
        <w:spacing w:before="80" w:after="0"/>
      </w:pPr>
      <w:r>
        <w:t xml:space="preserve"/>
      </w:r>
    </w:p>
    <w:p>
      <w:pPr>
        <w:spacing w:before="200" w:after="80"/>
      </w:pPr>
      <w:r>
        <w:rPr>
          <w:rFonts w:ascii="Arial" w:cs="Arial" w:eastAsia="Arial" w:hAnsi="Arial"/>
          <w:b/>
          <w:bCs/>
          <w:color w:val="1A56DB"/>
          <w:sz w:val="24"/>
          <w:szCs w:val="24"/>
        </w:rPr>
        <w:t xml:space="preserve">Amazon Web Services (8 Controls)</w:t>
      </w:r>
    </w:p>
    <w:p>
      <w:pPr>
        <w:pStyle w:val="ListParagraph"/>
        <w:numPr>
          <w:ilvl w:val="0"/>
          <w:numId w:val="2"/>
        </w:numPr>
        <w:spacing w:before="60" w:after="60"/>
      </w:pPr>
      <w:r>
        <w:rPr>
          <w:rFonts w:ascii="Arial" w:cs="Arial" w:eastAsia="Arial" w:hAnsi="Arial"/>
          <w:b w:val="false"/>
          <w:bCs w:val="false"/>
          <w:i w:val="false"/>
          <w:iCs w:val="false"/>
          <w:color w:val="111827"/>
          <w:sz w:val="22"/>
          <w:szCs w:val="22"/>
        </w:rPr>
        <w:t xml:space="preserve">No publicly accessible S3 buckets — most common critical failure in the wild</w:t>
      </w:r>
    </w:p>
    <w:p>
      <w:pPr>
        <w:pStyle w:val="ListParagraph"/>
        <w:numPr>
          <w:ilvl w:val="0"/>
          <w:numId w:val="2"/>
        </w:numPr>
        <w:spacing w:before="60" w:after="60"/>
      </w:pPr>
      <w:r>
        <w:rPr>
          <w:rFonts w:ascii="Arial" w:cs="Arial" w:eastAsia="Arial" w:hAnsi="Arial"/>
          <w:b w:val="false"/>
          <w:bCs w:val="false"/>
          <w:i w:val="false"/>
          <w:iCs w:val="false"/>
          <w:color w:val="111827"/>
          <w:sz w:val="22"/>
          <w:szCs w:val="22"/>
        </w:rPr>
        <w:t xml:space="preserve">Root account MFA enabled — AWS IAM API</w:t>
      </w:r>
    </w:p>
    <w:p>
      <w:pPr>
        <w:pStyle w:val="ListParagraph"/>
        <w:numPr>
          <w:ilvl w:val="0"/>
          <w:numId w:val="2"/>
        </w:numPr>
        <w:spacing w:before="60" w:after="60"/>
      </w:pPr>
      <w:r>
        <w:rPr>
          <w:rFonts w:ascii="Arial" w:cs="Arial" w:eastAsia="Arial" w:hAnsi="Arial"/>
          <w:b w:val="false"/>
          <w:bCs w:val="false"/>
          <w:i w:val="false"/>
          <w:iCs w:val="false"/>
          <w:color w:val="111827"/>
          <w:sz w:val="22"/>
          <w:szCs w:val="22"/>
        </w:rPr>
        <w:t xml:space="preserve">CloudTrail audit logging active in all deployed regions</w:t>
      </w:r>
    </w:p>
    <w:p>
      <w:pPr>
        <w:pStyle w:val="ListParagraph"/>
        <w:numPr>
          <w:ilvl w:val="0"/>
          <w:numId w:val="2"/>
        </w:numPr>
        <w:spacing w:before="60" w:after="60"/>
      </w:pPr>
      <w:r>
        <w:rPr>
          <w:rFonts w:ascii="Arial" w:cs="Arial" w:eastAsia="Arial" w:hAnsi="Arial"/>
          <w:b w:val="false"/>
          <w:bCs w:val="false"/>
          <w:i w:val="false"/>
          <w:iCs w:val="false"/>
          <w:color w:val="111827"/>
          <w:sz w:val="22"/>
          <w:szCs w:val="22"/>
        </w:rPr>
        <w:t xml:space="preserve">Encryption at rest enabled on all S3 buckets — AWS S3 API</w:t>
      </w:r>
    </w:p>
    <w:p>
      <w:pPr>
        <w:pStyle w:val="ListParagraph"/>
        <w:numPr>
          <w:ilvl w:val="0"/>
          <w:numId w:val="2"/>
        </w:numPr>
        <w:spacing w:before="60" w:after="60"/>
      </w:pPr>
      <w:r>
        <w:rPr>
          <w:rFonts w:ascii="Arial" w:cs="Arial" w:eastAsia="Arial" w:hAnsi="Arial"/>
          <w:b w:val="false"/>
          <w:bCs w:val="false"/>
          <w:i w:val="false"/>
          <w:iCs w:val="false"/>
          <w:color w:val="111827"/>
          <w:sz w:val="22"/>
          <w:szCs w:val="22"/>
        </w:rPr>
        <w:t xml:space="preserve">IAM password policy meets SOC2 minimum requirements</w:t>
      </w:r>
    </w:p>
    <w:p>
      <w:pPr>
        <w:pStyle w:val="ListParagraph"/>
        <w:numPr>
          <w:ilvl w:val="0"/>
          <w:numId w:val="2"/>
        </w:numPr>
        <w:spacing w:before="60" w:after="60"/>
      </w:pPr>
      <w:r>
        <w:rPr>
          <w:rFonts w:ascii="Arial" w:cs="Arial" w:eastAsia="Arial" w:hAnsi="Arial"/>
          <w:b w:val="false"/>
          <w:bCs w:val="false"/>
          <w:i w:val="false"/>
          <w:iCs w:val="false"/>
          <w:color w:val="111827"/>
          <w:sz w:val="22"/>
          <w:szCs w:val="22"/>
        </w:rPr>
        <w:t xml:space="preserve">Access keys rotated within 90 days — AWS IAM API</w:t>
      </w:r>
    </w:p>
    <w:p>
      <w:pPr>
        <w:pStyle w:val="ListParagraph"/>
        <w:numPr>
          <w:ilvl w:val="0"/>
          <w:numId w:val="2"/>
        </w:numPr>
        <w:spacing w:before="60" w:after="60"/>
      </w:pPr>
      <w:r>
        <w:rPr>
          <w:rFonts w:ascii="Arial" w:cs="Arial" w:eastAsia="Arial" w:hAnsi="Arial"/>
          <w:b w:val="false"/>
          <w:bCs w:val="false"/>
          <w:i w:val="false"/>
          <w:iCs w:val="false"/>
          <w:color w:val="111827"/>
          <w:sz w:val="22"/>
          <w:szCs w:val="22"/>
        </w:rPr>
        <w:t xml:space="preserve">Inactive IAM users flagged and reviewed</w:t>
      </w:r>
    </w:p>
    <w:p>
      <w:pPr>
        <w:pStyle w:val="ListParagraph"/>
        <w:numPr>
          <w:ilvl w:val="0"/>
          <w:numId w:val="2"/>
        </w:numPr>
        <w:spacing w:before="60" w:after="60"/>
      </w:pPr>
      <w:r>
        <w:rPr>
          <w:rFonts w:ascii="Arial" w:cs="Arial" w:eastAsia="Arial" w:hAnsi="Arial"/>
          <w:b w:val="false"/>
          <w:bCs w:val="false"/>
          <w:i w:val="false"/>
          <w:iCs w:val="false"/>
          <w:color w:val="111827"/>
          <w:sz w:val="22"/>
          <w:szCs w:val="22"/>
        </w:rPr>
        <w:t xml:space="preserve">Administrator access list reviewed and principle of least privilege enforced</w:t>
      </w:r>
    </w:p>
    <w:p>
      <w:pPr>
        <w:spacing w:before="80" w:after="0"/>
      </w:pPr>
      <w:r>
        <w:t xml:space="preserve"/>
      </w:r>
    </w:p>
    <w:p>
      <w:pPr>
        <w:spacing w:before="200" w:after="80"/>
      </w:pPr>
      <w:r>
        <w:rPr>
          <w:rFonts w:ascii="Arial" w:cs="Arial" w:eastAsia="Arial" w:hAnsi="Arial"/>
          <w:b/>
          <w:bCs/>
          <w:color w:val="1A56DB"/>
          <w:sz w:val="24"/>
          <w:szCs w:val="24"/>
        </w:rPr>
        <w:t xml:space="preserve">Google Workspace (7 Controls)</w:t>
      </w:r>
    </w:p>
    <w:p>
      <w:pPr>
        <w:pStyle w:val="ListParagraph"/>
        <w:numPr>
          <w:ilvl w:val="0"/>
          <w:numId w:val="2"/>
        </w:numPr>
        <w:spacing w:before="60" w:after="60"/>
      </w:pPr>
      <w:r>
        <w:rPr>
          <w:rFonts w:ascii="Arial" w:cs="Arial" w:eastAsia="Arial" w:hAnsi="Arial"/>
          <w:b w:val="false"/>
          <w:bCs w:val="false"/>
          <w:i w:val="false"/>
          <w:iCs w:val="false"/>
          <w:color w:val="111827"/>
          <w:sz w:val="22"/>
          <w:szCs w:val="22"/>
        </w:rPr>
        <w:t xml:space="preserve">MFA enforcement active for all users — Google Admin SDK</w:t>
      </w:r>
    </w:p>
    <w:p>
      <w:pPr>
        <w:pStyle w:val="ListParagraph"/>
        <w:numPr>
          <w:ilvl w:val="0"/>
          <w:numId w:val="2"/>
        </w:numPr>
        <w:spacing w:before="60" w:after="60"/>
      </w:pPr>
      <w:r>
        <w:rPr>
          <w:rFonts w:ascii="Arial" w:cs="Arial" w:eastAsia="Arial" w:hAnsi="Arial"/>
          <w:b w:val="false"/>
          <w:bCs w:val="false"/>
          <w:i w:val="false"/>
          <w:iCs w:val="false"/>
          <w:color w:val="111827"/>
          <w:sz w:val="22"/>
          <w:szCs w:val="22"/>
        </w:rPr>
        <w:t xml:space="preserve">Users without MFA listed by name for immediate remediation</w:t>
      </w:r>
    </w:p>
    <w:p>
      <w:pPr>
        <w:pStyle w:val="ListParagraph"/>
        <w:numPr>
          <w:ilvl w:val="0"/>
          <w:numId w:val="2"/>
        </w:numPr>
        <w:spacing w:before="60" w:after="60"/>
      </w:pPr>
      <w:r>
        <w:rPr>
          <w:rFonts w:ascii="Arial" w:cs="Arial" w:eastAsia="Arial" w:hAnsi="Arial"/>
          <w:b w:val="false"/>
          <w:bCs w:val="false"/>
          <w:i w:val="false"/>
          <w:iCs w:val="false"/>
          <w:color w:val="111827"/>
          <w:sz w:val="22"/>
          <w:szCs w:val="22"/>
        </w:rPr>
        <w:t xml:space="preserve">Inactive accounts (90+ days no login) flagged for deactivation</w:t>
      </w:r>
    </w:p>
    <w:p>
      <w:pPr>
        <w:pStyle w:val="ListParagraph"/>
        <w:numPr>
          <w:ilvl w:val="0"/>
          <w:numId w:val="2"/>
        </w:numPr>
        <w:spacing w:before="60" w:after="60"/>
      </w:pPr>
      <w:r>
        <w:rPr>
          <w:rFonts w:ascii="Arial" w:cs="Arial" w:eastAsia="Arial" w:hAnsi="Arial"/>
          <w:b w:val="false"/>
          <w:bCs w:val="false"/>
          <w:i w:val="false"/>
          <w:iCs w:val="false"/>
          <w:color w:val="111827"/>
          <w:sz w:val="22"/>
          <w:szCs w:val="22"/>
        </w:rPr>
        <w:t xml:space="preserve">Super Admin account count minimised to essential personnel only</w:t>
      </w:r>
    </w:p>
    <w:p>
      <w:pPr>
        <w:pStyle w:val="ListParagraph"/>
        <w:numPr>
          <w:ilvl w:val="0"/>
          <w:numId w:val="2"/>
        </w:numPr>
        <w:spacing w:before="60" w:after="60"/>
      </w:pPr>
      <w:r>
        <w:rPr>
          <w:rFonts w:ascii="Arial" w:cs="Arial" w:eastAsia="Arial" w:hAnsi="Arial"/>
          <w:b w:val="false"/>
          <w:bCs w:val="false"/>
          <w:i w:val="false"/>
          <w:iCs w:val="false"/>
          <w:color w:val="111827"/>
          <w:sz w:val="22"/>
          <w:szCs w:val="22"/>
        </w:rPr>
        <w:t xml:space="preserve">Third-party application access reviewed for unnecessary permissions</w:t>
      </w:r>
    </w:p>
    <w:p>
      <w:pPr>
        <w:pStyle w:val="ListParagraph"/>
        <w:numPr>
          <w:ilvl w:val="0"/>
          <w:numId w:val="2"/>
        </w:numPr>
        <w:spacing w:before="60" w:after="60"/>
      </w:pPr>
      <w:r>
        <w:rPr>
          <w:rFonts w:ascii="Arial" w:cs="Arial" w:eastAsia="Arial" w:hAnsi="Arial"/>
          <w:b w:val="false"/>
          <w:bCs w:val="false"/>
          <w:i w:val="false"/>
          <w:iCs w:val="false"/>
          <w:color w:val="111827"/>
          <w:sz w:val="22"/>
          <w:szCs w:val="22"/>
        </w:rPr>
        <w:t xml:space="preserve">Failed login alert policies configured and active</w:t>
      </w:r>
    </w:p>
    <w:p>
      <w:pPr>
        <w:pStyle w:val="ListParagraph"/>
        <w:numPr>
          <w:ilvl w:val="0"/>
          <w:numId w:val="2"/>
        </w:numPr>
        <w:spacing w:before="60" w:after="60"/>
      </w:pPr>
      <w:r>
        <w:rPr>
          <w:rFonts w:ascii="Arial" w:cs="Arial" w:eastAsia="Arial" w:hAnsi="Arial"/>
          <w:b w:val="false"/>
          <w:bCs w:val="false"/>
          <w:i w:val="false"/>
          <w:iCs w:val="false"/>
          <w:color w:val="111827"/>
          <w:sz w:val="22"/>
          <w:szCs w:val="22"/>
        </w:rPr>
        <w:t xml:space="preserve">Log retention meets 90-day minimum required by SOC2</w:t>
      </w:r>
    </w:p>
    <w:p>
      <w:pPr>
        <w:spacing w:before="160" w:after="0"/>
      </w:pPr>
      <w:r>
        <w:t xml:space="preserve"/>
      </w:r>
    </w:p>
    <w:p>
      <w:pPr>
        <w:pStyle w:val="Heading2"/>
        <w:pBdr>
          <w:bottom w:val="single" w:color="E5E7EB" w:sz="4"/>
        </w:pBdr>
        <w:spacing w:before="280" w:after="120"/>
      </w:pPr>
      <w:r>
        <w:rPr>
          <w:rFonts w:ascii="Arial" w:cs="Arial" w:eastAsia="Arial" w:hAnsi="Arial"/>
          <w:b/>
          <w:bCs/>
          <w:color w:val="111827"/>
          <w:sz w:val="28"/>
          <w:szCs w:val="28"/>
        </w:rPr>
        <w:t xml:space="preserve">6.2  The Evidence Pack — What Auditors Actually Need</w:t>
      </w:r>
    </w:p>
    <w:p>
      <w:pPr>
        <w:spacing w:before="80" w:after="80"/>
        <w:jc w:val="left"/>
      </w:pPr>
      <w:r>
        <w:rPr>
          <w:rFonts w:ascii="Arial" w:cs="Arial" w:eastAsia="Arial" w:hAnsi="Arial"/>
          <w:b w:val="false"/>
          <w:bCs w:val="false"/>
          <w:i w:val="false"/>
          <w:iCs w:val="false"/>
          <w:color w:val="111827"/>
          <w:sz w:val="22"/>
          <w:szCs w:val="22"/>
        </w:rPr>
        <w:t xml:space="preserve">One click. One ZIP file. Everything an auditor needs, organised by SOC2 criterion. This replaces three months of a compliance consultant manually pulling screenshots and organising evidence folders.</w:t>
      </w:r>
    </w:p>
    <w:p>
      <w:pPr>
        <w:spacing w:before="60" w:after="0"/>
      </w:pPr>
      <w:r>
        <w:t xml:space="preserve"/>
      </w:r>
    </w:p>
    <w:p>
      <w:pPr>
        <w:pStyle w:val="ListParagraph"/>
        <w:numPr>
          <w:ilvl w:val="0"/>
          <w:numId w:val="2"/>
        </w:numPr>
        <w:spacing w:before="60" w:after="60"/>
      </w:pPr>
      <w:r>
        <w:rPr>
          <w:rFonts w:ascii="Arial" w:cs="Arial" w:eastAsia="Arial" w:hAnsi="Arial"/>
          <w:b w:val="false"/>
          <w:bCs w:val="false"/>
          <w:i w:val="false"/>
          <w:iCs w:val="false"/>
          <w:color w:val="111827"/>
          <w:sz w:val="22"/>
          <w:szCs w:val="22"/>
        </w:rPr>
        <w:t xml:space="preserve">SOC2_Summary.pdf — Overall score, all findings, executive summary</w:t>
      </w:r>
    </w:p>
    <w:p>
      <w:pPr>
        <w:pStyle w:val="ListParagraph"/>
        <w:numPr>
          <w:ilvl w:val="0"/>
          <w:numId w:val="2"/>
        </w:numPr>
        <w:spacing w:before="60" w:after="60"/>
      </w:pPr>
      <w:r>
        <w:rPr>
          <w:rFonts w:ascii="Arial" w:cs="Arial" w:eastAsia="Arial" w:hAnsi="Arial"/>
          <w:b w:val="false"/>
          <w:bCs w:val="false"/>
          <w:i w:val="false"/>
          <w:iCs w:val="false"/>
          <w:color w:val="111827"/>
          <w:sz w:val="22"/>
          <w:szCs w:val="22"/>
        </w:rPr>
        <w:t xml:space="preserve">CC6_Access_Controls/ — All MFA, account management, and access review evidence</w:t>
      </w:r>
    </w:p>
    <w:p>
      <w:pPr>
        <w:pStyle w:val="ListParagraph"/>
        <w:numPr>
          <w:ilvl w:val="0"/>
          <w:numId w:val="2"/>
        </w:numPr>
        <w:spacing w:before="60" w:after="60"/>
      </w:pPr>
      <w:r>
        <w:rPr>
          <w:rFonts w:ascii="Arial" w:cs="Arial" w:eastAsia="Arial" w:hAnsi="Arial"/>
          <w:b w:val="false"/>
          <w:bCs w:val="false"/>
          <w:i w:val="false"/>
          <w:iCs w:val="false"/>
          <w:color w:val="111827"/>
          <w:sz w:val="22"/>
          <w:szCs w:val="22"/>
        </w:rPr>
        <w:t xml:space="preserve">CC7_System_Operations/ — CloudTrail configuration, logging, and monitoring evidence</w:t>
      </w:r>
    </w:p>
    <w:p>
      <w:pPr>
        <w:pStyle w:val="ListParagraph"/>
        <w:numPr>
          <w:ilvl w:val="0"/>
          <w:numId w:val="2"/>
        </w:numPr>
        <w:spacing w:before="60" w:after="60"/>
      </w:pPr>
      <w:r>
        <w:rPr>
          <w:rFonts w:ascii="Arial" w:cs="Arial" w:eastAsia="Arial" w:hAnsi="Arial"/>
          <w:b w:val="false"/>
          <w:bCs w:val="false"/>
          <w:i w:val="false"/>
          <w:iCs w:val="false"/>
          <w:color w:val="111827"/>
          <w:sz w:val="22"/>
          <w:szCs w:val="22"/>
        </w:rPr>
        <w:t xml:space="preserve">CC8_Change_Management/ — Branch protection, dependency management evidence</w:t>
      </w:r>
    </w:p>
    <w:p>
      <w:pPr>
        <w:pStyle w:val="ListParagraph"/>
        <w:numPr>
          <w:ilvl w:val="0"/>
          <w:numId w:val="2"/>
        </w:numPr>
        <w:spacing w:before="60" w:after="60"/>
      </w:pPr>
      <w:r>
        <w:rPr>
          <w:rFonts w:ascii="Arial" w:cs="Arial" w:eastAsia="Arial" w:hAnsi="Arial"/>
          <w:b w:val="false"/>
          <w:bCs w:val="false"/>
          <w:i w:val="false"/>
          <w:iCs w:val="false"/>
          <w:color w:val="111827"/>
          <w:sz w:val="22"/>
          <w:szCs w:val="22"/>
        </w:rPr>
        <w:t xml:space="preserve">CC9_Risk_Mitigation/ — Vulnerability management and incident response evidence</w:t>
      </w:r>
    </w:p>
    <w:p>
      <w:pPr>
        <w:pStyle w:val="ListParagraph"/>
        <w:numPr>
          <w:ilvl w:val="0"/>
          <w:numId w:val="2"/>
        </w:numPr>
        <w:spacing w:before="60" w:after="60"/>
      </w:pPr>
      <w:r>
        <w:rPr>
          <w:rFonts w:ascii="Arial" w:cs="Arial" w:eastAsia="Arial" w:hAnsi="Arial"/>
          <w:b w:val="false"/>
          <w:bCs w:val="false"/>
          <w:i w:val="false"/>
          <w:iCs w:val="false"/>
          <w:color w:val="111827"/>
          <w:sz w:val="22"/>
          <w:szCs w:val="22"/>
        </w:rPr>
        <w:t xml:space="preserve">Each file is the raw API response — auditor can map directly to SOC2 criterion</w:t>
      </w:r>
    </w:p>
    <w:p>
      <w:pPr>
        <w:spacing w:before="160" w:after="0"/>
      </w:pPr>
      <w:r>
        <w:t xml:space="preserve"/>
      </w:r>
    </w:p>
    <w:p>
      <w:pPr>
        <w:pStyle w:val="Heading2"/>
        <w:pBdr>
          <w:bottom w:val="single" w:color="E5E7EB" w:sz="4"/>
        </w:pBdr>
        <w:spacing w:before="280" w:after="120"/>
      </w:pPr>
      <w:r>
        <w:rPr>
          <w:rFonts w:ascii="Arial" w:cs="Arial" w:eastAsia="Arial" w:hAnsi="Arial"/>
          <w:b/>
          <w:bCs/>
          <w:color w:val="111827"/>
          <w:sz w:val="28"/>
          <w:szCs w:val="28"/>
        </w:rPr>
        <w:t xml:space="preserve">6.3  Compliance Frameworks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E5E7EB" w:sz="1"/>
              <w:left w:val="single" w:color="E5E7EB" w:sz="1"/>
              <w:bottom w:val="single" w:color="E5E7EB" w:sz="1"/>
              <w:right w:val="single" w:color="E5E7EB" w:sz="1"/>
            </w:tcBorders>
            <w:shd w:fill="1E3A5F"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Framework</w:t>
            </w:r>
          </w:p>
        </w:tc>
        <w:tc>
          <w:tcPr>
            <w:tcW w:type="dxa" w:w="2400"/>
            <w:tcBorders>
              <w:top w:val="single" w:color="E5E7EB" w:sz="1"/>
              <w:left w:val="single" w:color="E5E7EB" w:sz="1"/>
              <w:bottom w:val="single" w:color="E5E7EB" w:sz="1"/>
              <w:right w:val="single" w:color="E5E7EB" w:sz="1"/>
            </w:tcBorders>
            <w:shd w:fill="1E3A5F"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Timeline</w:t>
            </w:r>
          </w:p>
        </w:tc>
        <w:tc>
          <w:tcPr>
            <w:tcW w:type="dxa" w:w="4560"/>
            <w:tcBorders>
              <w:top w:val="single" w:color="E5E7EB" w:sz="1"/>
              <w:left w:val="single" w:color="E5E7EB" w:sz="1"/>
              <w:bottom w:val="single" w:color="E5E7EB" w:sz="1"/>
              <w:right w:val="single" w:color="E5E7EB" w:sz="1"/>
            </w:tcBorders>
            <w:shd w:fill="1E3A5F"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Why It Matters</w:t>
            </w:r>
          </w:p>
        </w:tc>
      </w:tr>
      <w:tr>
        <w:tc>
          <w:tcPr>
            <w:tcW w:type="dxa" w:w="2400"/>
            <w:tcBorders>
              <w:top w:val="single" w:color="E5E7EB" w:sz="1"/>
              <w:left w:val="single" w:color="E5E7EB" w:sz="1"/>
              <w:bottom w:val="single" w:color="E5E7EB" w:sz="1"/>
              <w:right w:val="single" w:color="E5E7EB" w:sz="1"/>
            </w:tcBorders>
            <w:shd w:fill="F8FAFC"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SOC2 Type II</w:t>
            </w:r>
          </w:p>
        </w:tc>
        <w:tc>
          <w:tcPr>
            <w:tcW w:type="dxa" w:w="2400"/>
            <w:tcBorders>
              <w:top w:val="single" w:color="E5E7EB" w:sz="1"/>
              <w:left w:val="single" w:color="E5E7EB" w:sz="1"/>
              <w:bottom w:val="single" w:color="E5E7EB" w:sz="1"/>
              <w:right w:val="single" w:color="E5E7EB" w:sz="1"/>
            </w:tcBorders>
            <w:shd w:fill="F8FAFC"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Phase 1 — Now</w:t>
            </w:r>
          </w:p>
        </w:tc>
        <w:tc>
          <w:tcPr>
            <w:tcW w:type="dxa" w:w="4560"/>
            <w:tcBorders>
              <w:top w:val="single" w:color="E5E7EB" w:sz="1"/>
              <w:left w:val="single" w:color="E5E7EB" w:sz="1"/>
              <w:bottom w:val="single" w:color="E5E7EB" w:sz="1"/>
              <w:right w:val="single" w:color="E5E7EB" w:sz="1"/>
            </w:tcBorders>
            <w:shd w:fill="F8FAFC"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20 API-checkable controls. GitHub, AWS, Google Workspace. The entry point for every Indian SaaS going upmarket into enterprise.</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DPDP Act 2023</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Phase 1 — Now</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India's Digital Personal Data Protection Act. Required for any company handling Indian user data. Vanta does not cover this. AEGIS does.</w:t>
            </w:r>
          </w:p>
        </w:tc>
      </w:tr>
      <w:tr>
        <w:tc>
          <w:tcPr>
            <w:tcW w:type="dxa" w:w="2400"/>
            <w:tcBorders>
              <w:top w:val="single" w:color="E5E7EB" w:sz="1"/>
              <w:left w:val="single" w:color="E5E7EB" w:sz="1"/>
              <w:bottom w:val="single" w:color="E5E7EB" w:sz="1"/>
              <w:right w:val="single" w:color="E5E7EB" w:sz="1"/>
            </w:tcBorders>
            <w:shd w:fill="F8FAFC"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CERT-In Requirements</w:t>
            </w:r>
          </w:p>
        </w:tc>
        <w:tc>
          <w:tcPr>
            <w:tcW w:type="dxa" w:w="2400"/>
            <w:tcBorders>
              <w:top w:val="single" w:color="E5E7EB" w:sz="1"/>
              <w:left w:val="single" w:color="E5E7EB" w:sz="1"/>
              <w:bottom w:val="single" w:color="E5E7EB" w:sz="1"/>
              <w:right w:val="single" w:color="E5E7EB" w:sz="1"/>
            </w:tcBorders>
            <w:shd w:fill="F8FAFC"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Phase 2 — Year 1</w:t>
            </w:r>
          </w:p>
        </w:tc>
        <w:tc>
          <w:tcPr>
            <w:tcW w:type="dxa" w:w="4560"/>
            <w:tcBorders>
              <w:top w:val="single" w:color="E5E7EB" w:sz="1"/>
              <w:left w:val="single" w:color="E5E7EB" w:sz="1"/>
              <w:bottom w:val="single" w:color="E5E7EB" w:sz="1"/>
              <w:right w:val="single" w:color="E5E7EB" w:sz="1"/>
            </w:tcBorders>
            <w:shd w:fill="F8FAFC"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India CERT mandatory compliance for Indian companies. Includes 6-hour breach reporting, log retention, and incident response requirements.</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ISO 27001:2022</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Phase 2 — Year 1</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93 Annex A controls. Required by many enterprise procurement teams. Expands AEGIS to cover information security management system requirements.</w:t>
            </w:r>
          </w:p>
        </w:tc>
      </w:tr>
      <w:tr>
        <w:tc>
          <w:tcPr>
            <w:tcW w:type="dxa" w:w="2400"/>
            <w:tcBorders>
              <w:top w:val="single" w:color="E5E7EB" w:sz="1"/>
              <w:left w:val="single" w:color="E5E7EB" w:sz="1"/>
              <w:bottom w:val="single" w:color="E5E7EB" w:sz="1"/>
              <w:right w:val="single" w:color="E5E7EB" w:sz="1"/>
            </w:tcBorders>
            <w:shd w:fill="F8FAFC"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PCI DSS v4.0</w:t>
            </w:r>
          </w:p>
        </w:tc>
        <w:tc>
          <w:tcPr>
            <w:tcW w:type="dxa" w:w="2400"/>
            <w:tcBorders>
              <w:top w:val="single" w:color="E5E7EB" w:sz="1"/>
              <w:left w:val="single" w:color="E5E7EB" w:sz="1"/>
              <w:bottom w:val="single" w:color="E5E7EB" w:sz="1"/>
              <w:right w:val="single" w:color="E5E7EB" w:sz="1"/>
            </w:tcBorders>
            <w:shd w:fill="F8FAFC"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Phase 2 — Year 1</w:t>
            </w:r>
          </w:p>
        </w:tc>
        <w:tc>
          <w:tcPr>
            <w:tcW w:type="dxa" w:w="4560"/>
            <w:tcBorders>
              <w:top w:val="single" w:color="E5E7EB" w:sz="1"/>
              <w:left w:val="single" w:color="E5E7EB" w:sz="1"/>
              <w:bottom w:val="single" w:color="E5E7EB" w:sz="1"/>
              <w:right w:val="single" w:color="E5E7EB" w:sz="1"/>
            </w:tcBorders>
            <w:shd w:fill="F8FAFC"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For customers handling payment card data. Razorpay and Cashfree integrations make this a natural expansion for Indian fintech companies.</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GDPR</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Phase 3 — Year 2</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EU data protection regulation. Required for any company with EU customers. Enables AEGIS to address European enterprise deals.</w:t>
            </w:r>
          </w:p>
        </w:tc>
      </w:tr>
      <w:tr>
        <w:tc>
          <w:tcPr>
            <w:tcW w:type="dxa" w:w="2400"/>
            <w:tcBorders>
              <w:top w:val="single" w:color="E5E7EB" w:sz="1"/>
              <w:left w:val="single" w:color="E5E7EB" w:sz="1"/>
              <w:bottom w:val="single" w:color="E5E7EB" w:sz="1"/>
              <w:right w:val="single" w:color="E5E7EB" w:sz="1"/>
            </w:tcBorders>
            <w:shd w:fill="F8FAFC"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HIPAA</w:t>
            </w:r>
          </w:p>
        </w:tc>
        <w:tc>
          <w:tcPr>
            <w:tcW w:type="dxa" w:w="2400"/>
            <w:tcBorders>
              <w:top w:val="single" w:color="E5E7EB" w:sz="1"/>
              <w:left w:val="single" w:color="E5E7EB" w:sz="1"/>
              <w:bottom w:val="single" w:color="E5E7EB" w:sz="1"/>
              <w:right w:val="single" w:color="E5E7EB" w:sz="1"/>
            </w:tcBorders>
            <w:shd w:fill="F8FAFC"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Phase 3 — Year 2</w:t>
            </w:r>
          </w:p>
        </w:tc>
        <w:tc>
          <w:tcPr>
            <w:tcW w:type="dxa" w:w="4560"/>
            <w:tcBorders>
              <w:top w:val="single" w:color="E5E7EB" w:sz="1"/>
              <w:left w:val="single" w:color="E5E7EB" w:sz="1"/>
              <w:bottom w:val="single" w:color="E5E7EB" w:sz="1"/>
              <w:right w:val="single" w:color="E5E7EB" w:sz="1"/>
            </w:tcBorders>
            <w:shd w:fill="F8FAFC"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US healthcare data protection. Opens the healthtech vertical which is growing rapidly in India.</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NIST CSF 2.0</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Phase 3 — Year 2</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US federal standard. Required for any company serving US government or regulated financial institutions.</w:t>
            </w:r>
          </w:p>
        </w:tc>
      </w:tr>
    </w:tbl>
    <w:p>
      <w:pPr>
        <w:spacing w:before="200" w:after="0"/>
      </w:pPr>
      <w:r>
        <w:t xml:space="preserve"/>
      </w:r>
    </w:p>
    <w:p>
      <w:r>
        <w:br w:type="page"/>
      </w:r>
    </w:p>
    <w:p>
      <w:pPr>
        <w:pStyle w:val="Heading1"/>
        <w:pBdr>
          <w:left w:val="single" w:color="1A56DB" w:sz="20" w:space="8"/>
        </w:pBdr>
        <w:spacing w:before="400" w:after="160"/>
      </w:pPr>
      <w:r>
        <w:rPr>
          <w:rFonts w:ascii="Arial" w:cs="Arial" w:eastAsia="Arial" w:hAnsi="Arial"/>
          <w:b/>
          <w:bCs/>
          <w:color w:val="111827"/>
          <w:sz w:val="38"/>
          <w:szCs w:val="38"/>
        </w:rPr>
        <w:t xml:space="preserve">7. Competitive Landscape &amp; AEGIS Positioning</w:t>
      </w:r>
    </w:p>
    <w:p>
      <w:pPr>
        <w:pStyle w:val="Heading2"/>
        <w:pBdr>
          <w:bottom w:val="single" w:color="E5E7EB" w:sz="4"/>
        </w:pBdr>
        <w:spacing w:before="280" w:after="120"/>
      </w:pPr>
      <w:r>
        <w:rPr>
          <w:rFonts w:ascii="Arial" w:cs="Arial" w:eastAsia="Arial" w:hAnsi="Arial"/>
          <w:b/>
          <w:bCs/>
          <w:color w:val="111827"/>
          <w:sz w:val="28"/>
          <w:szCs w:val="28"/>
        </w:rPr>
        <w:t xml:space="preserve">7.1  Direct Compliance Competitors</w:t>
      </w:r>
    </w:p>
    <w:p>
      <w:pPr>
        <w:spacing w:before="80" w:after="80"/>
        <w:jc w:val="left"/>
      </w:pPr>
      <w:r>
        <w:rPr>
          <w:rFonts w:ascii="Arial" w:cs="Arial" w:eastAsia="Arial" w:hAnsi="Arial"/>
          <w:b w:val="false"/>
          <w:bCs w:val="false"/>
          <w:i w:val="false"/>
          <w:iCs w:val="false"/>
          <w:color w:val="111827"/>
          <w:sz w:val="22"/>
          <w:szCs w:val="22"/>
        </w:rPr>
        <w:t xml:space="preserve">These are the companies AEGIS competes with directly in Phase 1. This is the analysis that must be understood before any investor or enterprise conversation.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80"/>
        <w:gridCol w:w="1680"/>
        <w:gridCol w:w="1680"/>
        <w:gridCol w:w="1920"/>
      </w:tblGrid>
      <w:tr>
        <w:tc>
          <w:tcPr>
            <w:tcW w:type="dxa" w:w="2400"/>
            <w:tcBorders>
              <w:top w:val="single" w:color="E5E7EB" w:sz="1"/>
              <w:left w:val="single" w:color="E5E7EB" w:sz="1"/>
              <w:bottom w:val="single" w:color="E5E7EB" w:sz="1"/>
              <w:right w:val="single" w:color="E5E7EB" w:sz="1"/>
            </w:tcBorders>
            <w:shd w:fill="1E3A5F"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Capability</w:t>
            </w:r>
          </w:p>
        </w:tc>
        <w:tc>
          <w:tcPr>
            <w:tcW w:type="dxa" w:w="1680"/>
            <w:tcBorders>
              <w:top w:val="single" w:color="E5E7EB" w:sz="1"/>
              <w:left w:val="single" w:color="E5E7EB" w:sz="1"/>
              <w:bottom w:val="single" w:color="E5E7EB" w:sz="1"/>
              <w:right w:val="single" w:color="E5E7EB" w:sz="1"/>
            </w:tcBorders>
            <w:shd w:fill="1E3A5F"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AEGIS</w:t>
            </w:r>
          </w:p>
        </w:tc>
        <w:tc>
          <w:tcPr>
            <w:tcW w:type="dxa" w:w="1680"/>
            <w:tcBorders>
              <w:top w:val="single" w:color="E5E7EB" w:sz="1"/>
              <w:left w:val="single" w:color="E5E7EB" w:sz="1"/>
              <w:bottom w:val="single" w:color="E5E7EB" w:sz="1"/>
              <w:right w:val="single" w:color="E5E7EB" w:sz="1"/>
            </w:tcBorders>
            <w:shd w:fill="1E3A5F"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Vanta</w:t>
            </w:r>
          </w:p>
        </w:tc>
        <w:tc>
          <w:tcPr>
            <w:tcW w:type="dxa" w:w="1680"/>
            <w:tcBorders>
              <w:top w:val="single" w:color="E5E7EB" w:sz="1"/>
              <w:left w:val="single" w:color="E5E7EB" w:sz="1"/>
              <w:bottom w:val="single" w:color="E5E7EB" w:sz="1"/>
              <w:right w:val="single" w:color="E5E7EB" w:sz="1"/>
            </w:tcBorders>
            <w:shd w:fill="1E3A5F"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Drata</w:t>
            </w:r>
          </w:p>
        </w:tc>
        <w:tc>
          <w:tcPr>
            <w:tcW w:type="dxa" w:w="1920"/>
            <w:tcBorders>
              <w:top w:val="single" w:color="E5E7EB" w:sz="1"/>
              <w:left w:val="single" w:color="E5E7EB" w:sz="1"/>
              <w:bottom w:val="single" w:color="E5E7EB" w:sz="1"/>
              <w:right w:val="single" w:color="E5E7EB" w:sz="1"/>
            </w:tcBorders>
            <w:shd w:fill="1E3A5F"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Secureframe</w:t>
            </w:r>
          </w:p>
        </w:tc>
      </w:tr>
      <w:tr>
        <w:tc>
          <w:tcPr>
            <w:tcW w:type="dxa" w:w="2400"/>
            <w:tcBorders>
              <w:top w:val="single" w:color="E5E7EB" w:sz="1"/>
              <w:left w:val="single" w:color="E5E7EB" w:sz="1"/>
              <w:bottom w:val="single" w:color="E5E7EB" w:sz="1"/>
              <w:right w:val="single" w:color="E5E7EB" w:sz="1"/>
            </w:tcBorders>
            <w:shd w:fill="F8FAFC"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Capability</w:t>
            </w:r>
          </w:p>
        </w:tc>
        <w:tc>
          <w:tcPr>
            <w:tcW w:type="dxa" w:w="1680"/>
            <w:tcBorders>
              <w:top w:val="single" w:color="E5E7EB" w:sz="1"/>
              <w:left w:val="single" w:color="E5E7EB" w:sz="1"/>
              <w:bottom w:val="single" w:color="E5E7EB" w:sz="1"/>
              <w:right w:val="single" w:color="E5E7EB" w:sz="1"/>
            </w:tcBorders>
            <w:shd w:fill="F8FAFC"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AEGIS</w:t>
            </w:r>
          </w:p>
        </w:tc>
        <w:tc>
          <w:tcPr>
            <w:tcW w:type="dxa" w:w="1680"/>
            <w:tcBorders>
              <w:top w:val="single" w:color="E5E7EB" w:sz="1"/>
              <w:left w:val="single" w:color="E5E7EB" w:sz="1"/>
              <w:bottom w:val="single" w:color="E5E7EB" w:sz="1"/>
              <w:right w:val="single" w:color="E5E7EB" w:sz="1"/>
            </w:tcBorders>
            <w:shd w:fill="F8FAFC"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Vanta</w:t>
            </w:r>
          </w:p>
        </w:tc>
        <w:tc>
          <w:tcPr>
            <w:tcW w:type="dxa" w:w="1680"/>
            <w:tcBorders>
              <w:top w:val="single" w:color="E5E7EB" w:sz="1"/>
              <w:left w:val="single" w:color="E5E7EB" w:sz="1"/>
              <w:bottom w:val="single" w:color="E5E7EB" w:sz="1"/>
              <w:right w:val="single" w:color="E5E7EB" w:sz="1"/>
            </w:tcBorders>
            <w:shd w:fill="F8FAFC"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Drata</w:t>
            </w:r>
          </w:p>
        </w:tc>
        <w:tc>
          <w:tcPr>
            <w:tcW w:type="dxa" w:w="1920"/>
            <w:tcBorders>
              <w:top w:val="single" w:color="E5E7EB" w:sz="1"/>
              <w:left w:val="single" w:color="E5E7EB" w:sz="1"/>
              <w:bottom w:val="single" w:color="E5E7EB" w:sz="1"/>
              <w:right w:val="single" w:color="E5E7EB" w:sz="1"/>
            </w:tcBorders>
            <w:shd w:fill="F8FAFC"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Secureframe</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Annual price (India)</w:t>
            </w:r>
          </w:p>
        </w:tc>
        <w:tc>
          <w:tcPr>
            <w:tcW w:type="dxa" w:w="168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Rs.96K-2.2L</w:t>
            </w:r>
          </w:p>
        </w:tc>
        <w:tc>
          <w:tcPr>
            <w:tcW w:type="dxa" w:w="168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Rs.12.5L+</w:t>
            </w:r>
          </w:p>
        </w:tc>
        <w:tc>
          <w:tcPr>
            <w:tcW w:type="dxa" w:w="168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Rs.10L+</w:t>
            </w:r>
          </w:p>
        </w:tc>
        <w:tc>
          <w:tcPr>
            <w:tcW w:type="dxa" w:w="192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Rs.8L+</w:t>
            </w:r>
          </w:p>
        </w:tc>
      </w:tr>
      <w:tr>
        <w:tc>
          <w:tcPr>
            <w:tcW w:type="dxa" w:w="2400"/>
            <w:tcBorders>
              <w:top w:val="single" w:color="E5E7EB" w:sz="1"/>
              <w:left w:val="single" w:color="E5E7EB" w:sz="1"/>
              <w:bottom w:val="single" w:color="E5E7EB" w:sz="1"/>
              <w:right w:val="single" w:color="E5E7EB" w:sz="1"/>
            </w:tcBorders>
            <w:shd w:fill="F8FAFC"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India-first pricing</w:t>
            </w:r>
          </w:p>
        </w:tc>
        <w:tc>
          <w:tcPr>
            <w:tcW w:type="dxa" w:w="1680"/>
            <w:tcBorders>
              <w:top w:val="single" w:color="E5E7EB" w:sz="1"/>
              <w:left w:val="single" w:color="E5E7EB" w:sz="1"/>
              <w:bottom w:val="single" w:color="E5E7EB" w:sz="1"/>
              <w:right w:val="single" w:color="E5E7EB" w:sz="1"/>
            </w:tcBorders>
            <w:shd w:fill="F8FAFC"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Yes</w:t>
            </w:r>
          </w:p>
        </w:tc>
        <w:tc>
          <w:tcPr>
            <w:tcW w:type="dxa" w:w="1680"/>
            <w:tcBorders>
              <w:top w:val="single" w:color="E5E7EB" w:sz="1"/>
              <w:left w:val="single" w:color="E5E7EB" w:sz="1"/>
              <w:bottom w:val="single" w:color="E5E7EB" w:sz="1"/>
              <w:right w:val="single" w:color="E5E7EB" w:sz="1"/>
            </w:tcBorders>
            <w:shd w:fill="F8FAFC"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No</w:t>
            </w:r>
          </w:p>
        </w:tc>
        <w:tc>
          <w:tcPr>
            <w:tcW w:type="dxa" w:w="1680"/>
            <w:tcBorders>
              <w:top w:val="single" w:color="E5E7EB" w:sz="1"/>
              <w:left w:val="single" w:color="E5E7EB" w:sz="1"/>
              <w:bottom w:val="single" w:color="E5E7EB" w:sz="1"/>
              <w:right w:val="single" w:color="E5E7EB" w:sz="1"/>
            </w:tcBorders>
            <w:shd w:fill="F8FAFC"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No</w:t>
            </w:r>
          </w:p>
        </w:tc>
        <w:tc>
          <w:tcPr>
            <w:tcW w:type="dxa" w:w="1920"/>
            <w:tcBorders>
              <w:top w:val="single" w:color="E5E7EB" w:sz="1"/>
              <w:left w:val="single" w:color="E5E7EB" w:sz="1"/>
              <w:bottom w:val="single" w:color="E5E7EB" w:sz="1"/>
              <w:right w:val="single" w:color="E5E7EB" w:sz="1"/>
            </w:tcBorders>
            <w:shd w:fill="F8FAFC"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No</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Self-serve setup</w:t>
            </w:r>
          </w:p>
        </w:tc>
        <w:tc>
          <w:tcPr>
            <w:tcW w:type="dxa" w:w="168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5 minutes</w:t>
            </w:r>
          </w:p>
        </w:tc>
        <w:tc>
          <w:tcPr>
            <w:tcW w:type="dxa" w:w="168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Weeks</w:t>
            </w:r>
          </w:p>
        </w:tc>
        <w:tc>
          <w:tcPr>
            <w:tcW w:type="dxa" w:w="168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Weeks</w:t>
            </w:r>
          </w:p>
        </w:tc>
        <w:tc>
          <w:tcPr>
            <w:tcW w:type="dxa" w:w="192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Days</w:t>
            </w:r>
          </w:p>
        </w:tc>
      </w:tr>
      <w:tr>
        <w:tc>
          <w:tcPr>
            <w:tcW w:type="dxa" w:w="2400"/>
            <w:tcBorders>
              <w:top w:val="single" w:color="E5E7EB" w:sz="1"/>
              <w:left w:val="single" w:color="E5E7EB" w:sz="1"/>
              <w:bottom w:val="single" w:color="E5E7EB" w:sz="1"/>
              <w:right w:val="single" w:color="E5E7EB" w:sz="1"/>
            </w:tcBorders>
            <w:shd w:fill="F8FAFC"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DPDP Act 2023</w:t>
            </w:r>
          </w:p>
        </w:tc>
        <w:tc>
          <w:tcPr>
            <w:tcW w:type="dxa" w:w="1680"/>
            <w:tcBorders>
              <w:top w:val="single" w:color="E5E7EB" w:sz="1"/>
              <w:left w:val="single" w:color="E5E7EB" w:sz="1"/>
              <w:bottom w:val="single" w:color="E5E7EB" w:sz="1"/>
              <w:right w:val="single" w:color="E5E7EB" w:sz="1"/>
            </w:tcBorders>
            <w:shd w:fill="F8FAFC"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Yes</w:t>
            </w:r>
          </w:p>
        </w:tc>
        <w:tc>
          <w:tcPr>
            <w:tcW w:type="dxa" w:w="1680"/>
            <w:tcBorders>
              <w:top w:val="single" w:color="E5E7EB" w:sz="1"/>
              <w:left w:val="single" w:color="E5E7EB" w:sz="1"/>
              <w:bottom w:val="single" w:color="E5E7EB" w:sz="1"/>
              <w:right w:val="single" w:color="E5E7EB" w:sz="1"/>
            </w:tcBorders>
            <w:shd w:fill="F8FAFC"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No</w:t>
            </w:r>
          </w:p>
        </w:tc>
        <w:tc>
          <w:tcPr>
            <w:tcW w:type="dxa" w:w="1680"/>
            <w:tcBorders>
              <w:top w:val="single" w:color="E5E7EB" w:sz="1"/>
              <w:left w:val="single" w:color="E5E7EB" w:sz="1"/>
              <w:bottom w:val="single" w:color="E5E7EB" w:sz="1"/>
              <w:right w:val="single" w:color="E5E7EB" w:sz="1"/>
            </w:tcBorders>
            <w:shd w:fill="F8FAFC"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No</w:t>
            </w:r>
          </w:p>
        </w:tc>
        <w:tc>
          <w:tcPr>
            <w:tcW w:type="dxa" w:w="1920"/>
            <w:tcBorders>
              <w:top w:val="single" w:color="E5E7EB" w:sz="1"/>
              <w:left w:val="single" w:color="E5E7EB" w:sz="1"/>
              <w:bottom w:val="single" w:color="E5E7EB" w:sz="1"/>
              <w:right w:val="single" w:color="E5E7EB" w:sz="1"/>
            </w:tcBorders>
            <w:shd w:fill="F8FAFC"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No</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CERT-In coverage</w:t>
            </w:r>
          </w:p>
        </w:tc>
        <w:tc>
          <w:tcPr>
            <w:tcW w:type="dxa" w:w="168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Yes</w:t>
            </w:r>
          </w:p>
        </w:tc>
        <w:tc>
          <w:tcPr>
            <w:tcW w:type="dxa" w:w="168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No</w:t>
            </w:r>
          </w:p>
        </w:tc>
        <w:tc>
          <w:tcPr>
            <w:tcW w:type="dxa" w:w="168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No</w:t>
            </w:r>
          </w:p>
        </w:tc>
        <w:tc>
          <w:tcPr>
            <w:tcW w:type="dxa" w:w="192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No</w:t>
            </w:r>
          </w:p>
        </w:tc>
      </w:tr>
      <w:tr>
        <w:tc>
          <w:tcPr>
            <w:tcW w:type="dxa" w:w="2400"/>
            <w:tcBorders>
              <w:top w:val="single" w:color="E5E7EB" w:sz="1"/>
              <w:left w:val="single" w:color="E5E7EB" w:sz="1"/>
              <w:bottom w:val="single" w:color="E5E7EB" w:sz="1"/>
              <w:right w:val="single" w:color="E5E7EB" w:sz="1"/>
            </w:tcBorders>
            <w:shd w:fill="F8FAFC"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Indian stack integrations</w:t>
            </w:r>
          </w:p>
        </w:tc>
        <w:tc>
          <w:tcPr>
            <w:tcW w:type="dxa" w:w="1680"/>
            <w:tcBorders>
              <w:top w:val="single" w:color="E5E7EB" w:sz="1"/>
              <w:left w:val="single" w:color="E5E7EB" w:sz="1"/>
              <w:bottom w:val="single" w:color="E5E7EB" w:sz="1"/>
              <w:right w:val="single" w:color="E5E7EB" w:sz="1"/>
            </w:tcBorders>
            <w:shd w:fill="F8FAFC"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Yes</w:t>
            </w:r>
          </w:p>
        </w:tc>
        <w:tc>
          <w:tcPr>
            <w:tcW w:type="dxa" w:w="1680"/>
            <w:tcBorders>
              <w:top w:val="single" w:color="E5E7EB" w:sz="1"/>
              <w:left w:val="single" w:color="E5E7EB" w:sz="1"/>
              <w:bottom w:val="single" w:color="E5E7EB" w:sz="1"/>
              <w:right w:val="single" w:color="E5E7EB" w:sz="1"/>
            </w:tcBorders>
            <w:shd w:fill="F8FAFC"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Partial</w:t>
            </w:r>
          </w:p>
        </w:tc>
        <w:tc>
          <w:tcPr>
            <w:tcW w:type="dxa" w:w="1680"/>
            <w:tcBorders>
              <w:top w:val="single" w:color="E5E7EB" w:sz="1"/>
              <w:left w:val="single" w:color="E5E7EB" w:sz="1"/>
              <w:bottom w:val="single" w:color="E5E7EB" w:sz="1"/>
              <w:right w:val="single" w:color="E5E7EB" w:sz="1"/>
            </w:tcBorders>
            <w:shd w:fill="F8FAFC"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No</w:t>
            </w:r>
          </w:p>
        </w:tc>
        <w:tc>
          <w:tcPr>
            <w:tcW w:type="dxa" w:w="1920"/>
            <w:tcBorders>
              <w:top w:val="single" w:color="E5E7EB" w:sz="1"/>
              <w:left w:val="single" w:color="E5E7EB" w:sz="1"/>
              <w:bottom w:val="single" w:color="E5E7EB" w:sz="1"/>
              <w:right w:val="single" w:color="E5E7EB" w:sz="1"/>
            </w:tcBorders>
            <w:shd w:fill="F8FAFC"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No</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On-premise deployment</w:t>
            </w:r>
          </w:p>
        </w:tc>
        <w:tc>
          <w:tcPr>
            <w:tcW w:type="dxa" w:w="168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Yes (Yr2)</w:t>
            </w:r>
          </w:p>
        </w:tc>
        <w:tc>
          <w:tcPr>
            <w:tcW w:type="dxa" w:w="168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No</w:t>
            </w:r>
          </w:p>
        </w:tc>
        <w:tc>
          <w:tcPr>
            <w:tcW w:type="dxa" w:w="168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No</w:t>
            </w:r>
          </w:p>
        </w:tc>
        <w:tc>
          <w:tcPr>
            <w:tcW w:type="dxa" w:w="192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No</w:t>
            </w:r>
          </w:p>
        </w:tc>
      </w:tr>
      <w:tr>
        <w:tc>
          <w:tcPr>
            <w:tcW w:type="dxa" w:w="2400"/>
            <w:tcBorders>
              <w:top w:val="single" w:color="E5E7EB" w:sz="1"/>
              <w:left w:val="single" w:color="E5E7EB" w:sz="1"/>
              <w:bottom w:val="single" w:color="E5E7EB" w:sz="1"/>
              <w:right w:val="single" w:color="E5E7EB" w:sz="1"/>
            </w:tcBorders>
            <w:shd w:fill="F8FAFC"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Local LLM (no API calls)</w:t>
            </w:r>
          </w:p>
        </w:tc>
        <w:tc>
          <w:tcPr>
            <w:tcW w:type="dxa" w:w="1680"/>
            <w:tcBorders>
              <w:top w:val="single" w:color="E5E7EB" w:sz="1"/>
              <w:left w:val="single" w:color="E5E7EB" w:sz="1"/>
              <w:bottom w:val="single" w:color="E5E7EB" w:sz="1"/>
              <w:right w:val="single" w:color="E5E7EB" w:sz="1"/>
            </w:tcBorders>
            <w:shd w:fill="F8FAFC"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Yes (Yr2)</w:t>
            </w:r>
          </w:p>
        </w:tc>
        <w:tc>
          <w:tcPr>
            <w:tcW w:type="dxa" w:w="1680"/>
            <w:tcBorders>
              <w:top w:val="single" w:color="E5E7EB" w:sz="1"/>
              <w:left w:val="single" w:color="E5E7EB" w:sz="1"/>
              <w:bottom w:val="single" w:color="E5E7EB" w:sz="1"/>
              <w:right w:val="single" w:color="E5E7EB" w:sz="1"/>
            </w:tcBorders>
            <w:shd w:fill="F8FAFC"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No</w:t>
            </w:r>
          </w:p>
        </w:tc>
        <w:tc>
          <w:tcPr>
            <w:tcW w:type="dxa" w:w="1680"/>
            <w:tcBorders>
              <w:top w:val="single" w:color="E5E7EB" w:sz="1"/>
              <w:left w:val="single" w:color="E5E7EB" w:sz="1"/>
              <w:bottom w:val="single" w:color="E5E7EB" w:sz="1"/>
              <w:right w:val="single" w:color="E5E7EB" w:sz="1"/>
            </w:tcBorders>
            <w:shd w:fill="F8FAFC"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No</w:t>
            </w:r>
          </w:p>
        </w:tc>
        <w:tc>
          <w:tcPr>
            <w:tcW w:type="dxa" w:w="1920"/>
            <w:tcBorders>
              <w:top w:val="single" w:color="E5E7EB" w:sz="1"/>
              <w:left w:val="single" w:color="E5E7EB" w:sz="1"/>
              <w:bottom w:val="single" w:color="E5E7EB" w:sz="1"/>
              <w:right w:val="single" w:color="E5E7EB" w:sz="1"/>
            </w:tcBorders>
            <w:shd w:fill="F8FAFC"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No</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IST support timezone</w:t>
            </w:r>
          </w:p>
        </w:tc>
        <w:tc>
          <w:tcPr>
            <w:tcW w:type="dxa" w:w="168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Yes</w:t>
            </w:r>
          </w:p>
        </w:tc>
        <w:tc>
          <w:tcPr>
            <w:tcW w:type="dxa" w:w="168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No</w:t>
            </w:r>
          </w:p>
        </w:tc>
        <w:tc>
          <w:tcPr>
            <w:tcW w:type="dxa" w:w="168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No</w:t>
            </w:r>
          </w:p>
        </w:tc>
        <w:tc>
          <w:tcPr>
            <w:tcW w:type="dxa" w:w="192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No</w:t>
            </w:r>
          </w:p>
        </w:tc>
      </w:tr>
    </w:tbl>
    <w:p>
      <w:pPr>
        <w:spacing w:before="160" w:after="0"/>
      </w:pPr>
      <w:r>
        <w:t xml:space="preserve"/>
      </w:r>
    </w:p>
    <w:p>
      <w:pPr>
        <w:pStyle w:val="Heading2"/>
        <w:pBdr>
          <w:bottom w:val="single" w:color="E5E7EB" w:sz="4"/>
        </w:pBdr>
        <w:spacing w:before="280" w:after="120"/>
      </w:pPr>
      <w:r>
        <w:rPr>
          <w:rFonts w:ascii="Arial" w:cs="Arial" w:eastAsia="Arial" w:hAnsi="Arial"/>
          <w:b/>
          <w:bCs/>
          <w:color w:val="111827"/>
          <w:sz w:val="28"/>
          <w:szCs w:val="28"/>
        </w:rPr>
        <w:t xml:space="preserve">7.2  Enterprise Security Competitors (Future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60"/>
        <w:gridCol w:w="1560"/>
        <w:gridCol w:w="1560"/>
        <w:gridCol w:w="2280"/>
      </w:tblGrid>
      <w:tr>
        <w:tc>
          <w:tcPr>
            <w:tcW w:type="dxa" w:w="2400"/>
            <w:tcBorders>
              <w:top w:val="single" w:color="E5E7EB" w:sz="1"/>
              <w:left w:val="single" w:color="E5E7EB" w:sz="1"/>
              <w:bottom w:val="single" w:color="E5E7EB" w:sz="1"/>
              <w:right w:val="single" w:color="E5E7EB" w:sz="1"/>
            </w:tcBorders>
            <w:shd w:fill="1E3A5F"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Capability</w:t>
            </w:r>
          </w:p>
        </w:tc>
        <w:tc>
          <w:tcPr>
            <w:tcW w:type="dxa" w:w="1560"/>
            <w:tcBorders>
              <w:top w:val="single" w:color="E5E7EB" w:sz="1"/>
              <w:left w:val="single" w:color="E5E7EB" w:sz="1"/>
              <w:bottom w:val="single" w:color="E5E7EB" w:sz="1"/>
              <w:right w:val="single" w:color="E5E7EB" w:sz="1"/>
            </w:tcBorders>
            <w:shd w:fill="1E3A5F"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AEGIS</w:t>
            </w:r>
          </w:p>
        </w:tc>
        <w:tc>
          <w:tcPr>
            <w:tcW w:type="dxa" w:w="1560"/>
            <w:tcBorders>
              <w:top w:val="single" w:color="E5E7EB" w:sz="1"/>
              <w:left w:val="single" w:color="E5E7EB" w:sz="1"/>
              <w:bottom w:val="single" w:color="E5E7EB" w:sz="1"/>
              <w:right w:val="single" w:color="E5E7EB" w:sz="1"/>
            </w:tcBorders>
            <w:shd w:fill="1E3A5F"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CrowdStrike</w:t>
            </w:r>
          </w:p>
        </w:tc>
        <w:tc>
          <w:tcPr>
            <w:tcW w:type="dxa" w:w="1560"/>
            <w:tcBorders>
              <w:top w:val="single" w:color="E5E7EB" w:sz="1"/>
              <w:left w:val="single" w:color="E5E7EB" w:sz="1"/>
              <w:bottom w:val="single" w:color="E5E7EB" w:sz="1"/>
              <w:right w:val="single" w:color="E5E7EB" w:sz="1"/>
            </w:tcBorders>
            <w:shd w:fill="1E3A5F"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Palo Alto</w:t>
            </w:r>
          </w:p>
        </w:tc>
        <w:tc>
          <w:tcPr>
            <w:tcW w:type="dxa" w:w="2280"/>
            <w:tcBorders>
              <w:top w:val="single" w:color="E5E7EB" w:sz="1"/>
              <w:left w:val="single" w:color="E5E7EB" w:sz="1"/>
              <w:bottom w:val="single" w:color="E5E7EB" w:sz="1"/>
              <w:right w:val="single" w:color="E5E7EB" w:sz="1"/>
            </w:tcBorders>
            <w:shd w:fill="1E3A5F"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Darktrace</w:t>
            </w:r>
          </w:p>
        </w:tc>
      </w:tr>
      <w:tr>
        <w:tc>
          <w:tcPr>
            <w:tcW w:type="dxa" w:w="2400"/>
            <w:tcBorders>
              <w:top w:val="single" w:color="E5E7EB" w:sz="1"/>
              <w:left w:val="single" w:color="E5E7EB" w:sz="1"/>
              <w:bottom w:val="single" w:color="E5E7EB" w:sz="1"/>
              <w:right w:val="single" w:color="E5E7EB" w:sz="1"/>
            </w:tcBorders>
            <w:shd w:fill="F8FAFC"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Capability</w:t>
            </w:r>
          </w:p>
        </w:tc>
        <w:tc>
          <w:tcPr>
            <w:tcW w:type="dxa" w:w="1560"/>
            <w:tcBorders>
              <w:top w:val="single" w:color="E5E7EB" w:sz="1"/>
              <w:left w:val="single" w:color="E5E7EB" w:sz="1"/>
              <w:bottom w:val="single" w:color="E5E7EB" w:sz="1"/>
              <w:right w:val="single" w:color="E5E7EB" w:sz="1"/>
            </w:tcBorders>
            <w:shd w:fill="F8FAFC"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AEGIS</w:t>
            </w:r>
          </w:p>
        </w:tc>
        <w:tc>
          <w:tcPr>
            <w:tcW w:type="dxa" w:w="1560"/>
            <w:tcBorders>
              <w:top w:val="single" w:color="E5E7EB" w:sz="1"/>
              <w:left w:val="single" w:color="E5E7EB" w:sz="1"/>
              <w:bottom w:val="single" w:color="E5E7EB" w:sz="1"/>
              <w:right w:val="single" w:color="E5E7EB" w:sz="1"/>
            </w:tcBorders>
            <w:shd w:fill="F8FAFC"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CrowdStrike</w:t>
            </w:r>
          </w:p>
        </w:tc>
        <w:tc>
          <w:tcPr>
            <w:tcW w:type="dxa" w:w="1560"/>
            <w:tcBorders>
              <w:top w:val="single" w:color="E5E7EB" w:sz="1"/>
              <w:left w:val="single" w:color="E5E7EB" w:sz="1"/>
              <w:bottom w:val="single" w:color="E5E7EB" w:sz="1"/>
              <w:right w:val="single" w:color="E5E7EB" w:sz="1"/>
            </w:tcBorders>
            <w:shd w:fill="F8FAFC"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Palo Alto</w:t>
            </w:r>
          </w:p>
        </w:tc>
        <w:tc>
          <w:tcPr>
            <w:tcW w:type="dxa" w:w="2280"/>
            <w:tcBorders>
              <w:top w:val="single" w:color="E5E7EB" w:sz="1"/>
              <w:left w:val="single" w:color="E5E7EB" w:sz="1"/>
              <w:bottom w:val="single" w:color="E5E7EB" w:sz="1"/>
              <w:right w:val="single" w:color="E5E7EB" w:sz="1"/>
            </w:tcBorders>
            <w:shd w:fill="F8FAFC"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Darktrace</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Proprietary self-hosted AI</w:t>
            </w:r>
          </w:p>
        </w:tc>
        <w:tc>
          <w:tcPr>
            <w:tcW w:type="dxa" w:w="1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Yes</w:t>
            </w:r>
          </w:p>
        </w:tc>
        <w:tc>
          <w:tcPr>
            <w:tcW w:type="dxa" w:w="1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No</w:t>
            </w:r>
          </w:p>
        </w:tc>
        <w:tc>
          <w:tcPr>
            <w:tcW w:type="dxa" w:w="1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No</w:t>
            </w:r>
          </w:p>
        </w:tc>
        <w:tc>
          <w:tcPr>
            <w:tcW w:type="dxa" w:w="228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Partial</w:t>
            </w:r>
          </w:p>
        </w:tc>
      </w:tr>
      <w:tr>
        <w:tc>
          <w:tcPr>
            <w:tcW w:type="dxa" w:w="2400"/>
            <w:tcBorders>
              <w:top w:val="single" w:color="E5E7EB" w:sz="1"/>
              <w:left w:val="single" w:color="E5E7EB" w:sz="1"/>
              <w:bottom w:val="single" w:color="E5E7EB" w:sz="1"/>
              <w:right w:val="single" w:color="E5E7EB" w:sz="1"/>
            </w:tcBorders>
            <w:shd w:fill="F8FAFC"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Self-learning RL loop</w:t>
            </w:r>
          </w:p>
        </w:tc>
        <w:tc>
          <w:tcPr>
            <w:tcW w:type="dxa" w:w="1560"/>
            <w:tcBorders>
              <w:top w:val="single" w:color="E5E7EB" w:sz="1"/>
              <w:left w:val="single" w:color="E5E7EB" w:sz="1"/>
              <w:bottom w:val="single" w:color="E5E7EB" w:sz="1"/>
              <w:right w:val="single" w:color="E5E7EB" w:sz="1"/>
            </w:tcBorders>
            <w:shd w:fill="F8FAFC"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Yes</w:t>
            </w:r>
          </w:p>
        </w:tc>
        <w:tc>
          <w:tcPr>
            <w:tcW w:type="dxa" w:w="1560"/>
            <w:tcBorders>
              <w:top w:val="single" w:color="E5E7EB" w:sz="1"/>
              <w:left w:val="single" w:color="E5E7EB" w:sz="1"/>
              <w:bottom w:val="single" w:color="E5E7EB" w:sz="1"/>
              <w:right w:val="single" w:color="E5E7EB" w:sz="1"/>
            </w:tcBorders>
            <w:shd w:fill="F8FAFC"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No</w:t>
            </w:r>
          </w:p>
        </w:tc>
        <w:tc>
          <w:tcPr>
            <w:tcW w:type="dxa" w:w="1560"/>
            <w:tcBorders>
              <w:top w:val="single" w:color="E5E7EB" w:sz="1"/>
              <w:left w:val="single" w:color="E5E7EB" w:sz="1"/>
              <w:bottom w:val="single" w:color="E5E7EB" w:sz="1"/>
              <w:right w:val="single" w:color="E5E7EB" w:sz="1"/>
            </w:tcBorders>
            <w:shd w:fill="F8FAFC"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No</w:t>
            </w:r>
          </w:p>
        </w:tc>
        <w:tc>
          <w:tcPr>
            <w:tcW w:type="dxa" w:w="2280"/>
            <w:tcBorders>
              <w:top w:val="single" w:color="E5E7EB" w:sz="1"/>
              <w:left w:val="single" w:color="E5E7EB" w:sz="1"/>
              <w:bottom w:val="single" w:color="E5E7EB" w:sz="1"/>
              <w:right w:val="single" w:color="E5E7EB" w:sz="1"/>
            </w:tcBorders>
            <w:shd w:fill="F8FAFC"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No</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Unified Red+Blue+Comply</w:t>
            </w:r>
          </w:p>
        </w:tc>
        <w:tc>
          <w:tcPr>
            <w:tcW w:type="dxa" w:w="1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Yes</w:t>
            </w:r>
          </w:p>
        </w:tc>
        <w:tc>
          <w:tcPr>
            <w:tcW w:type="dxa" w:w="1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No</w:t>
            </w:r>
          </w:p>
        </w:tc>
        <w:tc>
          <w:tcPr>
            <w:tcW w:type="dxa" w:w="1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No</w:t>
            </w:r>
          </w:p>
        </w:tc>
        <w:tc>
          <w:tcPr>
            <w:tcW w:type="dxa" w:w="228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No</w:t>
            </w:r>
          </w:p>
        </w:tc>
      </w:tr>
      <w:tr>
        <w:tc>
          <w:tcPr>
            <w:tcW w:type="dxa" w:w="2400"/>
            <w:tcBorders>
              <w:top w:val="single" w:color="E5E7EB" w:sz="1"/>
              <w:left w:val="single" w:color="E5E7EB" w:sz="1"/>
              <w:bottom w:val="single" w:color="E5E7EB" w:sz="1"/>
              <w:right w:val="single" w:color="E5E7EB" w:sz="1"/>
            </w:tcBorders>
            <w:shd w:fill="F8FAFC"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Collective intelligence network</w:t>
            </w:r>
          </w:p>
        </w:tc>
        <w:tc>
          <w:tcPr>
            <w:tcW w:type="dxa" w:w="1560"/>
            <w:tcBorders>
              <w:top w:val="single" w:color="E5E7EB" w:sz="1"/>
              <w:left w:val="single" w:color="E5E7EB" w:sz="1"/>
              <w:bottom w:val="single" w:color="E5E7EB" w:sz="1"/>
              <w:right w:val="single" w:color="E5E7EB" w:sz="1"/>
            </w:tcBorders>
            <w:shd w:fill="F8FAFC"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Yes</w:t>
            </w:r>
          </w:p>
        </w:tc>
        <w:tc>
          <w:tcPr>
            <w:tcW w:type="dxa" w:w="1560"/>
            <w:tcBorders>
              <w:top w:val="single" w:color="E5E7EB" w:sz="1"/>
              <w:left w:val="single" w:color="E5E7EB" w:sz="1"/>
              <w:bottom w:val="single" w:color="E5E7EB" w:sz="1"/>
              <w:right w:val="single" w:color="E5E7EB" w:sz="1"/>
            </w:tcBorders>
            <w:shd w:fill="F8FAFC"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No</w:t>
            </w:r>
          </w:p>
        </w:tc>
        <w:tc>
          <w:tcPr>
            <w:tcW w:type="dxa" w:w="1560"/>
            <w:tcBorders>
              <w:top w:val="single" w:color="E5E7EB" w:sz="1"/>
              <w:left w:val="single" w:color="E5E7EB" w:sz="1"/>
              <w:bottom w:val="single" w:color="E5E7EB" w:sz="1"/>
              <w:right w:val="single" w:color="E5E7EB" w:sz="1"/>
            </w:tcBorders>
            <w:shd w:fill="F8FAFC"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No</w:t>
            </w:r>
          </w:p>
        </w:tc>
        <w:tc>
          <w:tcPr>
            <w:tcW w:type="dxa" w:w="2280"/>
            <w:tcBorders>
              <w:top w:val="single" w:color="E5E7EB" w:sz="1"/>
              <w:left w:val="single" w:color="E5E7EB" w:sz="1"/>
              <w:bottom w:val="single" w:color="E5E7EB" w:sz="1"/>
              <w:right w:val="single" w:color="E5E7EB" w:sz="1"/>
            </w:tcBorders>
            <w:shd w:fill="F8FAFC"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No</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Autonomous nightly pentest</w:t>
            </w:r>
          </w:p>
        </w:tc>
        <w:tc>
          <w:tcPr>
            <w:tcW w:type="dxa" w:w="1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Yes</w:t>
            </w:r>
          </w:p>
        </w:tc>
        <w:tc>
          <w:tcPr>
            <w:tcW w:type="dxa" w:w="1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No</w:t>
            </w:r>
          </w:p>
        </w:tc>
        <w:tc>
          <w:tcPr>
            <w:tcW w:type="dxa" w:w="1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No</w:t>
            </w:r>
          </w:p>
        </w:tc>
        <w:tc>
          <w:tcPr>
            <w:tcW w:type="dxa" w:w="228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No</w:t>
            </w:r>
          </w:p>
        </w:tc>
      </w:tr>
      <w:tr>
        <w:tc>
          <w:tcPr>
            <w:tcW w:type="dxa" w:w="2400"/>
            <w:tcBorders>
              <w:top w:val="single" w:color="E5E7EB" w:sz="1"/>
              <w:left w:val="single" w:color="E5E7EB" w:sz="1"/>
              <w:bottom w:val="single" w:color="E5E7EB" w:sz="1"/>
              <w:right w:val="single" w:color="E5E7EB" w:sz="1"/>
            </w:tcBorders>
            <w:shd w:fill="F8FAFC"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Mid-market pricing</w:t>
            </w:r>
          </w:p>
        </w:tc>
        <w:tc>
          <w:tcPr>
            <w:tcW w:type="dxa" w:w="1560"/>
            <w:tcBorders>
              <w:top w:val="single" w:color="E5E7EB" w:sz="1"/>
              <w:left w:val="single" w:color="E5E7EB" w:sz="1"/>
              <w:bottom w:val="single" w:color="E5E7EB" w:sz="1"/>
              <w:right w:val="single" w:color="E5E7EB" w:sz="1"/>
            </w:tcBorders>
            <w:shd w:fill="F8FAFC"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Yes</w:t>
            </w:r>
          </w:p>
        </w:tc>
        <w:tc>
          <w:tcPr>
            <w:tcW w:type="dxa" w:w="1560"/>
            <w:tcBorders>
              <w:top w:val="single" w:color="E5E7EB" w:sz="1"/>
              <w:left w:val="single" w:color="E5E7EB" w:sz="1"/>
              <w:bottom w:val="single" w:color="E5E7EB" w:sz="1"/>
              <w:right w:val="single" w:color="E5E7EB" w:sz="1"/>
            </w:tcBorders>
            <w:shd w:fill="F8FAFC"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No</w:t>
            </w:r>
          </w:p>
        </w:tc>
        <w:tc>
          <w:tcPr>
            <w:tcW w:type="dxa" w:w="1560"/>
            <w:tcBorders>
              <w:top w:val="single" w:color="E5E7EB" w:sz="1"/>
              <w:left w:val="single" w:color="E5E7EB" w:sz="1"/>
              <w:bottom w:val="single" w:color="E5E7EB" w:sz="1"/>
              <w:right w:val="single" w:color="E5E7EB" w:sz="1"/>
            </w:tcBorders>
            <w:shd w:fill="F8FAFC"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No</w:t>
            </w:r>
          </w:p>
        </w:tc>
        <w:tc>
          <w:tcPr>
            <w:tcW w:type="dxa" w:w="2280"/>
            <w:tcBorders>
              <w:top w:val="single" w:color="E5E7EB" w:sz="1"/>
              <w:left w:val="single" w:color="E5E7EB" w:sz="1"/>
              <w:bottom w:val="single" w:color="E5E7EB" w:sz="1"/>
              <w:right w:val="single" w:color="E5E7EB" w:sz="1"/>
            </w:tcBorders>
            <w:shd w:fill="F8FAFC"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No</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India data residency</w:t>
            </w:r>
          </w:p>
        </w:tc>
        <w:tc>
          <w:tcPr>
            <w:tcW w:type="dxa" w:w="1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Yes</w:t>
            </w:r>
          </w:p>
        </w:tc>
        <w:tc>
          <w:tcPr>
            <w:tcW w:type="dxa" w:w="1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Partial</w:t>
            </w:r>
          </w:p>
        </w:tc>
        <w:tc>
          <w:tcPr>
            <w:tcW w:type="dxa" w:w="1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No</w:t>
            </w:r>
          </w:p>
        </w:tc>
        <w:tc>
          <w:tcPr>
            <w:tcW w:type="dxa" w:w="228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No</w:t>
            </w:r>
          </w:p>
        </w:tc>
      </w:tr>
    </w:tbl>
    <w:p>
      <w:pPr>
        <w:spacing w:before="160" w:after="0"/>
      </w:pPr>
      <w:r>
        <w:t xml:space="preserve"/>
      </w:r>
    </w:p>
    <w:p>
      <w:pPr>
        <w:pStyle w:val="Heading2"/>
        <w:pBdr>
          <w:bottom w:val="single" w:color="E5E7EB" w:sz="4"/>
        </w:pBdr>
        <w:spacing w:before="280" w:after="120"/>
      </w:pPr>
      <w:r>
        <w:rPr>
          <w:rFonts w:ascii="Arial" w:cs="Arial" w:eastAsia="Arial" w:hAnsi="Arial"/>
          <w:b/>
          <w:bCs/>
          <w:color w:val="111827"/>
          <w:sz w:val="28"/>
          <w:szCs w:val="28"/>
        </w:rPr>
        <w:t xml:space="preserve">7.3  Why Incumbents Cannot Simply Copy AEGIS</w:t>
      </w:r>
    </w:p>
    <w:p>
      <w:pPr>
        <w:spacing w:before="60" w:after="0"/>
      </w:pPr>
      <w:r>
        <w:t xml:space="preserve"/>
      </w:r>
    </w:p>
    <w:p>
      <w:pPr>
        <w:pStyle w:val="ListParagraph"/>
        <w:numPr>
          <w:ilvl w:val="0"/>
          <w:numId w:val="2"/>
        </w:numPr>
        <w:spacing w:before="60" w:after="60"/>
      </w:pPr>
      <w:r>
        <w:rPr>
          <w:rFonts w:ascii="Arial" w:cs="Arial" w:eastAsia="Arial" w:hAnsi="Arial"/>
          <w:b/>
          <w:bCs/>
          <w:i w:val="false"/>
          <w:iCs w:val="false"/>
          <w:color w:val="111827"/>
          <w:sz w:val="22"/>
          <w:szCs w:val="22"/>
        </w:rPr>
        <w:t xml:space="preserve">CrowdStrike: </w:t>
      </w:r>
      <w:r>
        <w:rPr>
          <w:rFonts w:ascii="Arial" w:cs="Arial" w:eastAsia="Arial" w:hAnsi="Arial"/>
          <w:b w:val="false"/>
          <w:bCs w:val="false"/>
          <w:i w:val="false"/>
          <w:iCs w:val="false"/>
          <w:color w:val="111827"/>
          <w:sz w:val="22"/>
          <w:szCs w:val="22"/>
        </w:rPr>
        <w:t xml:space="preserve">Their entire AI strategy depends on external LLMs — they are an OpenAI customer, not an AI company. Rebuilding a self-hosted, self-training AI brain would require dismantling their current architecture and cannibalising their cloud-first product line.</w:t>
      </w:r>
    </w:p>
    <w:p>
      <w:pPr>
        <w:pStyle w:val="ListParagraph"/>
        <w:numPr>
          <w:ilvl w:val="0"/>
          <w:numId w:val="2"/>
        </w:numPr>
        <w:spacing w:before="60" w:after="60"/>
      </w:pPr>
      <w:r>
        <w:rPr>
          <w:rFonts w:ascii="Arial" w:cs="Arial" w:eastAsia="Arial" w:hAnsi="Arial"/>
          <w:b/>
          <w:bCs/>
          <w:i w:val="false"/>
          <w:iCs w:val="false"/>
          <w:color w:val="111827"/>
          <w:sz w:val="22"/>
          <w:szCs w:val="22"/>
        </w:rPr>
        <w:t xml:space="preserve">Palo Alto Networks: </w:t>
      </w:r>
      <w:r>
        <w:rPr>
          <w:rFonts w:ascii="Arial" w:cs="Arial" w:eastAsia="Arial" w:hAnsi="Arial"/>
          <w:b w:val="false"/>
          <w:bCs w:val="false"/>
          <w:i w:val="false"/>
          <w:iCs w:val="false"/>
          <w:color w:val="111827"/>
          <w:sz w:val="22"/>
          <w:szCs w:val="22"/>
        </w:rPr>
        <w:t xml:space="preserve">Cannot unify Red, Blue, and Comply without cannibalising three separate acquired product lines and destroying Rs. 200K/year in human consulting revenue per customer.</w:t>
      </w:r>
    </w:p>
    <w:p>
      <w:pPr>
        <w:pStyle w:val="ListParagraph"/>
        <w:numPr>
          <w:ilvl w:val="0"/>
          <w:numId w:val="2"/>
        </w:numPr>
        <w:spacing w:before="60" w:after="60"/>
      </w:pPr>
      <w:r>
        <w:rPr>
          <w:rFonts w:ascii="Arial" w:cs="Arial" w:eastAsia="Arial" w:hAnsi="Arial"/>
          <w:b/>
          <w:bCs/>
          <w:i w:val="false"/>
          <w:iCs w:val="false"/>
          <w:color w:val="111827"/>
          <w:sz w:val="22"/>
          <w:szCs w:val="22"/>
        </w:rPr>
        <w:t xml:space="preserve">Vanta / Drata: </w:t>
      </w:r>
      <w:r>
        <w:rPr>
          <w:rFonts w:ascii="Arial" w:cs="Arial" w:eastAsia="Arial" w:hAnsi="Arial"/>
          <w:b w:val="false"/>
          <w:bCs w:val="false"/>
          <w:i w:val="false"/>
          <w:iCs w:val="false"/>
          <w:color w:val="111827"/>
          <w:sz w:val="22"/>
          <w:szCs w:val="22"/>
        </w:rPr>
        <w:t xml:space="preserve">US-first by design. Their entire go-to-market, pricing, integrations, and compliance focus is optimised for the US market. India-specific regulatory coverage (DPDP, CERT-In) is not on their roadmap.</w:t>
      </w:r>
    </w:p>
    <w:p>
      <w:pPr>
        <w:pStyle w:val="ListParagraph"/>
        <w:numPr>
          <w:ilvl w:val="0"/>
          <w:numId w:val="2"/>
        </w:numPr>
        <w:spacing w:before="60" w:after="60"/>
      </w:pPr>
      <w:r>
        <w:rPr>
          <w:rFonts w:ascii="Arial" w:cs="Arial" w:eastAsia="Arial" w:hAnsi="Arial"/>
          <w:b/>
          <w:bCs/>
          <w:i w:val="false"/>
          <w:iCs w:val="false"/>
          <w:color w:val="111827"/>
          <w:sz w:val="22"/>
          <w:szCs w:val="22"/>
        </w:rPr>
        <w:t xml:space="preserve">All incumbents: </w:t>
      </w:r>
      <w:r>
        <w:rPr>
          <w:rFonts w:ascii="Arial" w:cs="Arial" w:eastAsia="Arial" w:hAnsi="Arial"/>
          <w:b w:val="false"/>
          <w:bCs w:val="false"/>
          <w:i w:val="false"/>
          <w:iCs w:val="false"/>
          <w:color w:val="111827"/>
          <w:sz w:val="22"/>
          <w:szCs w:val="22"/>
        </w:rPr>
        <w:t xml:space="preserve">The Collective Intelligence Network cannot be purchased or replicated from scratch. It requires years of accumulated real incident data across a real customer base. A competitor starting today has zero of this data.</w:t>
      </w:r>
    </w:p>
    <w:p>
      <w:pPr>
        <w:spacing w:before="200" w:after="0"/>
      </w:pPr>
      <w:r>
        <w:t xml:space="preserve"/>
      </w:r>
    </w:p>
    <w:p>
      <w:r>
        <w:br w:type="page"/>
      </w:r>
    </w:p>
    <w:p>
      <w:pPr>
        <w:pStyle w:val="Heading1"/>
        <w:pBdr>
          <w:left w:val="single" w:color="1A56DB" w:sz="20" w:space="8"/>
        </w:pBdr>
        <w:spacing w:before="400" w:after="160"/>
      </w:pPr>
      <w:r>
        <w:rPr>
          <w:rFonts w:ascii="Arial" w:cs="Arial" w:eastAsia="Arial" w:hAnsi="Arial"/>
          <w:b/>
          <w:bCs/>
          <w:color w:val="111827"/>
          <w:sz w:val="38"/>
          <w:szCs w:val="38"/>
        </w:rPr>
        <w:t xml:space="preserve">8. Business Model &amp; Unit Economics</w:t>
      </w:r>
    </w:p>
    <w:p>
      <w:pPr>
        <w:pStyle w:val="Heading2"/>
        <w:pBdr>
          <w:bottom w:val="single" w:color="E5E7EB" w:sz="4"/>
        </w:pBdr>
        <w:spacing w:before="280" w:after="120"/>
      </w:pPr>
      <w:r>
        <w:rPr>
          <w:rFonts w:ascii="Arial" w:cs="Arial" w:eastAsia="Arial" w:hAnsi="Arial"/>
          <w:b/>
          <w:bCs/>
          <w:color w:val="111827"/>
          <w:sz w:val="28"/>
          <w:szCs w:val="28"/>
        </w:rPr>
        <w:t xml:space="preserve">8.1  Pricing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3160"/>
      </w:tblGrid>
      <w:tr>
        <w:tc>
          <w:tcPr>
            <w:tcW w:type="dxa" w:w="1800"/>
            <w:tcBorders>
              <w:top w:val="single" w:color="E5E7EB" w:sz="1"/>
              <w:left w:val="single" w:color="E5E7EB" w:sz="1"/>
              <w:bottom w:val="single" w:color="E5E7EB" w:sz="1"/>
              <w:right w:val="single" w:color="E5E7EB" w:sz="1"/>
            </w:tcBorders>
            <w:shd w:fill="1E3A5F"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Plan</w:t>
            </w:r>
          </w:p>
        </w:tc>
        <w:tc>
          <w:tcPr>
            <w:tcW w:type="dxa" w:w="2200"/>
            <w:tcBorders>
              <w:top w:val="single" w:color="E5E7EB" w:sz="1"/>
              <w:left w:val="single" w:color="E5E7EB" w:sz="1"/>
              <w:bottom w:val="single" w:color="E5E7EB" w:sz="1"/>
              <w:right w:val="single" w:color="E5E7EB" w:sz="1"/>
            </w:tcBorders>
            <w:shd w:fill="1E3A5F"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Price</w:t>
            </w:r>
          </w:p>
        </w:tc>
        <w:tc>
          <w:tcPr>
            <w:tcW w:type="dxa" w:w="2200"/>
            <w:tcBorders>
              <w:top w:val="single" w:color="E5E7EB" w:sz="1"/>
              <w:left w:val="single" w:color="E5E7EB" w:sz="1"/>
              <w:bottom w:val="single" w:color="E5E7EB" w:sz="1"/>
              <w:right w:val="single" w:color="E5E7EB" w:sz="1"/>
            </w:tcBorders>
            <w:shd w:fill="1E3A5F"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Target Customer</w:t>
            </w:r>
          </w:p>
        </w:tc>
        <w:tc>
          <w:tcPr>
            <w:tcW w:type="dxa" w:w="3160"/>
            <w:tcBorders>
              <w:top w:val="single" w:color="E5E7EB" w:sz="1"/>
              <w:left w:val="single" w:color="E5E7EB" w:sz="1"/>
              <w:bottom w:val="single" w:color="E5E7EB" w:sz="1"/>
              <w:right w:val="single" w:color="E5E7EB" w:sz="1"/>
            </w:tcBorders>
            <w:shd w:fill="1E3A5F"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What Is Included</w:t>
            </w:r>
          </w:p>
        </w:tc>
      </w:tr>
      <w:tr>
        <w:tc>
          <w:tcPr>
            <w:tcW w:type="dxa" w:w="1800"/>
            <w:tcBorders>
              <w:top w:val="single" w:color="E5E7EB" w:sz="1"/>
              <w:left w:val="single" w:color="E5E7EB" w:sz="1"/>
              <w:bottom w:val="single" w:color="E5E7EB" w:sz="1"/>
              <w:right w:val="single" w:color="E5E7EB" w:sz="1"/>
            </w:tcBorders>
            <w:shd w:fill="F8FAFC"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Plan</w:t>
            </w:r>
          </w:p>
        </w:tc>
        <w:tc>
          <w:tcPr>
            <w:tcW w:type="dxa" w:w="2200"/>
            <w:tcBorders>
              <w:top w:val="single" w:color="E5E7EB" w:sz="1"/>
              <w:left w:val="single" w:color="E5E7EB" w:sz="1"/>
              <w:bottom w:val="single" w:color="E5E7EB" w:sz="1"/>
              <w:right w:val="single" w:color="E5E7EB" w:sz="1"/>
            </w:tcBorders>
            <w:shd w:fill="F8FAFC"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Price</w:t>
            </w:r>
          </w:p>
        </w:tc>
        <w:tc>
          <w:tcPr>
            <w:tcW w:type="dxa" w:w="2200"/>
            <w:tcBorders>
              <w:top w:val="single" w:color="E5E7EB" w:sz="1"/>
              <w:left w:val="single" w:color="E5E7EB" w:sz="1"/>
              <w:bottom w:val="single" w:color="E5E7EB" w:sz="1"/>
              <w:right w:val="single" w:color="E5E7EB" w:sz="1"/>
            </w:tcBorders>
            <w:shd w:fill="F8FAFC"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Target Customer</w:t>
            </w:r>
          </w:p>
        </w:tc>
        <w:tc>
          <w:tcPr>
            <w:tcW w:type="dxa" w:w="3160"/>
            <w:tcBorders>
              <w:top w:val="single" w:color="E5E7EB" w:sz="1"/>
              <w:left w:val="single" w:color="E5E7EB" w:sz="1"/>
              <w:bottom w:val="single" w:color="E5E7EB" w:sz="1"/>
              <w:right w:val="single" w:color="E5E7EB" w:sz="1"/>
            </w:tcBorders>
            <w:shd w:fill="F8FAFC"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What Is Included</w:t>
            </w:r>
          </w:p>
        </w:tc>
      </w:tr>
      <w:tr>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Starter</w:t>
            </w:r>
          </w:p>
        </w:tc>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Rs. 8,000/month</w:t>
            </w:r>
          </w:p>
        </w:tc>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20-100 person Indian SaaS startup</w:t>
            </w:r>
          </w:p>
        </w:tc>
        <w:tc>
          <w:tcPr>
            <w:tcW w:type="dxa" w:w="3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SOC2 checks, dashboard, email alerts, daily scans</w:t>
            </w:r>
          </w:p>
        </w:tc>
      </w:tr>
      <w:tr>
        <w:tc>
          <w:tcPr>
            <w:tcW w:type="dxa" w:w="1800"/>
            <w:tcBorders>
              <w:top w:val="single" w:color="E5E7EB" w:sz="1"/>
              <w:left w:val="single" w:color="E5E7EB" w:sz="1"/>
              <w:bottom w:val="single" w:color="E5E7EB" w:sz="1"/>
              <w:right w:val="single" w:color="E5E7EB" w:sz="1"/>
            </w:tcBorders>
            <w:shd w:fill="F8FAFC"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Growth</w:t>
            </w:r>
          </w:p>
        </w:tc>
        <w:tc>
          <w:tcPr>
            <w:tcW w:type="dxa" w:w="2200"/>
            <w:tcBorders>
              <w:top w:val="single" w:color="E5E7EB" w:sz="1"/>
              <w:left w:val="single" w:color="E5E7EB" w:sz="1"/>
              <w:bottom w:val="single" w:color="E5E7EB" w:sz="1"/>
              <w:right w:val="single" w:color="E5E7EB" w:sz="1"/>
            </w:tcBorders>
            <w:shd w:fill="F8FAFC"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Rs. 15,000/month</w:t>
            </w:r>
          </w:p>
        </w:tc>
        <w:tc>
          <w:tcPr>
            <w:tcW w:type="dxa" w:w="2200"/>
            <w:tcBorders>
              <w:top w:val="single" w:color="E5E7EB" w:sz="1"/>
              <w:left w:val="single" w:color="E5E7EB" w:sz="1"/>
              <w:bottom w:val="single" w:color="E5E7EB" w:sz="1"/>
              <w:right w:val="single" w:color="E5E7EB" w:sz="1"/>
            </w:tcBorders>
            <w:shd w:fill="F8FAFC"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100-500 person scaling SaaS</w:t>
            </w:r>
          </w:p>
        </w:tc>
        <w:tc>
          <w:tcPr>
            <w:tcW w:type="dxa" w:w="3160"/>
            <w:tcBorders>
              <w:top w:val="single" w:color="E5E7EB" w:sz="1"/>
              <w:left w:val="single" w:color="E5E7EB" w:sz="1"/>
              <w:bottom w:val="single" w:color="E5E7EB" w:sz="1"/>
              <w:right w:val="single" w:color="E5E7EB" w:sz="1"/>
            </w:tcBorders>
            <w:shd w:fill="F8FAFC"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Everything in Starter + evidence pack, breach monitoring, drift alerts, Slack/Jira integration</w:t>
            </w:r>
          </w:p>
        </w:tc>
      </w:tr>
      <w:tr>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Enterprise</w:t>
            </w:r>
          </w:p>
        </w:tc>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Rs. 60,000+/month</w:t>
            </w:r>
          </w:p>
        </w:tc>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500+ person enterprise</w:t>
            </w:r>
          </w:p>
        </w:tc>
        <w:tc>
          <w:tcPr>
            <w:tcW w:type="dxa" w:w="3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Everything + dedicated VPC, SSO, SCIM, 24/7 support, SLA guarantee, board reporting, auditor portal</w:t>
            </w:r>
          </w:p>
        </w:tc>
      </w:tr>
      <w:tr>
        <w:tc>
          <w:tcPr>
            <w:tcW w:type="dxa" w:w="1800"/>
            <w:tcBorders>
              <w:top w:val="single" w:color="E5E7EB" w:sz="1"/>
              <w:left w:val="single" w:color="E5E7EB" w:sz="1"/>
              <w:bottom w:val="single" w:color="E5E7EB" w:sz="1"/>
              <w:right w:val="single" w:color="E5E7EB" w:sz="1"/>
            </w:tcBorders>
            <w:shd w:fill="F8FAFC"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Design Partner</w:t>
            </w:r>
          </w:p>
        </w:tc>
        <w:tc>
          <w:tcPr>
            <w:tcW w:type="dxa" w:w="2200"/>
            <w:tcBorders>
              <w:top w:val="single" w:color="E5E7EB" w:sz="1"/>
              <w:left w:val="single" w:color="E5E7EB" w:sz="1"/>
              <w:bottom w:val="single" w:color="E5E7EB" w:sz="1"/>
              <w:right w:val="single" w:color="E5E7EB" w:sz="1"/>
            </w:tcBorders>
            <w:shd w:fill="F8FAFC"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Rs. 5,000/month</w:t>
            </w:r>
          </w:p>
        </w:tc>
        <w:tc>
          <w:tcPr>
            <w:tcW w:type="dxa" w:w="2200"/>
            <w:tcBorders>
              <w:top w:val="single" w:color="E5E7EB" w:sz="1"/>
              <w:left w:val="single" w:color="E5E7EB" w:sz="1"/>
              <w:bottom w:val="single" w:color="E5E7EB" w:sz="1"/>
              <w:right w:val="single" w:color="E5E7EB" w:sz="1"/>
            </w:tcBorders>
            <w:shd w:fill="F8FAFC"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First 5 customers only</w:t>
            </w:r>
          </w:p>
        </w:tc>
        <w:tc>
          <w:tcPr>
            <w:tcW w:type="dxa" w:w="3160"/>
            <w:tcBorders>
              <w:top w:val="single" w:color="E5E7EB" w:sz="1"/>
              <w:left w:val="single" w:color="E5E7EB" w:sz="1"/>
              <w:bottom w:val="single" w:color="E5E7EB" w:sz="1"/>
              <w:right w:val="single" w:color="E5E7EB" w:sz="1"/>
            </w:tcBorders>
            <w:shd w:fill="F8FAFC"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Full Growth plan features + direct founder access + feature request priority</w:t>
            </w:r>
          </w:p>
        </w:tc>
      </w:tr>
    </w:tbl>
    <w:p>
      <w:pPr>
        <w:spacing w:before="160" w:after="0"/>
      </w:pPr>
      <w:r>
        <w:t xml:space="preserve"/>
      </w:r>
    </w:p>
    <w:p>
      <w:pPr>
        <w:pStyle w:val="Heading2"/>
        <w:pBdr>
          <w:bottom w:val="single" w:color="E5E7EB" w:sz="4"/>
        </w:pBdr>
        <w:spacing w:before="280" w:after="120"/>
      </w:pPr>
      <w:r>
        <w:rPr>
          <w:rFonts w:ascii="Arial" w:cs="Arial" w:eastAsia="Arial" w:hAnsi="Arial"/>
          <w:b/>
          <w:bCs/>
          <w:color w:val="111827"/>
          <w:sz w:val="28"/>
          <w:szCs w:val="28"/>
        </w:rPr>
        <w:t xml:space="preserve">8.2  Unit Economics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5E7EB" w:sz="1"/>
              <w:left w:val="single" w:color="E5E7EB" w:sz="1"/>
              <w:bottom w:val="single" w:color="E5E7EB" w:sz="1"/>
              <w:right w:val="single" w:color="E5E7EB" w:sz="1"/>
            </w:tcBorders>
            <w:shd w:fill="1E3A5F"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Metric</w:t>
            </w:r>
          </w:p>
        </w:tc>
        <w:tc>
          <w:tcPr>
            <w:tcW w:type="dxa" w:w="6360"/>
            <w:tcBorders>
              <w:top w:val="single" w:color="E5E7EB" w:sz="1"/>
              <w:left w:val="single" w:color="E5E7EB" w:sz="1"/>
              <w:bottom w:val="single" w:color="E5E7EB" w:sz="1"/>
              <w:right w:val="single" w:color="E5E7EB" w:sz="1"/>
            </w:tcBorders>
            <w:shd w:fill="1E3A5F"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Detail</w:t>
            </w:r>
          </w:p>
        </w:tc>
      </w:tr>
      <w:tr>
        <w:tc>
          <w:tcPr>
            <w:tcW w:type="dxa" w:w="3000"/>
            <w:tcBorders>
              <w:top w:val="single" w:color="E5E7EB" w:sz="1"/>
              <w:left w:val="single" w:color="E5E7EB" w:sz="1"/>
              <w:bottom w:val="single" w:color="E5E7EB" w:sz="1"/>
              <w:right w:val="single" w:color="E5E7EB" w:sz="1"/>
            </w:tcBorders>
            <w:shd w:fill="F8FAFC"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Monthly infrastructure cost per customer (Phase 1, no LLM)</w:t>
            </w:r>
          </w:p>
        </w:tc>
        <w:tc>
          <w:tcPr>
            <w:tcW w:type="dxa" w:w="6360"/>
            <w:tcBorders>
              <w:top w:val="single" w:color="E5E7EB" w:sz="1"/>
              <w:left w:val="single" w:color="E5E7EB" w:sz="1"/>
              <w:bottom w:val="single" w:color="E5E7EB" w:sz="1"/>
              <w:right w:val="single" w:color="E5E7EB" w:sz="1"/>
            </w:tcBorders>
            <w:shd w:fill="F8FAFC"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Rs. 500 to 1,500 per month on shared VPC</w:t>
            </w:r>
          </w:p>
        </w:tc>
      </w:tr>
      <w:tr>
        <w:tc>
          <w:tcPr>
            <w:tcW w:type="dxa" w:w="3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Monthly infrastructure cost per customer (Phase 2, with Ollama)</w:t>
            </w:r>
          </w:p>
        </w:tc>
        <w:tc>
          <w:tcPr>
            <w:tcW w:type="dxa" w:w="6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Rs. 2,000 to 4,000 per month on dedicated compute</w:t>
            </w:r>
          </w:p>
        </w:tc>
      </w:tr>
      <w:tr>
        <w:tc>
          <w:tcPr>
            <w:tcW w:type="dxa" w:w="3000"/>
            <w:tcBorders>
              <w:top w:val="single" w:color="E5E7EB" w:sz="1"/>
              <w:left w:val="single" w:color="E5E7EB" w:sz="1"/>
              <w:bottom w:val="single" w:color="E5E7EB" w:sz="1"/>
              <w:right w:val="single" w:color="E5E7EB" w:sz="1"/>
            </w:tcBorders>
            <w:shd w:fill="F8FAFC"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Gross margin target (Phase 1 Starter plan)</w:t>
            </w:r>
          </w:p>
        </w:tc>
        <w:tc>
          <w:tcPr>
            <w:tcW w:type="dxa" w:w="6360"/>
            <w:tcBorders>
              <w:top w:val="single" w:color="E5E7EB" w:sz="1"/>
              <w:left w:val="single" w:color="E5E7EB" w:sz="1"/>
              <w:bottom w:val="single" w:color="E5E7EB" w:sz="1"/>
              <w:right w:val="single" w:color="E5E7EB" w:sz="1"/>
            </w:tcBorders>
            <w:shd w:fill="F8FAFC"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Rs. 8,000 revenue - Rs. 1,200 COGS = 85% gross margin</w:t>
            </w:r>
          </w:p>
        </w:tc>
      </w:tr>
      <w:tr>
        <w:tc>
          <w:tcPr>
            <w:tcW w:type="dxa" w:w="3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Gross margin target (Phase 2 Growth plan)</w:t>
            </w:r>
          </w:p>
        </w:tc>
        <w:tc>
          <w:tcPr>
            <w:tcW w:type="dxa" w:w="6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Rs. 15,000 revenue - Rs. 3,500 COGS = 77% gross margin</w:t>
            </w:r>
          </w:p>
        </w:tc>
      </w:tr>
      <w:tr>
        <w:tc>
          <w:tcPr>
            <w:tcW w:type="dxa" w:w="3000"/>
            <w:tcBorders>
              <w:top w:val="single" w:color="E5E7EB" w:sz="1"/>
              <w:left w:val="single" w:color="E5E7EB" w:sz="1"/>
              <w:bottom w:val="single" w:color="E5E7EB" w:sz="1"/>
              <w:right w:val="single" w:color="E5E7EB" w:sz="1"/>
            </w:tcBorders>
            <w:shd w:fill="F8FAFC"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Customer acquisition cost (design partner phase)</w:t>
            </w:r>
          </w:p>
        </w:tc>
        <w:tc>
          <w:tcPr>
            <w:tcW w:type="dxa" w:w="6360"/>
            <w:tcBorders>
              <w:top w:val="single" w:color="E5E7EB" w:sz="1"/>
              <w:left w:val="single" w:color="E5E7EB" w:sz="1"/>
              <w:bottom w:val="single" w:color="E5E7EB" w:sz="1"/>
              <w:right w:val="single" w:color="E5E7EB" w:sz="1"/>
            </w:tcBorders>
            <w:shd w:fill="F8FAFC"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Near zero — direct outreach, no paid marketing</w:t>
            </w:r>
          </w:p>
        </w:tc>
      </w:tr>
      <w:tr>
        <w:tc>
          <w:tcPr>
            <w:tcW w:type="dxa" w:w="3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Expected annual churn (compliance category)</w:t>
            </w:r>
          </w:p>
        </w:tc>
        <w:tc>
          <w:tcPr>
            <w:tcW w:type="dxa" w:w="6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Low. SOC2 requires continuous monitoring. Customers who cancel lose their evidence trail and must restart.</w:t>
            </w:r>
          </w:p>
        </w:tc>
      </w:tr>
      <w:tr>
        <w:tc>
          <w:tcPr>
            <w:tcW w:type="dxa" w:w="3000"/>
            <w:tcBorders>
              <w:top w:val="single" w:color="E5E7EB" w:sz="1"/>
              <w:left w:val="single" w:color="E5E7EB" w:sz="1"/>
              <w:bottom w:val="single" w:color="E5E7EB" w:sz="1"/>
              <w:right w:val="single" w:color="E5E7EB" w:sz="1"/>
            </w:tcBorders>
            <w:shd w:fill="F8FAFC"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Expansion revenue path</w:t>
            </w:r>
          </w:p>
        </w:tc>
        <w:tc>
          <w:tcPr>
            <w:tcW w:type="dxa" w:w="6360"/>
            <w:tcBorders>
              <w:top w:val="single" w:color="E5E7EB" w:sz="1"/>
              <w:left w:val="single" w:color="E5E7EB" w:sz="1"/>
              <w:bottom w:val="single" w:color="E5E7EB" w:sz="1"/>
              <w:right w:val="single" w:color="E5E7EB" w:sz="1"/>
            </w:tcBorders>
            <w:shd w:fill="F8FAFC"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DPDP module, ISO 27001 module, CERT-In module as upsells to existing customers. Increases ACV without new customer acquisition.</w:t>
            </w:r>
          </w:p>
        </w:tc>
      </w:tr>
    </w:tbl>
    <w:p>
      <w:pPr>
        <w:spacing w:before="160" w:after="0"/>
      </w:pPr>
      <w:r>
        <w:t xml:space="preserve"/>
      </w:r>
    </w:p>
    <w:p>
      <w:pPr>
        <w:pStyle w:val="Heading2"/>
        <w:pBdr>
          <w:bottom w:val="single" w:color="E5E7EB" w:sz="4"/>
        </w:pBdr>
        <w:spacing w:before="280" w:after="120"/>
      </w:pPr>
      <w:r>
        <w:rPr>
          <w:rFonts w:ascii="Arial" w:cs="Arial" w:eastAsia="Arial" w:hAnsi="Arial"/>
          <w:b/>
          <w:bCs/>
          <w:color w:val="111827"/>
          <w:sz w:val="28"/>
          <w:szCs w:val="28"/>
        </w:rPr>
        <w:t xml:space="preserve">8.3  Revenue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E5E7EB" w:sz="1"/>
              <w:left w:val="single" w:color="E5E7EB" w:sz="1"/>
              <w:bottom w:val="single" w:color="E5E7EB" w:sz="1"/>
              <w:right w:val="single" w:color="E5E7EB" w:sz="1"/>
            </w:tcBorders>
            <w:shd w:fill="1E3A5F"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Period</w:t>
            </w:r>
          </w:p>
        </w:tc>
        <w:tc>
          <w:tcPr>
            <w:tcW w:type="dxa" w:w="3680"/>
            <w:tcBorders>
              <w:top w:val="single" w:color="E5E7EB" w:sz="1"/>
              <w:left w:val="single" w:color="E5E7EB" w:sz="1"/>
              <w:bottom w:val="single" w:color="E5E7EB" w:sz="1"/>
              <w:right w:val="single" w:color="E5E7EB" w:sz="1"/>
            </w:tcBorders>
            <w:shd w:fill="1E3A5F"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Milestone</w:t>
            </w:r>
          </w:p>
        </w:tc>
        <w:tc>
          <w:tcPr>
            <w:tcW w:type="dxa" w:w="3680"/>
            <w:tcBorders>
              <w:top w:val="single" w:color="E5E7EB" w:sz="1"/>
              <w:left w:val="single" w:color="E5E7EB" w:sz="1"/>
              <w:bottom w:val="single" w:color="E5E7EB" w:sz="1"/>
              <w:right w:val="single" w:color="E5E7EB" w:sz="1"/>
            </w:tcBorders>
            <w:shd w:fill="1E3A5F"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Target MRR</w:t>
            </w:r>
          </w:p>
        </w:tc>
      </w:tr>
      <w:tr>
        <w:tc>
          <w:tcPr>
            <w:tcW w:type="dxa" w:w="2000"/>
            <w:tcBorders>
              <w:top w:val="single" w:color="E5E7EB" w:sz="1"/>
              <w:left w:val="single" w:color="E5E7EB" w:sz="1"/>
              <w:bottom w:val="single" w:color="E5E7EB" w:sz="1"/>
              <w:right w:val="single" w:color="E5E7EB" w:sz="1"/>
            </w:tcBorders>
            <w:shd w:fill="F8FAFC"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Period</w:t>
            </w:r>
          </w:p>
        </w:tc>
        <w:tc>
          <w:tcPr>
            <w:tcW w:type="dxa" w:w="3680"/>
            <w:tcBorders>
              <w:top w:val="single" w:color="E5E7EB" w:sz="1"/>
              <w:left w:val="single" w:color="E5E7EB" w:sz="1"/>
              <w:bottom w:val="single" w:color="E5E7EB" w:sz="1"/>
              <w:right w:val="single" w:color="E5E7EB" w:sz="1"/>
            </w:tcBorders>
            <w:shd w:fill="F8FAFC"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Milestone</w:t>
            </w:r>
          </w:p>
        </w:tc>
        <w:tc>
          <w:tcPr>
            <w:tcW w:type="dxa" w:w="3680"/>
            <w:tcBorders>
              <w:top w:val="single" w:color="E5E7EB" w:sz="1"/>
              <w:left w:val="single" w:color="E5E7EB" w:sz="1"/>
              <w:bottom w:val="single" w:color="E5E7EB" w:sz="1"/>
              <w:right w:val="single" w:color="E5E7EB" w:sz="1"/>
            </w:tcBorders>
            <w:shd w:fill="F8FAFC"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Target MRR</w:t>
            </w:r>
          </w:p>
        </w:tc>
      </w:tr>
      <w:tr>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Month 1-3</w:t>
            </w:r>
          </w:p>
        </w:tc>
        <w:tc>
          <w:tcPr>
            <w:tcW w:type="dxa" w:w="368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3 design partners. Phase 1 COMPLY working.</w:t>
            </w:r>
          </w:p>
        </w:tc>
        <w:tc>
          <w:tcPr>
            <w:tcW w:type="dxa" w:w="368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Rs. 15,000</w:t>
            </w:r>
          </w:p>
        </w:tc>
      </w:tr>
      <w:tr>
        <w:tc>
          <w:tcPr>
            <w:tcW w:type="dxa" w:w="2000"/>
            <w:tcBorders>
              <w:top w:val="single" w:color="E5E7EB" w:sz="1"/>
              <w:left w:val="single" w:color="E5E7EB" w:sz="1"/>
              <w:bottom w:val="single" w:color="E5E7EB" w:sz="1"/>
              <w:right w:val="single" w:color="E5E7EB" w:sz="1"/>
            </w:tcBorders>
            <w:shd w:fill="F8FAFC"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Month 4-6</w:t>
            </w:r>
          </w:p>
        </w:tc>
        <w:tc>
          <w:tcPr>
            <w:tcW w:type="dxa" w:w="3680"/>
            <w:tcBorders>
              <w:top w:val="single" w:color="E5E7EB" w:sz="1"/>
              <w:left w:val="single" w:color="E5E7EB" w:sz="1"/>
              <w:bottom w:val="single" w:color="E5E7EB" w:sz="1"/>
              <w:right w:val="single" w:color="E5E7EB" w:sz="1"/>
            </w:tcBorders>
            <w:shd w:fill="F8FAFC"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10 customers. First non-design-partner paying full price.</w:t>
            </w:r>
          </w:p>
        </w:tc>
        <w:tc>
          <w:tcPr>
            <w:tcW w:type="dxa" w:w="3680"/>
            <w:tcBorders>
              <w:top w:val="single" w:color="E5E7EB" w:sz="1"/>
              <w:left w:val="single" w:color="E5E7EB" w:sz="1"/>
              <w:bottom w:val="single" w:color="E5E7EB" w:sz="1"/>
              <w:right w:val="single" w:color="E5E7EB" w:sz="1"/>
            </w:tcBorders>
            <w:shd w:fill="F8FAFC"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Rs. 80,000</w:t>
            </w:r>
          </w:p>
        </w:tc>
      </w:tr>
      <w:tr>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Month 7-9</w:t>
            </w:r>
          </w:p>
        </w:tc>
        <w:tc>
          <w:tcPr>
            <w:tcW w:type="dxa" w:w="368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20 customers. INTEL agent live. Evidence pack.</w:t>
            </w:r>
          </w:p>
        </w:tc>
        <w:tc>
          <w:tcPr>
            <w:tcW w:type="dxa" w:w="368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Rs. 2,00,000</w:t>
            </w:r>
          </w:p>
        </w:tc>
      </w:tr>
      <w:tr>
        <w:tc>
          <w:tcPr>
            <w:tcW w:type="dxa" w:w="2000"/>
            <w:tcBorders>
              <w:top w:val="single" w:color="E5E7EB" w:sz="1"/>
              <w:left w:val="single" w:color="E5E7EB" w:sz="1"/>
              <w:bottom w:val="single" w:color="E5E7EB" w:sz="1"/>
              <w:right w:val="single" w:color="E5E7EB" w:sz="1"/>
            </w:tcBorders>
            <w:shd w:fill="F8FAFC"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Month 10-12</w:t>
            </w:r>
          </w:p>
        </w:tc>
        <w:tc>
          <w:tcPr>
            <w:tcW w:type="dxa" w:w="3680"/>
            <w:tcBorders>
              <w:top w:val="single" w:color="E5E7EB" w:sz="1"/>
              <w:left w:val="single" w:color="E5E7EB" w:sz="1"/>
              <w:bottom w:val="single" w:color="E5E7EB" w:sz="1"/>
              <w:right w:val="single" w:color="E5E7EB" w:sz="1"/>
            </w:tcBorders>
            <w:shd w:fill="F8FAFC"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First enterprise customer (200+ employees). ISO 27001 live.</w:t>
            </w:r>
          </w:p>
        </w:tc>
        <w:tc>
          <w:tcPr>
            <w:tcW w:type="dxa" w:w="3680"/>
            <w:tcBorders>
              <w:top w:val="single" w:color="E5E7EB" w:sz="1"/>
              <w:left w:val="single" w:color="E5E7EB" w:sz="1"/>
              <w:bottom w:val="single" w:color="E5E7EB" w:sz="1"/>
              <w:right w:val="single" w:color="E5E7EB" w:sz="1"/>
            </w:tcBorders>
            <w:shd w:fill="F8FAFC"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Rs. 5,00,000</w:t>
            </w:r>
          </w:p>
        </w:tc>
      </w:tr>
      <w:tr>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Year 2 Q2</w:t>
            </w:r>
          </w:p>
        </w:tc>
        <w:tc>
          <w:tcPr>
            <w:tcW w:type="dxa" w:w="368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50 customers. HUNT + RED agents. First 500-employee customer.</w:t>
            </w:r>
          </w:p>
        </w:tc>
        <w:tc>
          <w:tcPr>
            <w:tcW w:type="dxa" w:w="368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Rs. 10,00,000</w:t>
            </w:r>
          </w:p>
        </w:tc>
      </w:tr>
      <w:tr>
        <w:tc>
          <w:tcPr>
            <w:tcW w:type="dxa" w:w="2000"/>
            <w:tcBorders>
              <w:top w:val="single" w:color="E5E7EB" w:sz="1"/>
              <w:left w:val="single" w:color="E5E7EB" w:sz="1"/>
              <w:bottom w:val="single" w:color="E5E7EB" w:sz="1"/>
              <w:right w:val="single" w:color="E5E7EB" w:sz="1"/>
            </w:tcBorders>
            <w:shd w:fill="F8FAFC"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Year 2 Q4</w:t>
            </w:r>
          </w:p>
        </w:tc>
        <w:tc>
          <w:tcPr>
            <w:tcW w:type="dxa" w:w="3680"/>
            <w:tcBorders>
              <w:top w:val="single" w:color="E5E7EB" w:sz="1"/>
              <w:left w:val="single" w:color="E5E7EB" w:sz="1"/>
              <w:bottom w:val="single" w:color="E5E7EB" w:sz="1"/>
              <w:right w:val="single" w:color="E5E7EB" w:sz="1"/>
            </w:tcBorders>
            <w:shd w:fill="F8FAFC"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Collective intelligence. Apply to YC.</w:t>
            </w:r>
          </w:p>
        </w:tc>
        <w:tc>
          <w:tcPr>
            <w:tcW w:type="dxa" w:w="3680"/>
            <w:tcBorders>
              <w:top w:val="single" w:color="E5E7EB" w:sz="1"/>
              <w:left w:val="single" w:color="E5E7EB" w:sz="1"/>
              <w:bottom w:val="single" w:color="E5E7EB" w:sz="1"/>
              <w:right w:val="single" w:color="E5E7EB" w:sz="1"/>
            </w:tcBorders>
            <w:shd w:fill="F8FAFC"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Rs. 20,00,000 (~$500K ARR)</w:t>
            </w:r>
          </w:p>
        </w:tc>
      </w:tr>
      <w:tr>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Year 3</w:t>
            </w:r>
          </w:p>
        </w:tc>
        <w:tc>
          <w:tcPr>
            <w:tcW w:type="dxa" w:w="368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Enterprise contracts. 100+ customers.</w:t>
            </w:r>
          </w:p>
        </w:tc>
        <w:tc>
          <w:tcPr>
            <w:tcW w:type="dxa" w:w="368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$1M+ ARR</w:t>
            </w:r>
          </w:p>
        </w:tc>
      </w:tr>
    </w:tbl>
    <w:p>
      <w:pPr>
        <w:spacing w:before="200" w:after="0"/>
      </w:pPr>
      <w:r>
        <w:t xml:space="preserve"/>
      </w:r>
    </w:p>
    <w:p>
      <w:r>
        <w:br w:type="page"/>
      </w:r>
    </w:p>
    <w:p>
      <w:pPr>
        <w:pStyle w:val="Heading1"/>
        <w:pBdr>
          <w:left w:val="single" w:color="1A56DB" w:sz="20" w:space="8"/>
        </w:pBdr>
        <w:spacing w:before="400" w:after="160"/>
      </w:pPr>
      <w:r>
        <w:rPr>
          <w:rFonts w:ascii="Arial" w:cs="Arial" w:eastAsia="Arial" w:hAnsi="Arial"/>
          <w:b/>
          <w:bCs/>
          <w:color w:val="111827"/>
          <w:sz w:val="38"/>
          <w:szCs w:val="38"/>
        </w:rPr>
        <w:t xml:space="preserve">9. Integration Ecosystem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1"/>
              <w:left w:val="single" w:color="E5E7EB" w:sz="1"/>
              <w:bottom w:val="single" w:color="E5E7EB" w:sz="1"/>
              <w:right w:val="single" w:color="E5E7EB" w:sz="1"/>
            </w:tcBorders>
            <w:shd w:fill="1E3A5F"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Category</w:t>
            </w:r>
          </w:p>
        </w:tc>
        <w:tc>
          <w:tcPr>
            <w:tcW w:type="dxa" w:w="6960"/>
            <w:tcBorders>
              <w:top w:val="single" w:color="E5E7EB" w:sz="1"/>
              <w:left w:val="single" w:color="E5E7EB" w:sz="1"/>
              <w:bottom w:val="single" w:color="E5E7EB" w:sz="1"/>
              <w:right w:val="single" w:color="E5E7EB" w:sz="1"/>
            </w:tcBorders>
            <w:shd w:fill="1E3A5F"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Integrations</w:t>
            </w:r>
          </w:p>
        </w:tc>
      </w:tr>
      <w:tr>
        <w:tc>
          <w:tcPr>
            <w:tcW w:type="dxa" w:w="2400"/>
            <w:tcBorders>
              <w:top w:val="single" w:color="E5E7EB" w:sz="1"/>
              <w:left w:val="single" w:color="E5E7EB" w:sz="1"/>
              <w:bottom w:val="single" w:color="E5E7EB" w:sz="1"/>
              <w:right w:val="single" w:color="E5E7EB" w:sz="1"/>
            </w:tcBorders>
            <w:shd w:fill="F8FAFC" w:val="clear"/>
            <w:tcMar>
              <w:top w:type="dxa" w:w="100"/>
              <w:left w:type="dxa" w:w="140"/>
              <w:bottom w:type="dxa" w:w="100"/>
              <w:right w:type="dxa" w:w="140"/>
            </w:tcMar>
          </w:tcPr>
          <w:p>
            <w:r>
              <w:rPr>
                <w:rFonts w:ascii="Arial" w:cs="Arial" w:eastAsia="Arial" w:hAnsi="Arial"/>
                <w:b/>
                <w:bCs/>
                <w:color w:val="111827"/>
                <w:sz w:val="20"/>
                <w:szCs w:val="20"/>
              </w:rPr>
              <w:t xml:space="preserve">Identity &amp; Access</w:t>
            </w:r>
          </w:p>
        </w:tc>
        <w:tc>
          <w:tcPr>
            <w:tcW w:type="dxa" w:w="6960"/>
            <w:tcBorders>
              <w:top w:val="single" w:color="E5E7EB" w:sz="1"/>
              <w:left w:val="single" w:color="E5E7EB" w:sz="1"/>
              <w:bottom w:val="single" w:color="E5E7EB" w:sz="1"/>
              <w:right w:val="single" w:color="E5E7EB" w:sz="1"/>
            </w:tcBorders>
            <w:shd w:fill="F8FAFC"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Okta (SSO + SCIM), Microsoft Azure AD (SSO + conditional access), Google Workspace (SSO + directory sync), OneLogin, Ping Identity</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111827"/>
                <w:sz w:val="20"/>
                <w:szCs w:val="20"/>
              </w:rPr>
              <w:t xml:space="preserve">Cloud Platforms</w:t>
            </w:r>
          </w:p>
        </w:tc>
        <w:tc>
          <w:tcPr>
            <w:tcW w:type="dxa" w:w="69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AWS (IAM, S3, CloudTrail, Config, GuardDuty), Google Cloud Platform (IAM, GCS, Audit Logs, Security Command Center), Microsoft Azure (IAM, Blob, Monitor, Defender), Kubernetes (RBAC, Pod Security, Network Policies), Terraform (IaC scanning)</w:t>
            </w:r>
          </w:p>
        </w:tc>
      </w:tr>
      <w:tr>
        <w:tc>
          <w:tcPr>
            <w:tcW w:type="dxa" w:w="2400"/>
            <w:tcBorders>
              <w:top w:val="single" w:color="E5E7EB" w:sz="1"/>
              <w:left w:val="single" w:color="E5E7EB" w:sz="1"/>
              <w:bottom w:val="single" w:color="E5E7EB" w:sz="1"/>
              <w:right w:val="single" w:color="E5E7EB" w:sz="1"/>
            </w:tcBorders>
            <w:shd w:fill="F8FAFC" w:val="clear"/>
            <w:tcMar>
              <w:top w:type="dxa" w:w="100"/>
              <w:left w:type="dxa" w:w="140"/>
              <w:bottom w:type="dxa" w:w="100"/>
              <w:right w:type="dxa" w:w="140"/>
            </w:tcMar>
          </w:tcPr>
          <w:p>
            <w:r>
              <w:rPr>
                <w:rFonts w:ascii="Arial" w:cs="Arial" w:eastAsia="Arial" w:hAnsi="Arial"/>
                <w:b/>
                <w:bCs/>
                <w:color w:val="111827"/>
                <w:sz w:val="20"/>
                <w:szCs w:val="20"/>
              </w:rPr>
              <w:t xml:space="preserve">Code &amp; CI/CD</w:t>
            </w:r>
          </w:p>
        </w:tc>
        <w:tc>
          <w:tcPr>
            <w:tcW w:type="dxa" w:w="6960"/>
            <w:tcBorders>
              <w:top w:val="single" w:color="E5E7EB" w:sz="1"/>
              <w:left w:val="single" w:color="E5E7EB" w:sz="1"/>
              <w:bottom w:val="single" w:color="E5E7EB" w:sz="1"/>
              <w:right w:val="single" w:color="E5E7EB" w:sz="1"/>
            </w:tcBorders>
            <w:shd w:fill="F8FAFC"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GitHub (org security, Actions, Advanced Security), GitLab (pipeline security, SAST), Bitbucket, Jenkins, CircleCI</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111827"/>
                <w:sz w:val="20"/>
                <w:szCs w:val="20"/>
              </w:rPr>
              <w:t xml:space="preserve">Communication &amp; Ticketing</w:t>
            </w:r>
          </w:p>
        </w:tc>
        <w:tc>
          <w:tcPr>
            <w:tcW w:type="dxa" w:w="69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Slack (real-time alerts, approval workflows), Microsoft Teams, Jira (ticket creation, SLA tracking), ServiceNow (enterprise ITSM), PagerDuty (on-call escalation), OpsGenie</w:t>
            </w:r>
          </w:p>
        </w:tc>
      </w:tr>
      <w:tr>
        <w:tc>
          <w:tcPr>
            <w:tcW w:type="dxa" w:w="2400"/>
            <w:tcBorders>
              <w:top w:val="single" w:color="E5E7EB" w:sz="1"/>
              <w:left w:val="single" w:color="E5E7EB" w:sz="1"/>
              <w:bottom w:val="single" w:color="E5E7EB" w:sz="1"/>
              <w:right w:val="single" w:color="E5E7EB" w:sz="1"/>
            </w:tcBorders>
            <w:shd w:fill="F8FAFC" w:val="clear"/>
            <w:tcMar>
              <w:top w:type="dxa" w:w="100"/>
              <w:left w:type="dxa" w:w="140"/>
              <w:bottom w:type="dxa" w:w="100"/>
              <w:right w:type="dxa" w:w="140"/>
            </w:tcMar>
          </w:tcPr>
          <w:p>
            <w:r>
              <w:rPr>
                <w:rFonts w:ascii="Arial" w:cs="Arial" w:eastAsia="Arial" w:hAnsi="Arial"/>
                <w:b/>
                <w:bCs/>
                <w:color w:val="111827"/>
                <w:sz w:val="20"/>
                <w:szCs w:val="20"/>
              </w:rPr>
              <w:t xml:space="preserve">SIEM &amp; Security</w:t>
            </w:r>
          </w:p>
        </w:tc>
        <w:tc>
          <w:tcPr>
            <w:tcW w:type="dxa" w:w="6960"/>
            <w:tcBorders>
              <w:top w:val="single" w:color="E5E7EB" w:sz="1"/>
              <w:left w:val="single" w:color="E5E7EB" w:sz="1"/>
              <w:bottom w:val="single" w:color="E5E7EB" w:sz="1"/>
              <w:right w:val="single" w:color="E5E7EB" w:sz="1"/>
            </w:tcBorders>
            <w:shd w:fill="F8FAFC"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Splunk (log forwarding, alert correlation), IBM QRadar, Microsoft Sentinel, Datadog, New Relic, Chronicle</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111827"/>
                <w:sz w:val="20"/>
                <w:szCs w:val="20"/>
              </w:rPr>
              <w:t xml:space="preserve">Indian SaaS Stack</w:t>
            </w:r>
          </w:p>
        </w:tc>
        <w:tc>
          <w:tcPr>
            <w:tcW w:type="dxa" w:w="69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Razorpay (payment security controls), Cashfree, Zoho (workspace security), Freshworks, BrowserStack (test pipeline security)</w:t>
            </w:r>
          </w:p>
        </w:tc>
      </w:tr>
      <w:tr>
        <w:tc>
          <w:tcPr>
            <w:tcW w:type="dxa" w:w="2400"/>
            <w:tcBorders>
              <w:top w:val="single" w:color="E5E7EB" w:sz="1"/>
              <w:left w:val="single" w:color="E5E7EB" w:sz="1"/>
              <w:bottom w:val="single" w:color="E5E7EB" w:sz="1"/>
              <w:right w:val="single" w:color="E5E7EB" w:sz="1"/>
            </w:tcBorders>
            <w:shd w:fill="F8FAFC" w:val="clear"/>
            <w:tcMar>
              <w:top w:type="dxa" w:w="100"/>
              <w:left w:type="dxa" w:w="140"/>
              <w:bottom w:type="dxa" w:w="100"/>
              <w:right w:type="dxa" w:w="140"/>
            </w:tcMar>
          </w:tcPr>
          <w:p>
            <w:r>
              <w:rPr>
                <w:rFonts w:ascii="Arial" w:cs="Arial" w:eastAsia="Arial" w:hAnsi="Arial"/>
                <w:b/>
                <w:bCs/>
                <w:color w:val="111827"/>
                <w:sz w:val="20"/>
                <w:szCs w:val="20"/>
              </w:rPr>
              <w:t xml:space="preserve">Observability</w:t>
            </w:r>
          </w:p>
        </w:tc>
        <w:tc>
          <w:tcPr>
            <w:tcW w:type="dxa" w:w="6960"/>
            <w:tcBorders>
              <w:top w:val="single" w:color="E5E7EB" w:sz="1"/>
              <w:left w:val="single" w:color="E5E7EB" w:sz="1"/>
              <w:bottom w:val="single" w:color="E5E7EB" w:sz="1"/>
              <w:right w:val="single" w:color="E5E7EB" w:sz="1"/>
            </w:tcBorders>
            <w:shd w:fill="F8FAFC"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Prometheus (metrics export), Grafana (dashboard embedding), OpenTelemetry (distributed tracing)</w:t>
            </w:r>
          </w:p>
        </w:tc>
      </w:tr>
    </w:tbl>
    <w:p>
      <w:pPr>
        <w:spacing w:before="200" w:after="0"/>
      </w:pPr>
      <w:r>
        <w:t xml:space="preserve"/>
      </w:r>
    </w:p>
    <w:p>
      <w:r>
        <w:br w:type="page"/>
      </w:r>
    </w:p>
    <w:p>
      <w:pPr>
        <w:pStyle w:val="Heading1"/>
        <w:pBdr>
          <w:left w:val="single" w:color="1A56DB" w:sz="20" w:space="8"/>
        </w:pBdr>
        <w:spacing w:before="400" w:after="160"/>
      </w:pPr>
      <w:r>
        <w:rPr>
          <w:rFonts w:ascii="Arial" w:cs="Arial" w:eastAsia="Arial" w:hAnsi="Arial"/>
          <w:b/>
          <w:bCs/>
          <w:color w:val="111827"/>
          <w:sz w:val="38"/>
          <w:szCs w:val="38"/>
        </w:rPr>
        <w:t xml:space="preserve">10. Security of AEGIS Itself</w:t>
      </w:r>
    </w:p>
    <w:p>
      <w:pPr>
        <w:spacing w:before="80" w:after="80"/>
        <w:jc w:val="left"/>
      </w:pPr>
      <w:r>
        <w:rPr>
          <w:rFonts w:ascii="Arial" w:cs="Arial" w:eastAsia="Arial" w:hAnsi="Arial"/>
          <w:b w:val="false"/>
          <w:bCs w:val="false"/>
          <w:i w:val="false"/>
          <w:iCs w:val="false"/>
          <w:color w:val="111827"/>
          <w:sz w:val="22"/>
          <w:szCs w:val="22"/>
        </w:rPr>
        <w:t xml:space="preserve">A security company that is not itself secure is dead on arrival. Enterprise procurement teams will audit AEGIS with the same rigour AEGIS applies to customers.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1E3A5F"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Domain</w:t>
            </w:r>
          </w:p>
        </w:tc>
        <w:tc>
          <w:tcPr>
            <w:tcW w:type="dxa" w:w="6560"/>
            <w:tcBorders>
              <w:top w:val="single" w:color="E5E7EB" w:sz="1"/>
              <w:left w:val="single" w:color="E5E7EB" w:sz="1"/>
              <w:bottom w:val="single" w:color="E5E7EB" w:sz="1"/>
              <w:right w:val="single" w:color="E5E7EB" w:sz="1"/>
            </w:tcBorders>
            <w:shd w:fill="1E3A5F"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Implemented Control</w:t>
            </w:r>
          </w:p>
        </w:tc>
      </w:tr>
      <w:tr>
        <w:tc>
          <w:tcPr>
            <w:tcW w:type="dxa" w:w="2800"/>
            <w:tcBorders>
              <w:top w:val="single" w:color="E5E7EB" w:sz="1"/>
              <w:left w:val="single" w:color="E5E7EB" w:sz="1"/>
              <w:bottom w:val="single" w:color="E5E7EB" w:sz="1"/>
              <w:right w:val="single" w:color="E5E7EB" w:sz="1"/>
            </w:tcBorders>
            <w:shd w:fill="F8FAFC" w:val="clear"/>
            <w:tcMar>
              <w:top w:type="dxa" w:w="100"/>
              <w:left w:type="dxa" w:w="140"/>
              <w:bottom w:type="dxa" w:w="100"/>
              <w:right w:type="dxa" w:w="140"/>
            </w:tcMar>
          </w:tcPr>
          <w:p>
            <w:r>
              <w:rPr>
                <w:rFonts w:ascii="Arial" w:cs="Arial" w:eastAsia="Arial" w:hAnsi="Arial"/>
                <w:b/>
                <w:bCs/>
                <w:color w:val="111827"/>
                <w:sz w:val="20"/>
                <w:szCs w:val="20"/>
              </w:rPr>
              <w:t xml:space="preserve">Network Security</w:t>
            </w:r>
          </w:p>
        </w:tc>
        <w:tc>
          <w:tcPr>
            <w:tcW w:type="dxa" w:w="6560"/>
            <w:tcBorders>
              <w:top w:val="single" w:color="E5E7EB" w:sz="1"/>
              <w:left w:val="single" w:color="E5E7EB" w:sz="1"/>
              <w:bottom w:val="single" w:color="E5E7EB" w:sz="1"/>
              <w:right w:val="single" w:color="E5E7EB" w:sz="1"/>
            </w:tcBorders>
            <w:shd w:fill="F8FAFC"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TLS 1.3 minimum on all traffic. Certificate pinning for agent-to-control-plane communication. WAF in front of all public endpoints. DDoS protection via Cloudflare. Network segmentation: control plane completely isolated from customer data planes.</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111827"/>
                <w:sz w:val="20"/>
                <w:szCs w:val="20"/>
              </w:rPr>
              <w:t xml:space="preserve">Secrets Management</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HashiCorp Vault for all secrets. No secrets in environment variables, configuration files, or code. Automatic secret rotation on schedule. Immutable audit log of every secret access.</w:t>
            </w:r>
          </w:p>
        </w:tc>
      </w:tr>
      <w:tr>
        <w:tc>
          <w:tcPr>
            <w:tcW w:type="dxa" w:w="2800"/>
            <w:tcBorders>
              <w:top w:val="single" w:color="E5E7EB" w:sz="1"/>
              <w:left w:val="single" w:color="E5E7EB" w:sz="1"/>
              <w:bottom w:val="single" w:color="E5E7EB" w:sz="1"/>
              <w:right w:val="single" w:color="E5E7EB" w:sz="1"/>
            </w:tcBorders>
            <w:shd w:fill="F8FAFC" w:val="clear"/>
            <w:tcMar>
              <w:top w:type="dxa" w:w="100"/>
              <w:left w:type="dxa" w:w="140"/>
              <w:bottom w:type="dxa" w:w="100"/>
              <w:right w:type="dxa" w:w="140"/>
            </w:tcMar>
          </w:tcPr>
          <w:p>
            <w:r>
              <w:rPr>
                <w:rFonts w:ascii="Arial" w:cs="Arial" w:eastAsia="Arial" w:hAnsi="Arial"/>
                <w:b/>
                <w:bCs/>
                <w:color w:val="111827"/>
                <w:sz w:val="20"/>
                <w:szCs w:val="20"/>
              </w:rPr>
              <w:t xml:space="preserve">Data Security</w:t>
            </w:r>
          </w:p>
        </w:tc>
        <w:tc>
          <w:tcPr>
            <w:tcW w:type="dxa" w:w="6560"/>
            <w:tcBorders>
              <w:top w:val="single" w:color="E5E7EB" w:sz="1"/>
              <w:left w:val="single" w:color="E5E7EB" w:sz="1"/>
              <w:bottom w:val="single" w:color="E5E7EB" w:sz="1"/>
              <w:right w:val="single" w:color="E5E7EB" w:sz="1"/>
            </w:tcBorders>
            <w:shd w:fill="F8FAFC"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AES-256 encryption at rest. TLS 1.3 in transit. Bring Your Own Key (BYOK) for enterprise customers. Customer encryption keys never held by AEGIS. No plaintext sensitive data anywhere in logs.</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111827"/>
                <w:sz w:val="20"/>
                <w:szCs w:val="20"/>
              </w:rPr>
              <w:t xml:space="preserve">Authentication</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SAML 2.0 for enterprise SSO. SCIM for automatic user provisioning. MFA enforced on all AEGIS accounts. Hardware key (YubiKey, FIDO2) support for admin accounts. Session timeout and concurrent session limits enforced.</w:t>
            </w:r>
          </w:p>
        </w:tc>
      </w:tr>
      <w:tr>
        <w:tc>
          <w:tcPr>
            <w:tcW w:type="dxa" w:w="2800"/>
            <w:tcBorders>
              <w:top w:val="single" w:color="E5E7EB" w:sz="1"/>
              <w:left w:val="single" w:color="E5E7EB" w:sz="1"/>
              <w:bottom w:val="single" w:color="E5E7EB" w:sz="1"/>
              <w:right w:val="single" w:color="E5E7EB" w:sz="1"/>
            </w:tcBorders>
            <w:shd w:fill="F8FAFC" w:val="clear"/>
            <w:tcMar>
              <w:top w:type="dxa" w:w="100"/>
              <w:left w:type="dxa" w:w="140"/>
              <w:bottom w:type="dxa" w:w="100"/>
              <w:right w:type="dxa" w:w="140"/>
            </w:tcMar>
          </w:tcPr>
          <w:p>
            <w:r>
              <w:rPr>
                <w:rFonts w:ascii="Arial" w:cs="Arial" w:eastAsia="Arial" w:hAnsi="Arial"/>
                <w:b/>
                <w:bCs/>
                <w:color w:val="111827"/>
                <w:sz w:val="20"/>
                <w:szCs w:val="20"/>
              </w:rPr>
              <w:t xml:space="preserve">Access Control</w:t>
            </w:r>
          </w:p>
        </w:tc>
        <w:tc>
          <w:tcPr>
            <w:tcW w:type="dxa" w:w="6560"/>
            <w:tcBorders>
              <w:top w:val="single" w:color="E5E7EB" w:sz="1"/>
              <w:left w:val="single" w:color="E5E7EB" w:sz="1"/>
              <w:bottom w:val="single" w:color="E5E7EB" w:sz="1"/>
              <w:right w:val="single" w:color="E5E7EB" w:sz="1"/>
            </w:tcBorders>
            <w:shd w:fill="F8FAFC"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Principle of least privilege on all internal systems. Row-Level Security in PostgreSQL — cross-tenant data access is impossible at the database level even if application code has a bug. Every API endpoint has explicit authorisation check.</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111827"/>
                <w:sz w:val="20"/>
                <w:szCs w:val="20"/>
              </w:rPr>
              <w:t xml:space="preserve">Audit &amp; Compliance</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Immutable append-only audit log, cryptographically signed. Every API call logged with user, timestamp, action, and result. Log retention: 1 year minimum, 7 years for enterprise. SIEM-ready CEF/JSON log format.</w:t>
            </w:r>
          </w:p>
        </w:tc>
      </w:tr>
      <w:tr>
        <w:tc>
          <w:tcPr>
            <w:tcW w:type="dxa" w:w="2800"/>
            <w:tcBorders>
              <w:top w:val="single" w:color="E5E7EB" w:sz="1"/>
              <w:left w:val="single" w:color="E5E7EB" w:sz="1"/>
              <w:bottom w:val="single" w:color="E5E7EB" w:sz="1"/>
              <w:right w:val="single" w:color="E5E7EB" w:sz="1"/>
            </w:tcBorders>
            <w:shd w:fill="F8FAFC" w:val="clear"/>
            <w:tcMar>
              <w:top w:type="dxa" w:w="100"/>
              <w:left w:type="dxa" w:w="140"/>
              <w:bottom w:type="dxa" w:w="100"/>
              <w:right w:type="dxa" w:w="140"/>
            </w:tcMar>
          </w:tcPr>
          <w:p>
            <w:r>
              <w:rPr>
                <w:rFonts w:ascii="Arial" w:cs="Arial" w:eastAsia="Arial" w:hAnsi="Arial"/>
                <w:b/>
                <w:bCs/>
                <w:color w:val="111827"/>
                <w:sz w:val="20"/>
                <w:szCs w:val="20"/>
              </w:rPr>
              <w:t xml:space="preserve">Operational Security</w:t>
            </w:r>
          </w:p>
        </w:tc>
        <w:tc>
          <w:tcPr>
            <w:tcW w:type="dxa" w:w="6560"/>
            <w:tcBorders>
              <w:top w:val="single" w:color="E5E7EB" w:sz="1"/>
              <w:left w:val="single" w:color="E5E7EB" w:sz="1"/>
              <w:bottom w:val="single" w:color="E5E7EB" w:sz="1"/>
              <w:right w:val="single" w:color="E5E7EB" w:sz="1"/>
            </w:tcBorders>
            <w:shd w:fill="F8FAFC"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Zero-trust internal networking via Istio service mesh. Runtime security monitoring via Falco. Container image scanning via Trivy in every CI/CD pipeline. Dependency vulnerability scanning via Snyk. Infrastructure as Code security scanning via Checkov.</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111827"/>
                <w:sz w:val="20"/>
                <w:szCs w:val="20"/>
              </w:rPr>
              <w:t xml:space="preserve">Third-Party Validation</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Annual penetration test by accredited third party. Pentest report available under NDA to enterprise prospects. Bug bounty programme on HackerOne. SOC2 Type II certification for AEGIS itself — we eat our own cooking.</w:t>
            </w:r>
          </w:p>
        </w:tc>
      </w:tr>
    </w:tbl>
    <w:p>
      <w:pPr>
        <w:spacing w:before="200" w:after="0"/>
      </w:pPr>
      <w:r>
        <w:t xml:space="preserve"/>
      </w:r>
    </w:p>
    <w:p>
      <w:r>
        <w:br w:type="page"/>
      </w:r>
    </w:p>
    <w:p>
      <w:pPr>
        <w:pStyle w:val="Heading1"/>
        <w:pBdr>
          <w:left w:val="single" w:color="1A56DB" w:sz="20" w:space="8"/>
        </w:pBdr>
        <w:spacing w:before="400" w:after="160"/>
      </w:pPr>
      <w:r>
        <w:rPr>
          <w:rFonts w:ascii="Arial" w:cs="Arial" w:eastAsia="Arial" w:hAnsi="Arial"/>
          <w:b/>
          <w:bCs/>
          <w:color w:val="111827"/>
          <w:sz w:val="38"/>
          <w:szCs w:val="38"/>
        </w:rPr>
        <w:t xml:space="preserve">11. Y Combinator Interview — Questions &amp; Model Answers</w:t>
      </w:r>
    </w:p>
    <w:p>
      <w:pPr>
        <w:spacing w:before="80" w:after="80"/>
        <w:jc w:val="left"/>
      </w:pPr>
      <w:r>
        <w:rPr>
          <w:rFonts w:ascii="Arial" w:cs="Arial" w:eastAsia="Arial" w:hAnsi="Arial"/>
          <w:b w:val="false"/>
          <w:bCs w:val="false"/>
          <w:i w:val="false"/>
          <w:iCs w:val="false"/>
          <w:color w:val="111827"/>
          <w:sz w:val="22"/>
          <w:szCs w:val="22"/>
        </w:rPr>
        <w:t xml:space="preserve">These are the 12 hardest questions a YC partner will ask. Each answer is the answer that passes, not the answer that feels comfortable.</w:t>
      </w:r>
    </w:p>
    <w:p>
      <w:pPr>
        <w:spacing w:before="80" w:after="0"/>
      </w:pPr>
      <w:r>
        <w:t xml:space="preserve"/>
      </w:r>
    </w:p>
    <w:p>
      <w:pPr>
        <w:pStyle w:val="Heading2"/>
        <w:pBdr>
          <w:bottom w:val="single" w:color="E5E7EB" w:sz="4"/>
        </w:pBdr>
        <w:spacing w:before="280" w:after="120"/>
      </w:pPr>
      <w:r>
        <w:rPr>
          <w:rFonts w:ascii="Arial" w:cs="Arial" w:eastAsia="Arial" w:hAnsi="Arial"/>
          <w:b/>
          <w:bCs/>
          <w:color w:val="111827"/>
          <w:sz w:val="28"/>
          <w:szCs w:val="28"/>
        </w:rPr>
        <w:t xml:space="preserve">Round 1 — Traction &amp; Validation</w:t>
      </w:r>
    </w:p>
    <w:p>
      <w:pPr>
        <w:spacing w:before="60" w:after="0"/>
      </w:pPr>
      <w:r>
        <w:t xml:space="preserve"/>
      </w:r>
    </w:p>
    <w:p>
      <w:pPr>
        <w:spacing w:before="200" w:after="80"/>
      </w:pPr>
      <w:r>
        <w:rPr>
          <w:rFonts w:ascii="Arial" w:cs="Arial" w:eastAsia="Arial" w:hAnsi="Arial"/>
          <w:b/>
          <w:bCs/>
          <w:color w:val="1A56DB"/>
          <w:sz w:val="24"/>
          <w:szCs w:val="24"/>
        </w:rPr>
        <w:t xml:space="preserve">Q1: Vanta raised $310M and is in India. Why do your customers pick you over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60"/>
              <w:left w:type="dxa" w:w="240"/>
              <w:bottom w:type="dxa" w:w="160"/>
              <w:right w:type="dxa" w:w="240"/>
            </w:tcMar>
          </w:tcPr>
          <w:p>
            <w:pPr>
              <w:spacing w:before="40" w:after="40"/>
            </w:pPr>
            <w:r>
              <w:rPr>
                <w:rFonts w:ascii="Arial" w:cs="Arial" w:eastAsia="Arial" w:hAnsi="Arial"/>
                <w:b/>
                <w:bCs/>
                <w:color w:val="065F46"/>
                <w:sz w:val="20"/>
                <w:szCs w:val="20"/>
              </w:rPr>
              <w:t xml:space="preserve">Model Answer</w:t>
            </w:r>
          </w:p>
          <w:p>
            <w:pPr>
              <w:spacing w:before="40" w:after="40"/>
            </w:pPr>
            <w:r>
              <w:rPr>
                <w:rFonts w:ascii="Arial" w:cs="Arial" w:eastAsia="Arial" w:hAnsi="Arial"/>
                <w:b w:val="false"/>
                <w:bCs w:val="false"/>
                <w:color w:val="065F46"/>
                <w:sz w:val="22"/>
                <w:szCs w:val="22"/>
              </w:rPr>
              <w:t xml:space="preserve">"Vanta is excellent for US companies. Our first customers chose us for three reasons they gave us in their exact words: (1) Vanta quoted Rs. 14 lakh per year with a 3-month onboarding call — we showed them their real AWS failures in 8 minutes for Rs. 96,000 per year. (2) Vanta does not cover DPDP Act 2023, which is now a legal requirement in India. (3) Our CTO at [customer name] said: 'You responded on WhatsApp in 20 minutes. Vanta has a US-hours support queue.' Price is where we start. DPDP coverage and Indian-context support is where we stay."</w:t>
            </w:r>
          </w:p>
        </w:tc>
      </w:tr>
    </w:tbl>
    <w:p>
      <w:pPr>
        <w:spacing w:before="120" w:after="0"/>
      </w:pPr>
      <w:r>
        <w:t xml:space="preserve"/>
      </w:r>
    </w:p>
    <w:p>
      <w:pPr>
        <w:spacing w:before="200" w:after="80"/>
      </w:pPr>
      <w:r>
        <w:rPr>
          <w:rFonts w:ascii="Arial" w:cs="Arial" w:eastAsia="Arial" w:hAnsi="Arial"/>
          <w:b/>
          <w:bCs/>
          <w:color w:val="1A56DB"/>
          <w:sz w:val="24"/>
          <w:szCs w:val="24"/>
        </w:rPr>
        <w:t xml:space="preserve">Q2: Walk me through your worst customer conversation.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60"/>
              <w:left w:type="dxa" w:w="240"/>
              <w:bottom w:type="dxa" w:w="160"/>
              <w:right w:type="dxa" w:w="240"/>
            </w:tcMar>
          </w:tcPr>
          <w:p>
            <w:pPr>
              <w:spacing w:before="40" w:after="40"/>
            </w:pPr>
            <w:r>
              <w:rPr>
                <w:rFonts w:ascii="Arial" w:cs="Arial" w:eastAsia="Arial" w:hAnsi="Arial"/>
                <w:b/>
                <w:bCs/>
                <w:color w:val="065F46"/>
                <w:sz w:val="20"/>
                <w:szCs w:val="20"/>
              </w:rPr>
              <w:t xml:space="preserve">Model Answer</w:t>
            </w:r>
          </w:p>
          <w:p>
            <w:pPr>
              <w:spacing w:before="40" w:after="40"/>
            </w:pPr>
            <w:r>
              <w:rPr>
                <w:rFonts w:ascii="Arial" w:cs="Arial" w:eastAsia="Arial" w:hAnsi="Arial"/>
                <w:b w:val="false"/>
                <w:bCs w:val="false"/>
                <w:color w:val="065F46"/>
                <w:sz w:val="22"/>
                <w:szCs w:val="22"/>
              </w:rPr>
              <w:t xml:space="preserve">"A Series B CTO at a Bangalore company said — and I am quoting — 'I like what you showed me but I am not giving a Year 1 student OAuth access to our production AWS account.' He was right. That conversation taught me I needed a trust-building plan before the product conversation. We now lead every demo with our read-only OAuth scope explanation, our open-source code on GitHub, and a reference call offer from an existing customer. That objection made the product better."</w:t>
            </w:r>
          </w:p>
        </w:tc>
      </w:tr>
    </w:tbl>
    <w:p>
      <w:pPr>
        <w:spacing w:before="160" w:after="0"/>
      </w:pPr>
      <w:r>
        <w:t xml:space="preserve"/>
      </w:r>
    </w:p>
    <w:p>
      <w:pPr>
        <w:pStyle w:val="Heading2"/>
        <w:pBdr>
          <w:bottom w:val="single" w:color="E5E7EB" w:sz="4"/>
        </w:pBdr>
        <w:spacing w:before="280" w:after="120"/>
      </w:pPr>
      <w:r>
        <w:rPr>
          <w:rFonts w:ascii="Arial" w:cs="Arial" w:eastAsia="Arial" w:hAnsi="Arial"/>
          <w:b/>
          <w:bCs/>
          <w:color w:val="111827"/>
          <w:sz w:val="28"/>
          <w:szCs w:val="28"/>
        </w:rPr>
        <w:t xml:space="preserve">Round 2 — The Product</w:t>
      </w:r>
    </w:p>
    <w:p>
      <w:pPr>
        <w:spacing w:before="60" w:after="0"/>
      </w:pPr>
      <w:r>
        <w:t xml:space="preserve"/>
      </w:r>
    </w:p>
    <w:p>
      <w:pPr>
        <w:spacing w:before="200" w:after="80"/>
      </w:pPr>
      <w:r>
        <w:rPr>
          <w:rFonts w:ascii="Arial" w:cs="Arial" w:eastAsia="Arial" w:hAnsi="Arial"/>
          <w:b/>
          <w:bCs/>
          <w:color w:val="1A56DB"/>
          <w:sz w:val="24"/>
          <w:szCs w:val="24"/>
        </w:rPr>
        <w:t xml:space="preserve">Q3: You check 20 SOC2 controls. A real audit checks 60-100. What if they fail on what you don't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60"/>
              <w:left w:type="dxa" w:w="240"/>
              <w:bottom w:type="dxa" w:w="160"/>
              <w:right w:type="dxa" w:w="240"/>
            </w:tcMar>
          </w:tcPr>
          <w:p>
            <w:pPr>
              <w:spacing w:before="40" w:after="40"/>
            </w:pPr>
            <w:r>
              <w:rPr>
                <w:rFonts w:ascii="Arial" w:cs="Arial" w:eastAsia="Arial" w:hAnsi="Arial"/>
                <w:b/>
                <w:bCs/>
                <w:color w:val="065F46"/>
                <w:sz w:val="20"/>
                <w:szCs w:val="20"/>
              </w:rPr>
              <w:t xml:space="preserve">Model Answer</w:t>
            </w:r>
          </w:p>
          <w:p>
            <w:pPr>
              <w:spacing w:before="40" w:after="40"/>
            </w:pPr>
            <w:r>
              <w:rPr>
                <w:rFonts w:ascii="Arial" w:cs="Arial" w:eastAsia="Arial" w:hAnsi="Arial"/>
                <w:b w:val="false"/>
                <w:bCs w:val="false"/>
                <w:color w:val="065F46"/>
                <w:sz w:val="22"/>
                <w:szCs w:val="22"/>
              </w:rPr>
              <w:t xml:space="preserve">"This is the most important product limitation we communicate clearly. Every customer sees a banner: AEGIS monitors 20 API-verifiable controls. A full SOC2 audit covers additional controls including vendor management, HR processes, and physical security that are not checkable via API. We partner with two SOC2 auditors who provide a free scoping call to every AEGIS customer before their audit. We cover the 80% that can be automated. They handle the 20% that requires human review. The combination costs one-third of a consultant-only approach."</w:t>
            </w:r>
          </w:p>
        </w:tc>
      </w:tr>
    </w:tbl>
    <w:p>
      <w:pPr>
        <w:spacing w:before="160" w:after="0"/>
      </w:pPr>
      <w:r>
        <w:t xml:space="preserve"/>
      </w:r>
    </w:p>
    <w:p>
      <w:pPr>
        <w:pStyle w:val="Heading2"/>
        <w:pBdr>
          <w:bottom w:val="single" w:color="E5E7EB" w:sz="4"/>
        </w:pBdr>
        <w:spacing w:before="280" w:after="120"/>
      </w:pPr>
      <w:r>
        <w:rPr>
          <w:rFonts w:ascii="Arial" w:cs="Arial" w:eastAsia="Arial" w:hAnsi="Arial"/>
          <w:b/>
          <w:bCs/>
          <w:color w:val="111827"/>
          <w:sz w:val="28"/>
          <w:szCs w:val="28"/>
        </w:rPr>
        <w:t xml:space="preserve">Round 3 — Business Model</w:t>
      </w:r>
    </w:p>
    <w:p>
      <w:pPr>
        <w:spacing w:before="60" w:after="0"/>
      </w:pPr>
      <w:r>
        <w:t xml:space="preserve"/>
      </w:r>
    </w:p>
    <w:p>
      <w:pPr>
        <w:spacing w:before="200" w:after="80"/>
      </w:pPr>
      <w:r>
        <w:rPr>
          <w:rFonts w:ascii="Arial" w:cs="Arial" w:eastAsia="Arial" w:hAnsi="Arial"/>
          <w:b/>
          <w:bCs/>
          <w:color w:val="1A56DB"/>
          <w:sz w:val="24"/>
          <w:szCs w:val="24"/>
        </w:rPr>
        <w:t xml:space="preserve">Q4: Your customer just got SOC2. Why do they keep paying you every month?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60"/>
              <w:left w:type="dxa" w:w="240"/>
              <w:bottom w:type="dxa" w:w="160"/>
              <w:right w:type="dxa" w:w="240"/>
            </w:tcMar>
          </w:tcPr>
          <w:p>
            <w:pPr>
              <w:spacing w:before="40" w:after="40"/>
            </w:pPr>
            <w:r>
              <w:rPr>
                <w:rFonts w:ascii="Arial" w:cs="Arial" w:eastAsia="Arial" w:hAnsi="Arial"/>
                <w:b/>
                <w:bCs/>
                <w:color w:val="065F46"/>
                <w:sz w:val="20"/>
                <w:szCs w:val="20"/>
              </w:rPr>
              <w:t xml:space="preserve">Model Answer</w:t>
            </w:r>
          </w:p>
          <w:p>
            <w:pPr>
              <w:spacing w:before="40" w:after="40"/>
            </w:pPr>
            <w:r>
              <w:rPr>
                <w:rFonts w:ascii="Arial" w:cs="Arial" w:eastAsia="Arial" w:hAnsi="Arial"/>
                <w:b w:val="false"/>
                <w:bCs w:val="false"/>
                <w:color w:val="065F46"/>
                <w:sz w:val="22"/>
                <w:szCs w:val="22"/>
              </w:rPr>
              <w:t xml:space="preserve">"Three things keep them paying. First, compliance drift — new employees join without MFA, new S3 buckets are created without encryption, CloudTrail gets accidentally disabled. Without AEGIS monitoring every 4 hours, they fall out of compliance and lose their certification. Second, continuous breach monitoring — AEGIS watches HIBP and paste sites for their domain every hour. One prevented credential compromise is worth more than a year of subscription fees. Third, their SOC2 evidence pack — if AEGIS stops monitoring, their audit trail has gaps. Auditors reject evidence packs with unexplained monitoring gaps. Cancellation costs more than the subscription."</w:t>
            </w:r>
          </w:p>
        </w:tc>
      </w:tr>
    </w:tbl>
    <w:p>
      <w:pPr>
        <w:spacing w:before="120" w:after="0"/>
      </w:pPr>
      <w:r>
        <w:t xml:space="preserve"/>
      </w:r>
    </w:p>
    <w:p>
      <w:pPr>
        <w:spacing w:before="200" w:after="80"/>
      </w:pPr>
      <w:r>
        <w:rPr>
          <w:rFonts w:ascii="Arial" w:cs="Arial" w:eastAsia="Arial" w:hAnsi="Arial"/>
          <w:b/>
          <w:bCs/>
          <w:color w:val="1A56DB"/>
          <w:sz w:val="24"/>
          <w:szCs w:val="24"/>
        </w:rPr>
        <w:t xml:space="preserve">Q5: What does it cost to serve one customer and what is your gross margin?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60"/>
              <w:left w:type="dxa" w:w="240"/>
              <w:bottom w:type="dxa" w:w="160"/>
              <w:right w:type="dxa" w:w="240"/>
            </w:tcMar>
          </w:tcPr>
          <w:p>
            <w:pPr>
              <w:spacing w:before="40" w:after="40"/>
            </w:pPr>
            <w:r>
              <w:rPr>
                <w:rFonts w:ascii="Arial" w:cs="Arial" w:eastAsia="Arial" w:hAnsi="Arial"/>
                <w:b/>
                <w:bCs/>
                <w:color w:val="065F46"/>
                <w:sz w:val="20"/>
                <w:szCs w:val="20"/>
              </w:rPr>
              <w:t xml:space="preserve">Model Answer</w:t>
            </w:r>
          </w:p>
          <w:p>
            <w:pPr>
              <w:spacing w:before="40" w:after="40"/>
            </w:pPr>
            <w:r>
              <w:rPr>
                <w:rFonts w:ascii="Arial" w:cs="Arial" w:eastAsia="Arial" w:hAnsi="Arial"/>
                <w:b w:val="false"/>
                <w:bCs w:val="false"/>
                <w:color w:val="065F46"/>
                <w:sz w:val="22"/>
                <w:szCs w:val="22"/>
              </w:rPr>
              <w:t xml:space="preserve">"Phase 1 on our shared VPC: AWS costs Rs. 800 to 1,200 per month per customer. API costs for HIBP and VirusTotal: Rs. 200 per month. Support time: 30 minutes per month average. Total COGS: approximately Rs. 1,200 to 1,500 per customer. Starter plan revenue: Rs. 8,000. Gross margin: 81 to 85%. As we add the local LLM layer in Phase 2, COGS rises to approximately Rs. 3,500 but average revenue per customer rises to Rs. 15,000 on the Growth plan. Gross margin holds at 77%."</w:t>
            </w:r>
          </w:p>
        </w:tc>
      </w:tr>
    </w:tbl>
    <w:p>
      <w:pPr>
        <w:spacing w:before="160" w:after="0"/>
      </w:pPr>
      <w:r>
        <w:t xml:space="preserve"/>
      </w:r>
    </w:p>
    <w:p>
      <w:pPr>
        <w:pStyle w:val="Heading2"/>
        <w:pBdr>
          <w:bottom w:val="single" w:color="E5E7EB" w:sz="4"/>
        </w:pBdr>
        <w:spacing w:before="280" w:after="120"/>
      </w:pPr>
      <w:r>
        <w:rPr>
          <w:rFonts w:ascii="Arial" w:cs="Arial" w:eastAsia="Arial" w:hAnsi="Arial"/>
          <w:b/>
          <w:bCs/>
          <w:color w:val="111827"/>
          <w:sz w:val="28"/>
          <w:szCs w:val="28"/>
        </w:rPr>
        <w:t xml:space="preserve">Round 4 — The Hardest Questions</w:t>
      </w:r>
    </w:p>
    <w:p>
      <w:pPr>
        <w:spacing w:before="60" w:after="0"/>
      </w:pPr>
      <w:r>
        <w:t xml:space="preserve"/>
      </w:r>
    </w:p>
    <w:p>
      <w:pPr>
        <w:spacing w:before="200" w:after="80"/>
      </w:pPr>
      <w:r>
        <w:rPr>
          <w:rFonts w:ascii="Arial" w:cs="Arial" w:eastAsia="Arial" w:hAnsi="Arial"/>
          <w:b/>
          <w:bCs/>
          <w:color w:val="1A56DB"/>
          <w:sz w:val="24"/>
          <w:szCs w:val="24"/>
        </w:rPr>
        <w:t xml:space="preserve">Q6: You are a Year 1 student. Why should a Series B CTO trust you with their production AWS?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60"/>
              <w:left w:type="dxa" w:w="240"/>
              <w:bottom w:type="dxa" w:w="160"/>
              <w:right w:type="dxa" w:w="240"/>
            </w:tcMar>
          </w:tcPr>
          <w:p>
            <w:pPr>
              <w:spacing w:before="40" w:after="40"/>
            </w:pPr>
            <w:r>
              <w:rPr>
                <w:rFonts w:ascii="Arial" w:cs="Arial" w:eastAsia="Arial" w:hAnsi="Arial"/>
                <w:b/>
                <w:bCs/>
                <w:color w:val="065F46"/>
                <w:sz w:val="20"/>
                <w:szCs w:val="20"/>
              </w:rPr>
              <w:t xml:space="preserve">Model Answer</w:t>
            </w:r>
          </w:p>
          <w:p>
            <w:pPr>
              <w:spacing w:before="40" w:after="40"/>
            </w:pPr>
            <w:r>
              <w:rPr>
                <w:rFonts w:ascii="Arial" w:cs="Arial" w:eastAsia="Arial" w:hAnsi="Arial"/>
                <w:b w:val="false"/>
                <w:bCs w:val="false"/>
                <w:color w:val="065F46"/>
                <w:sz w:val="22"/>
                <w:szCs w:val="22"/>
              </w:rPr>
              <w:t xml:space="preserve">"Fair question. Here is what we have done to earn that trust. First, our GitHub repository has every line of the OAuth integration publicly auditable — they can see exactly what permissions we request and why. Second, we request read-only OAuth scopes only — we cannot write to, modify, or delete anything in their environment. This is enforced at the OAuth scope level, not just policy. Third, we have [X] paying customers including [name a known company if possible] who have done exactly this. Fourth, I am pursuing OSCP certification [or: I have completed OSCP]. Fifth, our terms include a Data Processing Agreement and our infrastructure has been penetration tested. The question is not whether I have 15 years of experience. The question is whether the product works and whether their data is safe. The answer to both is demonstrably yes."</w:t>
            </w:r>
          </w:p>
        </w:tc>
      </w:tr>
    </w:tbl>
    <w:p>
      <w:pPr>
        <w:spacing w:before="120" w:after="0"/>
      </w:pPr>
      <w:r>
        <w:t xml:space="preserve"/>
      </w:r>
    </w:p>
    <w:p>
      <w:pPr>
        <w:spacing w:before="200" w:after="80"/>
      </w:pPr>
      <w:r>
        <w:rPr>
          <w:rFonts w:ascii="Arial" w:cs="Arial" w:eastAsia="Arial" w:hAnsi="Arial"/>
          <w:b/>
          <w:bCs/>
          <w:color w:val="1A56DB"/>
          <w:sz w:val="24"/>
          <w:szCs w:val="24"/>
        </w:rPr>
        <w:t xml:space="preserve">Q7: If I give you $500,000 today, walk me through exactly how you spend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60"/>
              <w:left w:type="dxa" w:w="240"/>
              <w:bottom w:type="dxa" w:w="160"/>
              <w:right w:type="dxa" w:w="240"/>
            </w:tcMar>
          </w:tcPr>
          <w:p>
            <w:pPr>
              <w:spacing w:before="40" w:after="40"/>
            </w:pPr>
            <w:r>
              <w:rPr>
                <w:rFonts w:ascii="Arial" w:cs="Arial" w:eastAsia="Arial" w:hAnsi="Arial"/>
                <w:b/>
                <w:bCs/>
                <w:color w:val="065F46"/>
                <w:sz w:val="20"/>
                <w:szCs w:val="20"/>
              </w:rPr>
              <w:t xml:space="preserve">Model Answer</w:t>
            </w:r>
          </w:p>
          <w:p>
            <w:pPr>
              <w:spacing w:before="40" w:after="40"/>
            </w:pPr>
            <w:r>
              <w:rPr>
                <w:rFonts w:ascii="Arial" w:cs="Arial" w:eastAsia="Arial" w:hAnsi="Arial"/>
                <w:b w:val="false"/>
                <w:bCs w:val="false"/>
                <w:color w:val="065F46"/>
                <w:sz w:val="22"/>
                <w:szCs w:val="22"/>
              </w:rPr>
              <w:t xml:space="preserve">"Month 1-2: Zero new hires. Continue customer discovery and close design partners. First Rs. 50,000 goes to registering the legal entity and getting legal infrastructure done properly. Month 3: Hire first backend engineer at Rs. 12 lakh per year — only after first paying non-design-partner customer validates the product is worth building. Rs. 2 lakh for initial infrastructure upgrade. Month 4-12: Rs. 80,000/month burn covers engineer salary, infrastructure, and one sales/marketing channel test — most likely founder-led LinkedIn content targeting Indian SaaS CTOs. Remaining capital held for next engineer hire in Month 10 when we hit Rs. 3,00,000 MRR. Exit this 18-month period with Rs. 5,00,000 MRR, 20+ customers, and clear signal for Series Pre-Seed at $1.5 to 3M."</w:t>
            </w:r>
          </w:p>
        </w:tc>
      </w:tr>
    </w:tbl>
    <w:p>
      <w:pPr>
        <w:spacing w:before="200" w:after="0"/>
      </w:pPr>
      <w:r>
        <w:t xml:space="preserve"/>
      </w:r>
    </w:p>
    <w:p>
      <w:r>
        <w:br w:type="page"/>
      </w:r>
    </w:p>
    <w:p>
      <w:pPr>
        <w:pStyle w:val="Heading1"/>
        <w:pBdr>
          <w:left w:val="single" w:color="1A56DB" w:sz="20" w:space="8"/>
        </w:pBdr>
        <w:spacing w:before="400" w:after="160"/>
      </w:pPr>
      <w:r>
        <w:rPr>
          <w:rFonts w:ascii="Arial" w:cs="Arial" w:eastAsia="Arial" w:hAnsi="Arial"/>
          <w:b/>
          <w:bCs/>
          <w:color w:val="111827"/>
          <w:sz w:val="38"/>
          <w:szCs w:val="38"/>
        </w:rPr>
        <w:t xml:space="preserve">12. Acquisition Path &amp; Exit Strategy</w:t>
      </w:r>
    </w:p>
    <w:p>
      <w:pPr>
        <w:spacing w:before="80" w:after="80"/>
        <w:jc w:val="left"/>
      </w:pPr>
      <w:r>
        <w:rPr>
          <w:rFonts w:ascii="Arial" w:cs="Arial" w:eastAsia="Arial" w:hAnsi="Arial"/>
          <w:b w:val="false"/>
          <w:bCs w:val="false"/>
          <w:i w:val="false"/>
          <w:iCs w:val="false"/>
          <w:color w:val="111827"/>
          <w:sz w:val="22"/>
          <w:szCs w:val="22"/>
        </w:rPr>
        <w:t xml:space="preserve">AEGIS is not being built to flip. It is being built to become the dominant security operating system for the Indian enterprise market. Acquisition happens when that dominance is proven.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5E7EB" w:sz="1"/>
              <w:left w:val="single" w:color="E5E7EB" w:sz="1"/>
              <w:bottom w:val="single" w:color="E5E7EB" w:sz="1"/>
              <w:right w:val="single" w:color="E5E7EB" w:sz="1"/>
            </w:tcBorders>
            <w:shd w:fill="1E3A5F"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Milestone</w:t>
            </w:r>
          </w:p>
        </w:tc>
        <w:tc>
          <w:tcPr>
            <w:tcW w:type="dxa" w:w="7360"/>
            <w:tcBorders>
              <w:top w:val="single" w:color="E5E7EB" w:sz="1"/>
              <w:left w:val="single" w:color="E5E7EB" w:sz="1"/>
              <w:bottom w:val="single" w:color="E5E7EB" w:sz="1"/>
              <w:right w:val="single" w:color="E5E7EB" w:sz="1"/>
            </w:tcBorders>
            <w:shd w:fill="1E3A5F"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Detail</w:t>
            </w:r>
          </w:p>
        </w:tc>
      </w:tr>
      <w:tr>
        <w:tc>
          <w:tcPr>
            <w:tcW w:type="dxa" w:w="2000"/>
            <w:tcBorders>
              <w:top w:val="single" w:color="E5E7EB" w:sz="1"/>
              <w:left w:val="single" w:color="E5E7EB" w:sz="1"/>
              <w:bottom w:val="single" w:color="E5E7EB" w:sz="1"/>
              <w:right w:val="single" w:color="E5E7EB" w:sz="1"/>
            </w:tcBorders>
            <w:shd w:fill="F8FAFC"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Year 1-2</w:t>
            </w:r>
          </w:p>
        </w:tc>
        <w:tc>
          <w:tcPr>
            <w:tcW w:type="dxa" w:w="7360"/>
            <w:tcBorders>
              <w:top w:val="single" w:color="E5E7EB" w:sz="1"/>
              <w:left w:val="single" w:color="E5E7EB" w:sz="1"/>
              <w:bottom w:val="single" w:color="E5E7EB" w:sz="1"/>
              <w:right w:val="single" w:color="E5E7EB" w:sz="1"/>
            </w:tcBorders>
            <w:shd w:fill="F8FAFC"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Prove product-market fit with Indian SaaS. 50+ customers. Rs. 5L+ MRR. Zero churn on design partners. SOC2 Type II certification for AEGIS itself.</w:t>
            </w:r>
          </w:p>
        </w:tc>
      </w:tr>
      <w:tr>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Year 3</w:t>
            </w:r>
          </w:p>
        </w:tc>
        <w:tc>
          <w:tcPr>
            <w:tcW w:type="dxa" w:w="7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Land first enterprise customer with 1,000+ employees. $1M+ ARR. Collective intelligence network active across 100+ customers. This is when CrowdStrike, Palo Alto, and Wiz notice AEGIS.</w:t>
            </w:r>
          </w:p>
        </w:tc>
      </w:tr>
      <w:tr>
        <w:tc>
          <w:tcPr>
            <w:tcW w:type="dxa" w:w="2000"/>
            <w:tcBorders>
              <w:top w:val="single" w:color="E5E7EB" w:sz="1"/>
              <w:left w:val="single" w:color="E5E7EB" w:sz="1"/>
              <w:bottom w:val="single" w:color="E5E7EB" w:sz="1"/>
              <w:right w:val="single" w:color="E5E7EB" w:sz="1"/>
            </w:tcBorders>
            <w:shd w:fill="F8FAFC"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Year 4</w:t>
            </w:r>
          </w:p>
        </w:tc>
        <w:tc>
          <w:tcPr>
            <w:tcW w:type="dxa" w:w="7360"/>
            <w:tcBorders>
              <w:top w:val="single" w:color="E5E7EB" w:sz="1"/>
              <w:left w:val="single" w:color="E5E7EB" w:sz="1"/>
              <w:bottom w:val="single" w:color="E5E7EB" w:sz="1"/>
              <w:right w:val="single" w:color="E5E7EB" w:sz="1"/>
            </w:tcBorders>
            <w:shd w:fill="F8FAFC"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$3M+ ARR. International expansion (Singapore, Middle East). YC W27 batch. Series A from Tier 1 VC. This is when M&amp;A conversations begin.</w:t>
            </w:r>
          </w:p>
        </w:tc>
      </w:tr>
      <w:tr>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Acquisition pitch</w:t>
            </w:r>
          </w:p>
        </w:tc>
        <w:tc>
          <w:tcPr>
            <w:tcW w:type="dxa" w:w="7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AEGIS is the only enterprise security platform built India-first with a fully proprietary self-hosted AI brain. We have $3M+ ARR across 100+ enterprise customers with zero churn. Our collective intelligence network has processed 100,000+ real incidents. Our on-premise deployment is the only credible answer to data sovereignty requirements that US-first platforms cannot serve. Acquiring AEGIS gives you the India and APAC market, the on-premise AI story, and ARR growing 3x year over year.</w:t>
            </w:r>
          </w:p>
        </w:tc>
      </w:tr>
      <w:tr>
        <w:tc>
          <w:tcPr>
            <w:tcW w:type="dxa" w:w="2000"/>
            <w:tcBorders>
              <w:top w:val="single" w:color="E5E7EB" w:sz="1"/>
              <w:left w:val="single" w:color="E5E7EB" w:sz="1"/>
              <w:bottom w:val="single" w:color="E5E7EB" w:sz="1"/>
              <w:right w:val="single" w:color="E5E7EB" w:sz="1"/>
            </w:tcBorders>
            <w:shd w:fill="F8FAFC"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Potential acquirers</w:t>
            </w:r>
          </w:p>
        </w:tc>
        <w:tc>
          <w:tcPr>
            <w:tcW w:type="dxa" w:w="7360"/>
            <w:tcBorders>
              <w:top w:val="single" w:color="E5E7EB" w:sz="1"/>
              <w:left w:val="single" w:color="E5E7EB" w:sz="1"/>
              <w:bottom w:val="single" w:color="E5E7EB" w:sz="1"/>
              <w:right w:val="single" w:color="E5E7EB" w:sz="1"/>
            </w:tcBorders>
            <w:shd w:fill="F8FAFC"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CrowdStrike (acquired Bionic.ai $350M), Palo Alto Networks (acquired Demisto $560M), Wiz (would acquire before IPO), Rubrik, SentinelOne. Any of these would value AEGIS at 10-20x ARR at $3M ARR — a $30-60M outcome from a Rs. 5,000/month starting product.</w:t>
            </w:r>
          </w:p>
        </w:tc>
      </w:tr>
    </w:tbl>
    <w:p>
      <w:pPr>
        <w:spacing w:before="200" w:after="0"/>
      </w:pPr>
      <w:r>
        <w:t xml:space="preserve"/>
      </w:r>
    </w:p>
    <w:p>
      <w:r>
        <w:br w:type="page"/>
      </w:r>
    </w:p>
    <w:p>
      <w:pPr>
        <w:pStyle w:val="Heading1"/>
        <w:pBdr>
          <w:left w:val="single" w:color="1A56DB" w:sz="20" w:space="8"/>
        </w:pBdr>
        <w:spacing w:before="400" w:after="160"/>
      </w:pPr>
      <w:r>
        <w:rPr>
          <w:rFonts w:ascii="Arial" w:cs="Arial" w:eastAsia="Arial" w:hAnsi="Arial"/>
          <w:b/>
          <w:bCs/>
          <w:color w:val="111827"/>
          <w:sz w:val="38"/>
          <w:szCs w:val="38"/>
        </w:rPr>
        <w:t xml:space="preserve">13. Founder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1E3A5F"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Field</w:t>
            </w:r>
          </w:p>
        </w:tc>
        <w:tc>
          <w:tcPr>
            <w:tcW w:type="dxa" w:w="6560"/>
            <w:tcBorders>
              <w:top w:val="single" w:color="E5E7EB" w:sz="1"/>
              <w:left w:val="single" w:color="E5E7EB" w:sz="1"/>
              <w:bottom w:val="single" w:color="E5E7EB" w:sz="1"/>
              <w:right w:val="single" w:color="E5E7EB" w:sz="1"/>
            </w:tcBorders>
            <w:shd w:fill="1E3A5F"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Detail</w:t>
            </w:r>
          </w:p>
        </w:tc>
      </w:tr>
      <w:tr>
        <w:tc>
          <w:tcPr>
            <w:tcW w:type="dxa" w:w="2800"/>
            <w:tcBorders>
              <w:top w:val="single" w:color="E5E7EB" w:sz="1"/>
              <w:left w:val="single" w:color="E5E7EB" w:sz="1"/>
              <w:bottom w:val="single" w:color="E5E7EB" w:sz="1"/>
              <w:right w:val="single" w:color="E5E7EB" w:sz="1"/>
            </w:tcBorders>
            <w:shd w:fill="F8FAFC"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Name</w:t>
            </w:r>
          </w:p>
        </w:tc>
        <w:tc>
          <w:tcPr>
            <w:tcW w:type="dxa" w:w="6560"/>
            <w:tcBorders>
              <w:top w:val="single" w:color="E5E7EB" w:sz="1"/>
              <w:left w:val="single" w:color="E5E7EB" w:sz="1"/>
              <w:bottom w:val="single" w:color="E5E7EB" w:sz="1"/>
              <w:right w:val="single" w:color="E5E7EB" w:sz="1"/>
            </w:tcBorders>
            <w:shd w:fill="F8FAFC"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Harshith Gangaraju</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Education</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BTech Computer Science and Engineering, Year 1 — Lendi Institute of Engineering &amp; Technology, Andhra Pradesh, India</w:t>
            </w:r>
          </w:p>
        </w:tc>
      </w:tr>
      <w:tr>
        <w:tc>
          <w:tcPr>
            <w:tcW w:type="dxa" w:w="2800"/>
            <w:tcBorders>
              <w:top w:val="single" w:color="E5E7EB" w:sz="1"/>
              <w:left w:val="single" w:color="E5E7EB" w:sz="1"/>
              <w:bottom w:val="single" w:color="E5E7EB" w:sz="1"/>
              <w:right w:val="single" w:color="E5E7EB" w:sz="1"/>
            </w:tcBorders>
            <w:shd w:fill="F8FAFC"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GitHub</w:t>
            </w:r>
          </w:p>
        </w:tc>
        <w:tc>
          <w:tcPr>
            <w:tcW w:type="dxa" w:w="6560"/>
            <w:tcBorders>
              <w:top w:val="single" w:color="E5E7EB" w:sz="1"/>
              <w:left w:val="single" w:color="E5E7EB" w:sz="1"/>
              <w:bottom w:val="single" w:color="E5E7EB" w:sz="1"/>
              <w:right w:val="single" w:color="E5E7EB" w:sz="1"/>
            </w:tcBorders>
            <w:shd w:fill="F8FAFC"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github.com/Hotaro6754</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LinkedIn</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linkedin.com/in/harshithgangaraju</w:t>
            </w:r>
          </w:p>
        </w:tc>
      </w:tr>
      <w:tr>
        <w:tc>
          <w:tcPr>
            <w:tcW w:type="dxa" w:w="2800"/>
            <w:tcBorders>
              <w:top w:val="single" w:color="E5E7EB" w:sz="1"/>
              <w:left w:val="single" w:color="E5E7EB" w:sz="1"/>
              <w:bottom w:val="single" w:color="E5E7EB" w:sz="1"/>
              <w:right w:val="single" w:color="E5E7EB" w:sz="1"/>
            </w:tcBorders>
            <w:shd w:fill="F8FAFC"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Technical work</w:t>
            </w:r>
          </w:p>
        </w:tc>
        <w:tc>
          <w:tcPr>
            <w:tcW w:type="dxa" w:w="6560"/>
            <w:tcBorders>
              <w:top w:val="single" w:color="E5E7EB" w:sz="1"/>
              <w:left w:val="single" w:color="E5E7EB" w:sz="1"/>
              <w:bottom w:val="single" w:color="E5E7EB" w:sz="1"/>
              <w:right w:val="single" w:color="E5E7EB" w:sz="1"/>
            </w:tcBorders>
            <w:shd w:fill="F8FAFC"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Built AEGIS ELITE v2.0: 111-node multi-agent AI security architecture with sub-8-second incident response as a Year 1 student</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Hackathon</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Hacktriad 2.0 (48-hour national hackathon): Built MedExplain AI — multilingual AI healthcare platform with 5 Indian language voice support targeting UN SDG-3, powered by Sarvam AI, Gemini API, and offline ONNX edge AI</w:t>
            </w:r>
          </w:p>
        </w:tc>
      </w:tr>
      <w:tr>
        <w:tc>
          <w:tcPr>
            <w:tcW w:type="dxa" w:w="2800"/>
            <w:tcBorders>
              <w:top w:val="single" w:color="E5E7EB" w:sz="1"/>
              <w:left w:val="single" w:color="E5E7EB" w:sz="1"/>
              <w:bottom w:val="single" w:color="E5E7EB" w:sz="1"/>
              <w:right w:val="single" w:color="E5E7EB" w:sz="1"/>
            </w:tcBorders>
            <w:shd w:fill="F8FAFC"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Expertise</w:t>
            </w:r>
          </w:p>
        </w:tc>
        <w:tc>
          <w:tcPr>
            <w:tcW w:type="dxa" w:w="6560"/>
            <w:tcBorders>
              <w:top w:val="single" w:color="E5E7EB" w:sz="1"/>
              <w:left w:val="single" w:color="E5E7EB" w:sz="1"/>
              <w:bottom w:val="single" w:color="E5E7EB" w:sz="1"/>
              <w:right w:val="single" w:color="E5E7EB" w:sz="1"/>
            </w:tcBorders>
            <w:shd w:fill="F8FAFC"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AI/ML architecture, FastAPI, Python, cloud integrations (AWS/GCP), security tooling, Docker, multi-agent system design</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Certifications in progress</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OSCP (Offensive Security Certified Professional) — target completion Year 2</w:t>
            </w:r>
          </w:p>
        </w:tc>
      </w:tr>
      <w:tr>
        <w:tc>
          <w:tcPr>
            <w:tcW w:type="dxa" w:w="2800"/>
            <w:tcBorders>
              <w:top w:val="single" w:color="E5E7EB" w:sz="1"/>
              <w:left w:val="single" w:color="E5E7EB" w:sz="1"/>
              <w:bottom w:val="single" w:color="E5E7EB" w:sz="1"/>
              <w:right w:val="single" w:color="E5E7EB" w:sz="1"/>
            </w:tcBorders>
            <w:shd w:fill="F8FAFC"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Why this founder</w:t>
            </w:r>
          </w:p>
        </w:tc>
        <w:tc>
          <w:tcPr>
            <w:tcW w:type="dxa" w:w="6560"/>
            <w:tcBorders>
              <w:top w:val="single" w:color="E5E7EB" w:sz="1"/>
              <w:left w:val="single" w:color="E5E7EB" w:sz="1"/>
              <w:bottom w:val="single" w:color="E5E7EB" w:sz="1"/>
              <w:right w:val="single" w:color="E5E7EB" w:sz="1"/>
            </w:tcBorders>
            <w:shd w:fill="F8FAFC" w:val="clear"/>
            <w:tcMar>
              <w:top w:type="dxa" w:w="100"/>
              <w:left w:type="dxa" w:w="140"/>
              <w:bottom w:type="dxa" w:w="100"/>
              <w:right w:type="dxa" w:w="140"/>
            </w:tcMar>
          </w:tcPr>
          <w:p>
            <w:r>
              <w:rPr>
                <w:rFonts w:ascii="Arial" w:cs="Arial" w:eastAsia="Arial" w:hAnsi="Arial"/>
                <w:b w:val="false"/>
                <w:bCs w:val="false"/>
                <w:i w:val="false"/>
                <w:iCs w:val="false"/>
                <w:color w:val="111827"/>
                <w:sz w:val="20"/>
                <w:szCs w:val="20"/>
              </w:rPr>
              <w:t xml:space="preserve">Starting in Year 1 means 4 years of compounding technical depth before graduation. The architecture problem in enterprise security is clearest to someone building from first principles without the legacy assumptions that constrain incumbents. The India-first insight comes from living the constraint, not studying it from a US office.</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60"/>
              <w:left w:type="dxa" w:w="240"/>
              <w:bottom w:type="dxa" w:w="160"/>
              <w:right w:type="dxa" w:w="240"/>
            </w:tcMar>
          </w:tcPr>
          <w:p>
            <w:pPr>
              <w:spacing w:before="40" w:after="40"/>
            </w:pPr>
            <w:r>
              <w:rPr>
                <w:rFonts w:ascii="Arial" w:cs="Arial" w:eastAsia="Arial" w:hAnsi="Arial"/>
                <w:b/>
                <w:bCs/>
                <w:color w:val="6B7280"/>
                <w:sz w:val="20"/>
                <w:szCs w:val="20"/>
              </w:rPr>
              <w:t xml:space="preserve">Note to Future Self</w:t>
            </w:r>
          </w:p>
          <w:p>
            <w:pPr>
              <w:spacing w:before="40" w:after="40"/>
            </w:pPr>
            <w:r>
              <w:rPr>
                <w:rFonts w:ascii="Arial" w:cs="Arial" w:eastAsia="Arial" w:hAnsi="Arial"/>
                <w:b w:val="false"/>
                <w:bCs w:val="false"/>
                <w:color w:val="6B7280"/>
                <w:sz w:val="22"/>
                <w:szCs w:val="22"/>
              </w:rPr>
              <w:t xml:space="preserve">Not in a garage in Silicon Valley. Not with a Stanford degree. In a college dorm in Andhra Pradesh, with a laptop and an internet connection and a belief that the security industry had a fundamental architecture problem that nobody had bothered to actually fix. The details will change. The architecture will evolve. Some of these ideas will be wrong. But the core insight — that security can be autonomous, self-learning, and genuinely intelligent — that is right. Build toward that.</w:t>
            </w:r>
          </w:p>
        </w:tc>
      </w:tr>
    </w:tbl>
    <w:p>
      <w:pPr>
        <w:spacing w:before="160" w:after="0"/>
      </w:pPr>
      <w:r>
        <w:t xml:space="preserve"/>
      </w:r>
    </w:p>
    <w:p>
      <w:pPr>
        <w:pBdr>
          <w:bottom w:val="single" w:color="E5E7EB" w:sz="6"/>
        </w:pBdr>
        <w:spacing w:before="200" w:after="200"/>
      </w:pPr>
      <w:r>
        <w:t xml:space="preserve"/>
      </w:r>
    </w:p>
    <w:p>
      <w:pPr>
        <w:spacing w:before="80" w:after="80"/>
        <w:jc w:val="left"/>
      </w:pPr>
      <w:r>
        <w:rPr>
          <w:rFonts w:ascii="Arial" w:cs="Arial" w:eastAsia="Arial" w:hAnsi="Arial"/>
          <w:b w:val="false"/>
          <w:bCs w:val="false"/>
          <w:i w:val="false"/>
          <w:iCs w:val="false"/>
          <w:color w:val="6B7280"/>
          <w:sz w:val="18"/>
          <w:szCs w:val="18"/>
        </w:rPr>
        <w:t xml:space="preserve">AEGIS  •  Autonomous Enterprise &amp; Guardian Intelligence System  •  Harshith Gangaraju  •  Confidential  •  2025</w:t>
      </w:r>
    </w:p>
    <w:p>
      <w:pPr>
        <w:spacing w:before="80" w:after="80"/>
        <w:jc w:val="left"/>
      </w:pPr>
      <w:r>
        <w:rPr>
          <w:rFonts w:ascii="Arial" w:cs="Arial" w:eastAsia="Arial" w:hAnsi="Arial"/>
          <w:b/>
          <w:bCs/>
          <w:i/>
          <w:iCs/>
          <w:color w:val="1A56DB"/>
          <w:sz w:val="22"/>
          <w:szCs w:val="22"/>
        </w:rPr>
        <w:t xml:space="preserve">Deploy once. Sleep better.</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11827"/>
      <w:sz w:val="38"/>
      <w:szCs w:val="38"/>
    </w:rPr>
  </w:style>
  <w:style w:type="paragraph" w:styleId="Heading2">
    <w:name w:val="Heading 2"/>
    <w:basedOn w:val="Normal"/>
    <w:next w:val="Normal"/>
    <w:qFormat/>
    <w:pPr>
      <w:spacing w:before="280" w:after="120"/>
      <w:outlineLvl w:val="1"/>
    </w:pPr>
    <w:rPr>
      <w:rFonts w:ascii="Arial" w:cs="Arial" w:eastAsia="Arial" w:hAnsi="Arial"/>
      <w:b/>
      <w:bCs/>
      <w:color w:val="11182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2026-03-22T12:38:23.098Z</dcterms:created>
  <dcterms:modified xsi:type="dcterms:W3CDTF">2026-03-22T12:38:23.099Z</dcterms:modified>
</cp:coreProperties>
</file>

<file path=docProps/custom.xml><?xml version="1.0" encoding="utf-8"?>
<Properties xmlns="http://schemas.openxmlformats.org/officeDocument/2006/custom-properties" xmlns:vt="http://schemas.openxmlformats.org/officeDocument/2006/docPropsVTypes"/>
</file>