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100"/>
        <w:jc w:val="center"/>
      </w:pPr>
      <w:r>
        <w:rPr>
          <w:b/>
          <w:bCs/>
          <w:color w:val="1F4E79"/>
          <w:sz w:val="52"/>
          <w:szCs w:val="52"/>
          <w:rFonts w:ascii="Arial" w:cs="Arial" w:eastAsia="Arial" w:hAnsi="Arial"/>
        </w:rPr>
        <w:t xml:space="preserve">BANKING LAW</w:t>
      </w:r>
    </w:p>
    <w:p>
      <w:pPr>
        <w:spacing w:after="100"/>
        <w:jc w:val="center"/>
      </w:pPr>
      <w:r>
        <w:rPr>
          <w:color w:val="444444"/>
          <w:sz w:val="28"/>
          <w:szCs w:val="28"/>
          <w:rFonts w:ascii="Arial" w:cs="Arial" w:eastAsia="Arial" w:hAnsi="Arial"/>
        </w:rPr>
        <w:t xml:space="preserve">including the Negotiable Instruments Act</w:t>
      </w:r>
    </w:p>
    <w:p>
      <w:pPr>
        <w:spacing w:after="100"/>
        <w:jc w:val="center"/>
      </w:pPr>
      <w:r>
        <w:rPr>
          <w:color w:val="666666"/>
          <w:sz w:val="26"/>
          <w:szCs w:val="26"/>
          <w:rFonts w:ascii="Arial" w:cs="Arial" w:eastAsia="Arial" w:hAnsi="Arial"/>
        </w:rPr>
        <w:t xml:space="preserve">Paper XXVIII (Optional Paper II) · LL.B Semester V · AKNU</w:t>
      </w:r>
    </w:p>
    <w:p>
      <w:pPr>
        <w:spacing w:after="600"/>
        <w:jc w:val="center"/>
      </w:pPr>
      <w:r>
        <w:rPr>
          <w:i/>
          <w:iCs/>
          <w:color w:val="888888"/>
          <w:sz w:val="22"/>
          <w:szCs w:val="22"/>
          <w:rFonts w:ascii="Arial" w:cs="Arial" w:eastAsia="Arial" w:hAnsi="Arial"/>
        </w:rPr>
        <w:t xml:space="preserve">Twelve stories, one syllabus. Banker and customer, negotiable instruments, the Banking Regulation Act, the RBI Act, nationalisation, e-banking and offshore banking.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How to read this:</w:t>
      </w:r>
      <w:r>
        <w:rPr>
          <w:sz w:val="22"/>
          <w:szCs w:val="22"/>
          <w:rFonts w:ascii="Arial" w:cs="Arial" w:eastAsia="Arial" w:hAnsi="Arial"/>
        </w:rPr>
        <w:t xml:space="preserve"> every episode opens with a real case told as a story (purple bar). Then the law it settled, section by section, naming the Act each section belongs to. Red bars are cases to cite; green bars are the digital angle; blue bars tell you how the topic is asked. Read the story first — the sections will stick to it.</w:t>
      </w:r>
    </w:p>
    <w:p>
      <w:pPr>
        <w:pBdr>
          <w:bottom w:val="single" w:color="CCCCCC" w:sz="1" w:space="4"/>
        </w:pBdr>
        <w:spacing w:before="160" w:after="160"/>
      </w:pPr>
      <w:r>
        <w:rPr>
          <w:sz w:val="4"/>
          <w:szCs w:val="4"/>
        </w:rP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00"/>
      </w:tblGrid>
      <w:tr>
        <w:tc>
          <w:tcPr>
            <w:tcW w:type="dxa" w:w="7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Ep</w:t>
            </w:r>
          </w:p>
        </w:tc>
        <w:tc>
          <w:tcPr>
            <w:tcW w:type="dxa" w:w="30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Story</w:t>
            </w:r>
          </w:p>
        </w:tc>
        <w:tc>
          <w:tcPr>
            <w:tcW w:type="dxa" w:w="53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Syllabus topics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Foley v Hill</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Banking defined; customer; general and special relationship; duties and rights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Mohori Bibee</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Opening accounts; kinds of accounts; joint accounts; special customers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03</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PNB v Surendra Prasad Sinha</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Pass book; overdraft; draft; appropriation and Clayton's case; set-off; safe custody; garnishee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04</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Syndicate Bank v Vijay Kumar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Banker's lien; pledge; guarantee; documents of title; letters of credit; bank guarantees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05</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Kundan Lal Rallaram</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definition, features, negotiability vs assignability; note, bill, cheque; analogous instruments; presumptions; holder in due course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06</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Great Western Railway v London and County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Kinds of cheques; crossing; endorsements; payment in due course; marking; refusal of payment</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07</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Canara Bank v Canara Sales Corporation</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Liabilities of parties; forgery and alteration; paying banker Sec 85, 89, 128; collecting banker Sec 131</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08</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Dashrath Rupsingh Rathod</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Dishonour of cheques Sec 138-148</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09</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Yes Bank moratorium</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Banking Regulation Act: licensing, reserves, advances, RBI and Central Government powers, moratorium and schemes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Demonetisation case</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constitution, currency, banker to Government, bankers' bank, monetary policy, NBFCs, promotional role</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11</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R.C. Cooper</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Nationalisation; effects; liberalisation and globalisation; recovery laws; NPAs</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12</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Cosmos Bank heist</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E-banking, IT Act, PSS Act, RBI guidelines, KYC, Ombudsman, fintech, e-rupee; offshore banking, IFSC, NRI accounts, FEMA</w:t>
            </w:r>
          </w:p>
        </w:tc>
      </w:tr>
      <w:tr>
        <w:tc>
          <w:tcPr>
            <w:tcW w:type="dxa" w:w="7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t>
            </w:r>
          </w:p>
        </w:tc>
        <w:tc>
          <w:tcPr>
            <w:tcW w:type="dxa" w:w="3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Drill bank</w:t>
            </w:r>
          </w:p>
        </w:tc>
        <w:tc>
          <w:tcPr>
            <w:tcW w:type="dxa" w:w="53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10 Part C problems with IRAC answers + section map</w:t>
            </w:r>
          </w:p>
        </w:tc>
      </w:tr>
    </w:tbl>
    <w:p>
      <w:r>
        <w:br w:type="page"/>
      </w:r>
    </w:p>
    <w:p>
      <w:pPr>
        <w:pStyle w:val="Heading1"/>
        <w:spacing w:before="480" w:after="200"/>
      </w:pPr>
      <w:r>
        <w:rPr>
          <w:b/>
          <w:bCs/>
          <w:color w:val="1F4E79"/>
          <w:sz w:val="32"/>
          <w:szCs w:val="32"/>
          <w:rFonts w:ascii="Arial" w:cs="Arial" w:eastAsia="Arial" w:hAnsi="Arial"/>
        </w:rPr>
        <w:t xml:space="preserve">Episode 01 — The Banker Is Not a Trustee: Foley v Hill and the Relationship</w:t>
      </w:r>
    </w:p>
    <w:p>
      <w:pPr>
        <w:pStyle w:val="Heading2"/>
        <w:spacing w:before="360" w:after="160"/>
      </w:pPr>
      <w:r>
        <w:rPr>
          <w:b/>
          <w:bCs/>
          <w:color w:val="2E75B6"/>
          <w:sz w:val="26"/>
          <w:szCs w:val="26"/>
          <w:rFonts w:ascii="Arial" w:cs="Arial" w:eastAsia="Arial" w:hAnsi="Arial"/>
        </w:rPr>
        <w:t xml:space="preserve">Covers: What banking is (Sec 5(b) Banking Regulation Act) · Who is a customer · The general relationship — debtor and creditor · The special relationships — agent, bailee, trustee, lessor · The banker's duties (secrecy, honouring cheques, care) and rights (lien, set-off, charges) · The customer's duties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London, 1848. Edward Foley deposited six thousand one hundred and seventeen pounds with the bankers Hill and Company in 1829, on a promise of three per cent interest. For six years he never asked for the money. Then he sued in the Court of Chancery for an account, saying the bank was his trustee or agent and must account to him for what it had done with his money. The House of Lords, through Lord Cottenham, said no: money paid into a bank ceases to be the customer's money; it becomes the banker's, who may do with it as he pleases — lend it, invest it, put it at risk — and is answerable only to repay an equivalent sum on demand. The relationship is that of debtor and creditor, not trustee and beneficiary. Foley's claim was a simple debt, and a debt six years old was barred by limitation. That single decision explains almost everything about a bank: why a bank can lend your deposit, why a bank can fail, why the bank need not tell you what it did with the money, why your savings are a loan you have made and an overdraft is a loan you have taken, why interest is paid, and why the depositors of a failed bank are unsecured creditors who stand in a queue. Everything else in the law of banking — the special relationships of agent and bailee, the duty of secrecy, the right of lien — is built on the foundation that the money is the banker's and the customer has only a promise.</w:t>
      </w:r>
    </w:p>
    <w:p>
      <w:pPr>
        <w:spacing w:before="240" w:after="120"/>
      </w:pPr>
      <w:r>
        <w:rPr>
          <w:b/>
          <w:bCs/>
          <w:color w:val="404040"/>
          <w:sz w:val="23"/>
          <w:szCs w:val="23"/>
          <w:rFonts w:ascii="Arial" w:cs="Arial" w:eastAsia="Arial" w:hAnsi="Arial"/>
        </w:rPr>
        <w:t xml:space="preserve">What banking is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5(b) of the Banking Regulation Act, 1949:</w:t>
      </w:r>
      <w:r>
        <w:rPr>
          <w:sz w:val="22"/>
          <w:szCs w:val="22"/>
          <w:rFonts w:ascii="Arial" w:cs="Arial" w:eastAsia="Arial" w:hAnsi="Arial"/>
        </w:rPr>
        <w:t xml:space="preserve"> 'banking' means the accepting, for the purpose of lending or investment, of deposits of money from the public, repayable on demand or otherwise, and withdrawable by cheque, draft, order or otherwise; </w:t>
      </w:r>
      <w:r>
        <w:rPr>
          <w:b/>
          <w:bCs/>
          <w:sz w:val="22"/>
          <w:szCs w:val="22"/>
          <w:rFonts w:ascii="Arial" w:cs="Arial" w:eastAsia="Arial" w:hAnsi="Arial"/>
        </w:rPr>
        <w:t xml:space="preserve">Sec 5(c):</w:t>
      </w:r>
      <w:r>
        <w:rPr>
          <w:sz w:val="22"/>
          <w:szCs w:val="22"/>
          <w:rFonts w:ascii="Arial" w:cs="Arial" w:eastAsia="Arial" w:hAnsi="Arial"/>
        </w:rPr>
        <w:t xml:space="preserve"> a 'banking company' is a company which transacts the business of banking in India; the Explanation excludes a manufacturing or trading company that accepts deposits merely to finance its own business. The definition has three limbs — deposits from the public, for the purpose of lending or investment, and withdrawable by cheque or otherwise — and Sec 7 forbids any company other than a banking company from using the words 'bank', 'banker' or 'banking' in its name, and requires every banking company to use one of them. Sec 6 lists the forms of business a banking company may engage in besides banking — borrowing, lending, discounting bills, dealing in bullion and foreign exchange, safe deposit vaults, guarantees, agency business, acting as trustee — and Sec 8 prohibits trading. The English definition — United Dominions Trust v. Kirkwood (1966): the characteristics are accepting money from and collecting cheques for customers, honouring cheques drawn on it, and keeping current accounts — matches. In India the Reserve Bank of India Act, 1934 and the Banking Regulation Act, 1949 (originally the Banking Companies Act) together with the State Bank of India Act 1955, the Banking Companies (Acquisition and Transfer of Undertakings) Acts 1970 and 1980, the Regional Rural Banks Act 1976, the Co-operative Societies Acts, the Negotiable Instruments Act 1881, the Bankers' Books Evidence Act 1891 and the Recovery of Debts and Bankruptcy Act 1993 make up the statutory framework.</w:t>
      </w:r>
    </w:p>
    <w:p>
      <w:pPr>
        <w:spacing w:before="240" w:after="120"/>
      </w:pPr>
      <w:r>
        <w:rPr>
          <w:b/>
          <w:bCs/>
          <w:color w:val="404040"/>
          <w:sz w:val="23"/>
          <w:szCs w:val="23"/>
          <w:rFonts w:ascii="Arial" w:cs="Arial" w:eastAsia="Arial" w:hAnsi="Arial"/>
        </w:rPr>
        <w:t xml:space="preserve">Who is a customer</w:t>
      </w:r>
    </w:p>
    <w:p>
      <w:pPr>
        <w:spacing w:after="120" w:line="300"/>
        <w:jc w:val="both"/>
      </w:pPr>
      <w:r>
        <w:rPr>
          <w:sz w:val="22"/>
          <w:szCs w:val="22"/>
          <w:rFonts w:ascii="Arial" w:cs="Arial" w:eastAsia="Arial" w:hAnsi="Arial"/>
        </w:rPr>
        <w:t xml:space="preserve">The Negotiable Instruments Act uses the word (Sec 131) without defining it. The duration theory — that a person becomes a customer only after a course of dealing (Mathews v. Williams, Brown and Co., 1894) — was rejected in </w:t>
      </w:r>
      <w:r>
        <w:rPr>
          <w:b/>
          <w:bCs/>
          <w:sz w:val="22"/>
          <w:szCs w:val="22"/>
          <w:rFonts w:ascii="Arial" w:cs="Arial" w:eastAsia="Arial" w:hAnsi="Arial"/>
        </w:rPr>
        <w:t xml:space="preserve">Commissioners of Taxation v. English, Scottish and Australian Bank (1920)</w:t>
      </w:r>
      <w:r>
        <w:rPr>
          <w:sz w:val="22"/>
          <w:szCs w:val="22"/>
          <w:rFonts w:ascii="Arial" w:cs="Arial" w:eastAsia="Arial" w:hAnsi="Arial"/>
        </w:rPr>
        <w:t xml:space="preserve">: a person becomes a customer the moment the bank agrees to open an account for him, even if only one cheque has been paid in; and in </w:t>
      </w:r>
      <w:r>
        <w:rPr>
          <w:b/>
          <w:bCs/>
          <w:sz w:val="22"/>
          <w:szCs w:val="22"/>
          <w:rFonts w:ascii="Arial" w:cs="Arial" w:eastAsia="Arial" w:hAnsi="Arial"/>
        </w:rPr>
        <w:t xml:space="preserve">Ladbroke v. Todd (1914)</w:t>
      </w:r>
      <w:r>
        <w:rPr>
          <w:sz w:val="22"/>
          <w:szCs w:val="22"/>
          <w:rFonts w:ascii="Arial" w:cs="Arial" w:eastAsia="Arial" w:hAnsi="Arial"/>
        </w:rPr>
        <w:t xml:space="preserve"> a thief who opened an account with a stolen cheque was a customer from the opening of the account. Two conditions: an account of some sort (deposit or current), and the account opened in the ordinary course of banking business — casual services such as encashing a cheque for a stranger do not make him a customer (Great Western Railway v. London and County Bank, 1901). Indian courts follow the same view (Central Bank of India v. Gopinathan Nair, 1979 Kerala — a person for whom the bank collects cheques on an account is a customer). Whether a person who has only a fixed deposit, or a locker, or a loan account is a 'customer' for Sec 131 is doubtful; for the general law of banker and customer, any person having an account is.</w:t>
      </w:r>
    </w:p>
    <w:p>
      <w:pPr>
        <w:spacing w:before="240" w:after="120"/>
      </w:pPr>
      <w:r>
        <w:rPr>
          <w:b/>
          <w:bCs/>
          <w:color w:val="404040"/>
          <w:sz w:val="23"/>
          <w:szCs w:val="23"/>
          <w:rFonts w:ascii="Arial" w:cs="Arial" w:eastAsia="Arial" w:hAnsi="Arial"/>
        </w:rPr>
        <w:t xml:space="preserve">The general relationship — debtor and creditor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Foley v. Hill (1848)</w:t>
      </w:r>
      <w:r>
        <w:rPr>
          <w:sz w:val="22"/>
          <w:szCs w:val="22"/>
          <w:rFonts w:ascii="Arial" w:cs="Arial" w:eastAsia="Arial" w:hAnsi="Arial"/>
        </w:rPr>
        <w:t xml:space="preserve"> and </w:t>
      </w:r>
      <w:r>
        <w:rPr>
          <w:b/>
          <w:bCs/>
          <w:sz w:val="22"/>
          <w:szCs w:val="22"/>
          <w:rFonts w:ascii="Arial" w:cs="Arial" w:eastAsia="Arial" w:hAnsi="Arial"/>
        </w:rPr>
        <w:t xml:space="preserve">Joachimson v. Swiss Bank Corporation (1921)</w:t>
      </w:r>
      <w:r>
        <w:rPr>
          <w:sz w:val="22"/>
          <w:szCs w:val="22"/>
          <w:rFonts w:ascii="Arial" w:cs="Arial" w:eastAsia="Arial" w:hAnsi="Arial"/>
        </w:rPr>
        <w:t xml:space="preserve"> settle the essentials: when a customer deposits money the bank becomes his </w:t>
      </w:r>
      <w:r>
        <w:rPr>
          <w:b/>
          <w:bCs/>
          <w:sz w:val="22"/>
          <w:szCs w:val="22"/>
          <w:rFonts w:ascii="Arial" w:cs="Arial" w:eastAsia="Arial" w:hAnsi="Arial"/>
        </w:rPr>
        <w:t xml:space="preserve">debtor</w:t>
      </w:r>
      <w:r>
        <w:rPr>
          <w:sz w:val="22"/>
          <w:szCs w:val="22"/>
          <w:rFonts w:ascii="Arial" w:cs="Arial" w:eastAsia="Arial" w:hAnsi="Arial"/>
        </w:rPr>
        <w:t xml:space="preserve"> and he its </w:t>
      </w:r>
      <w:r>
        <w:rPr>
          <w:b/>
          <w:bCs/>
          <w:sz w:val="22"/>
          <w:szCs w:val="22"/>
          <w:rFonts w:ascii="Arial" w:cs="Arial" w:eastAsia="Arial" w:hAnsi="Arial"/>
        </w:rPr>
        <w:t xml:space="preserve">creditor</w:t>
      </w:r>
      <w:r>
        <w:rPr>
          <w:sz w:val="22"/>
          <w:szCs w:val="22"/>
          <w:rFonts w:ascii="Arial" w:cs="Arial" w:eastAsia="Arial" w:hAnsi="Arial"/>
        </w:rPr>
        <w:t xml:space="preserve">; when the bank lends, the positions reverse; the bank's obligation is to repay on demand at the branch where the account is kept, during banking hours (Joachimson — the demand is a condition precedent to the debt becoming payable, so limitation does not run until a demand is made; in India the Limitation Act, Art 22, gives three years from the demand for a deposit payable on demand); the debt is not held in trust (so the bank need not account for its use, and the customer has no proprietary claim on the bank's insolvency); the bank may set off; and the bank must honour cheques drawn against sufficient funds. Indian recognition: </w:t>
      </w:r>
      <w:r>
        <w:rPr>
          <w:b/>
          <w:bCs/>
          <w:sz w:val="22"/>
          <w:szCs w:val="22"/>
          <w:rFonts w:ascii="Arial" w:cs="Arial" w:eastAsia="Arial" w:hAnsi="Arial"/>
        </w:rPr>
        <w:t xml:space="preserve">Shanti Prasad Jain v. Director of Enforcement (1962)</w:t>
      </w:r>
      <w:r>
        <w:rPr>
          <w:sz w:val="22"/>
          <w:szCs w:val="22"/>
          <w:rFonts w:ascii="Arial" w:cs="Arial" w:eastAsia="Arial" w:hAnsi="Arial"/>
        </w:rPr>
        <w:t xml:space="preserve"> — 'the relationship between a banker and a customer is one of debtor and creditor and not of trustee and beneficiary'; New Bank of India v. Union of India (1996); the Supreme Court in </w:t>
      </w:r>
      <w:r>
        <w:rPr>
          <w:b/>
          <w:bCs/>
          <w:sz w:val="22"/>
          <w:szCs w:val="22"/>
          <w:rFonts w:ascii="Arial" w:cs="Arial" w:eastAsia="Arial" w:hAnsi="Arial"/>
        </w:rPr>
        <w:t xml:space="preserve">Canara Bank v. Canara Sales Corporation (1987)</w:t>
      </w:r>
      <w:r>
        <w:rPr>
          <w:sz w:val="22"/>
          <w:szCs w:val="22"/>
          <w:rFonts w:ascii="Arial" w:cs="Arial" w:eastAsia="Arial" w:hAnsi="Arial"/>
        </w:rPr>
        <w:t xml:space="preserve"> described the relationship as contractual, the bank being bound to act only on the customer's mandate. Special features distinguishing it from an ordinary loan: the creditor must demand; the debtor's obligation to honour cheques; the bank's duty of secrecy; the bank's right of lien and set-off; the customer's right to a statement of account. The </w:t>
      </w:r>
      <w:r>
        <w:rPr>
          <w:b/>
          <w:bCs/>
          <w:sz w:val="22"/>
          <w:szCs w:val="22"/>
          <w:rFonts w:ascii="Arial" w:cs="Arial" w:eastAsia="Arial" w:hAnsi="Arial"/>
        </w:rPr>
        <w:t xml:space="preserve">essential features</w:t>
      </w:r>
      <w:r>
        <w:rPr>
          <w:sz w:val="22"/>
          <w:szCs w:val="22"/>
          <w:rFonts w:ascii="Arial" w:cs="Arial" w:eastAsia="Arial" w:hAnsi="Arial"/>
        </w:rPr>
        <w:t xml:space="preserve"> the examiner expects: (1) contractual; (2) debtor-creditor as the core; (3) demand as a condition of repayment; (4) place and time of payment; (5) the bank's right to use the money; (6) the bank's obligations arising from the account — cheques, secrecy, statements; (7) mutual rights of lien, set-off and charges.</w:t>
      </w:r>
    </w:p>
    <w:p>
      <w:pPr>
        <w:spacing w:before="240" w:after="120"/>
      </w:pPr>
      <w:r>
        <w:rPr>
          <w:b/>
          <w:bCs/>
          <w:color w:val="404040"/>
          <w:sz w:val="23"/>
          <w:szCs w:val="23"/>
          <w:rFonts w:ascii="Arial" w:cs="Arial" w:eastAsia="Arial" w:hAnsi="Arial"/>
        </w:rPr>
        <w:t xml:space="preserve">The special relationships</w:t>
      </w:r>
    </w:p>
    <w:p>
      <w:pPr>
        <w:spacing w:before="60" w:after="60"/>
        <w:ind w:left="200"/>
      </w:pPr>
      <w:r>
        <w:rPr>
          <w:b/>
          <w:bCs/>
          <w:color w:val="1F4E79"/>
          <w:sz w:val="22"/>
          <w:szCs w:val="22"/>
          <w:rFonts w:ascii="Arial" w:cs="Arial" w:eastAsia="Arial" w:hAnsi="Arial"/>
        </w:rPr>
        <w:t xml:space="preserve">Agent and principal: </w:t>
      </w:r>
      <w:r>
        <w:rPr>
          <w:sz w:val="22"/>
          <w:szCs w:val="22"/>
          <w:rFonts w:ascii="Arial" w:cs="Arial" w:eastAsia="Arial" w:hAnsi="Arial"/>
        </w:rPr>
        <w:t xml:space="preserve">When the bank collects cheques, bills or dividends for the customer, pays his standing orders, or buys and sells securities on his instructions, it acts as agent (Sec 182 Contract Act) and must exercise the care of a reasonably competent banker (Sec 211-212); the proceeds of collection become a debt once credited. Sec 131 NI Act protection for the collecting banker is the statutory counterpart.</w:t>
      </w:r>
    </w:p>
    <w:p>
      <w:pPr>
        <w:spacing w:before="60" w:after="60"/>
        <w:ind w:left="200"/>
      </w:pPr>
      <w:r>
        <w:rPr>
          <w:b/>
          <w:bCs/>
          <w:color w:val="1F4E79"/>
          <w:sz w:val="22"/>
          <w:szCs w:val="22"/>
          <w:rFonts w:ascii="Arial" w:cs="Arial" w:eastAsia="Arial" w:hAnsi="Arial"/>
        </w:rPr>
        <w:t xml:space="preserve">Bailee and bailor: </w:t>
      </w:r>
      <w:r>
        <w:rPr>
          <w:sz w:val="22"/>
          <w:szCs w:val="22"/>
          <w:rFonts w:ascii="Arial" w:cs="Arial" w:eastAsia="Arial" w:hAnsi="Arial"/>
        </w:rPr>
        <w:t xml:space="preserve">Articles received for safe custody — the locker or the sealed packet — make the bank a bailee (Sec 148 Contract Act), bound to take as much care as a man of ordinary prudence takes of his own goods (Sec 151) and liable for loss caused by its negligence; the locker is often structured as a lease of a compartment rather than a bailment, so that the bank does not know the contents — but the Supreme Court in **Amitabha Dasgupta v. United Bank of India (2021)** directed the RBI to frame rules and held that banks cannot escape liability for negligent operation of lockers by calling the relationship a lease; the RBI's 2021 locker guidelines cap liability at one hundred times the annual rent for the bank's own negligence, fraud or fire, and require agreements in the prescribed form.</w:t>
      </w:r>
    </w:p>
    <w:p>
      <w:pPr>
        <w:spacing w:before="60" w:after="60"/>
        <w:ind w:left="200"/>
      </w:pPr>
      <w:r>
        <w:rPr>
          <w:b/>
          <w:bCs/>
          <w:color w:val="1F4E79"/>
          <w:sz w:val="22"/>
          <w:szCs w:val="22"/>
          <w:rFonts w:ascii="Arial" w:cs="Arial" w:eastAsia="Arial" w:hAnsi="Arial"/>
        </w:rPr>
        <w:t xml:space="preserve">Trustee and beneficiary: </w:t>
      </w:r>
      <w:r>
        <w:rPr>
          <w:sz w:val="22"/>
          <w:szCs w:val="22"/>
          <w:rFonts w:ascii="Arial" w:cs="Arial" w:eastAsia="Arial" w:hAnsi="Arial"/>
        </w:rPr>
        <w:t xml:space="preserve">Where money is deposited for a specific purpose which the bank has agreed to carry out — to pay a particular person, to meet a bill — the bank holds it as trustee until the purpose is fulfilled or fails (Barclays Bank v. Quistclose Investments, 1970 — the Quistclose trust); the same where the bank knows that the account is a trust account. On the bank's insolvency the beneficiary can trace the money; an ordinary depositor cannot.</w:t>
      </w:r>
    </w:p>
    <w:p>
      <w:pPr>
        <w:spacing w:before="60" w:after="60"/>
        <w:ind w:left="200"/>
      </w:pPr>
      <w:r>
        <w:rPr>
          <w:b/>
          <w:bCs/>
          <w:color w:val="1F4E79"/>
          <w:sz w:val="22"/>
          <w:szCs w:val="22"/>
          <w:rFonts w:ascii="Arial" w:cs="Arial" w:eastAsia="Arial" w:hAnsi="Arial"/>
        </w:rPr>
        <w:t xml:space="preserve">Lessor and lessee: </w:t>
      </w:r>
      <w:r>
        <w:rPr>
          <w:sz w:val="22"/>
          <w:szCs w:val="22"/>
          <w:rFonts w:ascii="Arial" w:cs="Arial" w:eastAsia="Arial" w:hAnsi="Arial"/>
        </w:rPr>
        <w:t xml:space="preserve">Safe-deposit lockers hired for a rent; the bank is lessor, the customer lessee, with the qualifications in Amitabha Dasgupta.</w:t>
      </w:r>
    </w:p>
    <w:p>
      <w:pPr>
        <w:spacing w:before="60" w:after="60"/>
        <w:ind w:left="200"/>
      </w:pPr>
      <w:r>
        <w:rPr>
          <w:b/>
          <w:bCs/>
          <w:color w:val="1F4E79"/>
          <w:sz w:val="22"/>
          <w:szCs w:val="22"/>
          <w:rFonts w:ascii="Arial" w:cs="Arial" w:eastAsia="Arial" w:hAnsi="Arial"/>
        </w:rPr>
        <w:t xml:space="preserve">Mortgagee, pledgee, guarantee-holder: </w:t>
      </w:r>
      <w:r>
        <w:rPr>
          <w:sz w:val="22"/>
          <w:szCs w:val="22"/>
          <w:rFonts w:ascii="Arial" w:cs="Arial" w:eastAsia="Arial" w:hAnsi="Arial"/>
        </w:rPr>
        <w:t xml:space="preserve">When the bank takes security for an advance it stands as mortgagee (Sec 58 Transfer of Property Act), pawnee (Sec 172 Contract Act) or the creditor under a guarantee (Sec 126) — Episode 04.</w:t>
      </w:r>
    </w:p>
    <w:p>
      <w:pPr>
        <w:spacing w:before="60" w:after="60"/>
        <w:ind w:left="200"/>
      </w:pPr>
      <w:r>
        <w:rPr>
          <w:b/>
          <w:bCs/>
          <w:color w:val="1F4E79"/>
          <w:sz w:val="22"/>
          <w:szCs w:val="22"/>
          <w:rFonts w:ascii="Arial" w:cs="Arial" w:eastAsia="Arial" w:hAnsi="Arial"/>
        </w:rPr>
        <w:t xml:space="preserve">Adviser, executor, attorney: </w:t>
      </w:r>
      <w:r>
        <w:rPr>
          <w:sz w:val="22"/>
          <w:szCs w:val="22"/>
          <w:rFonts w:ascii="Arial" w:cs="Arial" w:eastAsia="Arial" w:hAnsi="Arial"/>
        </w:rPr>
        <w:t xml:space="preserve">Modern banks give investment advice (liability for negligent misstatement — Hedley Byrne v. Heller, 1964, and Woods v. Martins Bank, 1959), act as executors and trustees of wills, and hold powers of attorney.</w:t>
      </w:r>
    </w:p>
    <w:p>
      <w:pPr>
        <w:spacing w:before="240" w:after="120"/>
      </w:pPr>
      <w:r>
        <w:rPr>
          <w:b/>
          <w:bCs/>
          <w:color w:val="404040"/>
          <w:sz w:val="23"/>
          <w:szCs w:val="23"/>
          <w:rFonts w:ascii="Arial" w:cs="Arial" w:eastAsia="Arial" w:hAnsi="Arial"/>
        </w:rPr>
        <w:t xml:space="preserve">The banker's duties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(1) To honour cheques (Sec 31 NI Act):</w:t>
      </w:r>
      <w:r>
        <w:rPr>
          <w:sz w:val="22"/>
          <w:szCs w:val="22"/>
          <w:rFonts w:ascii="Arial" w:cs="Arial" w:eastAsia="Arial" w:hAnsi="Arial"/>
        </w:rPr>
        <w:t xml:space="preserve"> the drawee of a cheque having sufficient funds of the drawer in his hands properly applicable to the payment of the cheque must pay it when duly required, and in default compensate the drawer for any loss or damage caused; conditions — sufficient funds, funds properly applicable (not earmarked, not attached, not subject to lien or set-off on another account), the cheque properly presented (at the branch, during hours, within three months of its date, not mutilated, in proper form), and no legal bar (garnishee order, death, insolvency, countermand, a court order). Wrongful dishonour of a trader's cheque entitles him to substantial damages without proof of special loss (Rolin v. Steward, 1854; Davidson v. Barclays Bank, 1940 — 'the smaller the amount, the greater the damage'); a non-trader must ordinarily prove actual loss, but Indian courts have awarded damages for injury to credit (Punjab National Bank v. Rajinder Kumar? — see the Consumer Protection Act cases on wrongful dishonour: Bank of Baroda v. Shri Sunderlal? ; the National Consumer Commission treats wrongful dishonour as deficiency in service). </w:t>
      </w:r>
      <w:r>
        <w:rPr>
          <w:b/>
          <w:bCs/>
          <w:sz w:val="22"/>
          <w:szCs w:val="22"/>
          <w:rFonts w:ascii="Arial" w:cs="Arial" w:eastAsia="Arial" w:hAnsi="Arial"/>
        </w:rPr>
        <w:t xml:space="preserve">(2) Secrecy:</w:t>
      </w:r>
      <w:r>
        <w:rPr>
          <w:sz w:val="22"/>
          <w:szCs w:val="22"/>
          <w:rFonts w:ascii="Arial" w:cs="Arial" w:eastAsia="Arial" w:hAnsi="Arial"/>
        </w:rPr>
        <w:t xml:space="preserve"> the bank must not disclose the state of the customer's account or his affairs, a duty implied in the contract (</w:t>
      </w:r>
      <w:r>
        <w:rPr>
          <w:b/>
          <w:bCs/>
          <w:sz w:val="22"/>
          <w:szCs w:val="22"/>
          <w:rFonts w:ascii="Arial" w:cs="Arial" w:eastAsia="Arial" w:hAnsi="Arial"/>
        </w:rPr>
        <w:t xml:space="preserve">Tournier v. National Provincial and Union Bank of England, 1924</w:t>
      </w:r>
      <w:r>
        <w:rPr>
          <w:sz w:val="22"/>
          <w:szCs w:val="22"/>
          <w:rFonts w:ascii="Arial" w:cs="Arial" w:eastAsia="Arial" w:hAnsi="Arial"/>
        </w:rPr>
        <w:t xml:space="preserve"> — the bank manager told the customer's employer that he was betting; the duty is qualified by four exceptions: disclosure under compulsion of law, duty to the public, the bank's own interest, and the customer's express or implied consent); in India the duty is statutory for public sector banks — Sec 13 of the Banking Companies (Acquisition and Transfer of Undertakings) Act 1970 obliges the bank 'to observe, except as otherwise required by law, the practices and usages customary among bankers' and not to divulge information relating to the affairs of constituents; the Banker's Books Evidence Act 1891 (Sec 4-6 — certified copies are evidence and the bank need not produce the books); statutory exceptions include the Income-tax Act (Sec 131, 133), the Prevention of Money-laundering Act 2002 (reporting), the Reserve Bank's credit-information rules (Credit Information Companies (Regulation) Act 2005 — the CIBIL system), the Companies Act, court orders, and the customer's consent for references; the Right to Privacy after K.S. Puttaswamy (2017) reinforces the duty, and the RBI's 2021 Digital Payments Security guidelines and the Digital Personal Data Protection Act 2023 add data-protection obligations. </w:t>
      </w:r>
      <w:r>
        <w:rPr>
          <w:b/>
          <w:bCs/>
          <w:sz w:val="22"/>
          <w:szCs w:val="22"/>
          <w:rFonts w:ascii="Arial" w:cs="Arial" w:eastAsia="Arial" w:hAnsi="Arial"/>
        </w:rPr>
        <w:t xml:space="preserve">(3) Care and skill:</w:t>
      </w:r>
      <w:r>
        <w:rPr>
          <w:sz w:val="22"/>
          <w:szCs w:val="22"/>
          <w:rFonts w:ascii="Arial" w:cs="Arial" w:eastAsia="Arial" w:hAnsi="Arial"/>
        </w:rPr>
        <w:t xml:space="preserve"> in collecting, paying, advising and safe custody — the standard of a reasonably prudent banker (Sec 151 Contract Act; Sec 131 NI Act 'without negligence'). </w:t>
      </w:r>
      <w:r>
        <w:rPr>
          <w:b/>
          <w:bCs/>
          <w:sz w:val="22"/>
          <w:szCs w:val="22"/>
          <w:rFonts w:ascii="Arial" w:cs="Arial" w:eastAsia="Arial" w:hAnsi="Arial"/>
        </w:rPr>
        <w:t xml:space="preserve">(4) To render accounts:</w:t>
      </w:r>
      <w:r>
        <w:rPr>
          <w:sz w:val="22"/>
          <w:szCs w:val="22"/>
          <w:rFonts w:ascii="Arial" w:cs="Arial" w:eastAsia="Arial" w:hAnsi="Arial"/>
        </w:rPr>
        <w:t xml:space="preserve"> pass book, statements; the duty to correct errors. </w:t>
      </w:r>
      <w:r>
        <w:rPr>
          <w:b/>
          <w:bCs/>
          <w:sz w:val="22"/>
          <w:szCs w:val="22"/>
          <w:rFonts w:ascii="Arial" w:cs="Arial" w:eastAsia="Arial" w:hAnsi="Arial"/>
        </w:rPr>
        <w:t xml:space="preserve">(5) To act on the mandate:</w:t>
      </w:r>
      <w:r>
        <w:rPr>
          <w:sz w:val="22"/>
          <w:szCs w:val="22"/>
          <w:rFonts w:ascii="Arial" w:cs="Arial" w:eastAsia="Arial" w:hAnsi="Arial"/>
        </w:rPr>
        <w:t xml:space="preserve"> the bank may pay only as the customer directs; payment on a forged signature is no payment (Canara Bank v. Canara Sales Corporation). </w:t>
      </w:r>
      <w:r>
        <w:rPr>
          <w:b/>
          <w:bCs/>
          <w:sz w:val="22"/>
          <w:szCs w:val="22"/>
          <w:rFonts w:ascii="Arial" w:cs="Arial" w:eastAsia="Arial" w:hAnsi="Arial"/>
        </w:rPr>
        <w:t xml:space="preserve">(6) Notice before closing an account:</w:t>
      </w:r>
      <w:r>
        <w:rPr>
          <w:sz w:val="22"/>
          <w:szCs w:val="22"/>
          <w:rFonts w:ascii="Arial" w:cs="Arial" w:eastAsia="Arial" w:hAnsi="Arial"/>
        </w:rPr>
        <w:t xml:space="preserve"> reasonable notice (Prosperity Ltd v. Lloyds Bank, 1923).</w:t>
      </w:r>
    </w:p>
    <w:p>
      <w:pPr>
        <w:spacing w:before="240" w:after="120"/>
      </w:pPr>
      <w:r>
        <w:rPr>
          <w:b/>
          <w:bCs/>
          <w:color w:val="404040"/>
          <w:sz w:val="23"/>
          <w:szCs w:val="23"/>
          <w:rFonts w:ascii="Arial" w:cs="Arial" w:eastAsia="Arial" w:hAnsi="Arial"/>
        </w:rPr>
        <w:t xml:space="preserve">The banker's rights and the customer's duties</w:t>
      </w:r>
    </w:p>
    <w:p>
      <w:pPr>
        <w:spacing w:after="120" w:line="300"/>
        <w:jc w:val="both"/>
      </w:pPr>
      <w:r>
        <w:rPr>
          <w:sz w:val="22"/>
          <w:szCs w:val="22"/>
          <w:rFonts w:ascii="Arial" w:cs="Arial" w:eastAsia="Arial" w:hAnsi="Arial"/>
        </w:rPr>
        <w:t xml:space="preserve">Rights: </w:t>
      </w:r>
      <w:r>
        <w:rPr>
          <w:b/>
          <w:bCs/>
          <w:sz w:val="22"/>
          <w:szCs w:val="22"/>
          <w:rFonts w:ascii="Arial" w:cs="Arial" w:eastAsia="Arial" w:hAnsi="Arial"/>
        </w:rPr>
        <w:t xml:space="preserve">general lien</w:t>
      </w:r>
      <w:r>
        <w:rPr>
          <w:sz w:val="22"/>
          <w:szCs w:val="22"/>
          <w:rFonts w:ascii="Arial" w:cs="Arial" w:eastAsia="Arial" w:hAnsi="Arial"/>
        </w:rPr>
        <w:t xml:space="preserve"> on securities deposited (Sec 171 Contract Act — Episode 04); </w:t>
      </w:r>
      <w:r>
        <w:rPr>
          <w:b/>
          <w:bCs/>
          <w:sz w:val="22"/>
          <w:szCs w:val="22"/>
          <w:rFonts w:ascii="Arial" w:cs="Arial" w:eastAsia="Arial" w:hAnsi="Arial"/>
        </w:rPr>
        <w:t xml:space="preserve">set-off</w:t>
      </w:r>
      <w:r>
        <w:rPr>
          <w:sz w:val="22"/>
          <w:szCs w:val="22"/>
          <w:rFonts w:ascii="Arial" w:cs="Arial" w:eastAsia="Arial" w:hAnsi="Arial"/>
        </w:rPr>
        <w:t xml:space="preserve"> and combining accounts (Episode 03); </w:t>
      </w:r>
      <w:r>
        <w:rPr>
          <w:b/>
          <w:bCs/>
          <w:sz w:val="22"/>
          <w:szCs w:val="22"/>
          <w:rFonts w:ascii="Arial" w:cs="Arial" w:eastAsia="Arial" w:hAnsi="Arial"/>
        </w:rPr>
        <w:t xml:space="preserve">charging interest and commission</w:t>
      </w:r>
      <w:r>
        <w:rPr>
          <w:sz w:val="22"/>
          <w:szCs w:val="22"/>
          <w:rFonts w:ascii="Arial" w:cs="Arial" w:eastAsia="Arial" w:hAnsi="Arial"/>
        </w:rPr>
        <w:t xml:space="preserve"> — interest at contractual or the bank's notified rates, compound interest with rests by custom (the RBI's interest-rate directives govern; Central Bank of India v. Ravindra, 2001 — capitalisation of interest at periodical rests is permissible if agreed or by usage, but interest on interest cannot be awarded by a court under Sec 34 CPC on the capitalised amount beyond the contract); </w:t>
      </w:r>
      <w:r>
        <w:rPr>
          <w:b/>
          <w:bCs/>
          <w:sz w:val="22"/>
          <w:szCs w:val="22"/>
          <w:rFonts w:ascii="Arial" w:cs="Arial" w:eastAsia="Arial" w:hAnsi="Arial"/>
        </w:rPr>
        <w:t xml:space="preserve">incidental charges</w:t>
      </w:r>
      <w:r>
        <w:rPr>
          <w:sz w:val="22"/>
          <w:szCs w:val="22"/>
          <w:rFonts w:ascii="Arial" w:cs="Arial" w:eastAsia="Arial" w:hAnsi="Arial"/>
        </w:rPr>
        <w:t xml:space="preserve"> and the right to close an account on notice; </w:t>
      </w:r>
      <w:r>
        <w:rPr>
          <w:b/>
          <w:bCs/>
          <w:sz w:val="22"/>
          <w:szCs w:val="22"/>
          <w:rFonts w:ascii="Arial" w:cs="Arial" w:eastAsia="Arial" w:hAnsi="Arial"/>
        </w:rPr>
        <w:t xml:space="preserve">appropriation</w:t>
      </w:r>
      <w:r>
        <w:rPr>
          <w:sz w:val="22"/>
          <w:szCs w:val="22"/>
          <w:rFonts w:ascii="Arial" w:cs="Arial" w:eastAsia="Arial" w:hAnsi="Arial"/>
        </w:rPr>
        <w:t xml:space="preserve"> where the customer does not (Episode 03); the right to demand repayment of an overdraft at any time in the absence of an agreement for a fixed period. The customer's duties: to draw cheques carefully so as not to facilitate fraud (London Joint Stock Bank v. Macmillan and Arthur, 1918 — a cheque drawn for two pounds with spaces that allowed alteration to one hundred and twenty; the customer bore the loss), to inform the bank promptly of known forgeries (Greenwood v. Martins Bank, 1933 — a husband who knew his wife was forging his cheques and said nothing was estopped), to present cheques within a reasonable time, and to pay interest and charges. Indian law on the customer's duty is narrower: </w:t>
      </w:r>
      <w:r>
        <w:rPr>
          <w:b/>
          <w:bCs/>
          <w:sz w:val="22"/>
          <w:szCs w:val="22"/>
          <w:rFonts w:ascii="Arial" w:cs="Arial" w:eastAsia="Arial" w:hAnsi="Arial"/>
        </w:rPr>
        <w:t xml:space="preserve">Canara Bank v. Canara Sales Corporation (1987)</w:t>
      </w:r>
      <w:r>
        <w:rPr>
          <w:sz w:val="22"/>
          <w:szCs w:val="22"/>
          <w:rFonts w:ascii="Arial" w:cs="Arial" w:eastAsia="Arial" w:hAnsi="Arial"/>
        </w:rPr>
        <w:t xml:space="preserve"> held that a customer has no general duty to examine his statements and detect forgeries, and negligence of the customer is no defence to the bank unless it amounts to an estoppel in the Greenwood sense; </w:t>
      </w:r>
      <w:r>
        <w:rPr>
          <w:b/>
          <w:bCs/>
          <w:sz w:val="22"/>
          <w:szCs w:val="22"/>
          <w:rFonts w:ascii="Arial" w:cs="Arial" w:eastAsia="Arial" w:hAnsi="Arial"/>
        </w:rPr>
        <w:t xml:space="preserve">Bihta Co-operative Development and Cane Marketing Union v. Bank of Bihar (1967)</w:t>
      </w:r>
      <w:r>
        <w:rPr>
          <w:sz w:val="22"/>
          <w:szCs w:val="22"/>
          <w:rFonts w:ascii="Arial" w:cs="Arial" w:eastAsia="Arial" w:hAnsi="Arial"/>
        </w:rPr>
        <w:t xml:space="preserve"> — the bank cannot debit the customer's account with a cheque bearing a forged endorsement unless protected by Sec 85. The RBI's Banking Codes and Standards Board (Code of Bank's Commitment to Customers), the Banking Ombudsman Scheme (now the Reserve Bank Integrated Ombudsman Scheme 2021) and the Consumer Protection Act 2019 give the customer remedies for deficiency in service.</w:t>
      </w:r>
    </w:p>
    <w:p>
      <w:pPr>
        <w:pBdr>
          <w:left w:val="single" w:color="CC0000" w:sz="6" w:space="8"/>
        </w:pBdr>
        <w:spacing w:before="80" w:after="80"/>
        <w:ind w:left="300"/>
      </w:pPr>
      <w:r>
        <w:rPr>
          <w:b/>
          <w:bCs/>
          <w:color w:val="CC0000"/>
          <w:sz w:val="21"/>
          <w:szCs w:val="21"/>
          <w:rFonts w:ascii="Arial" w:cs="Arial" w:eastAsia="Arial" w:hAnsi="Arial"/>
        </w:rPr>
        <w:t xml:space="preserve">Foley v. Hill (1848) 2 HLC 28 — </w:t>
      </w:r>
      <w:r>
        <w:rPr>
          <w:sz w:val="21"/>
          <w:szCs w:val="21"/>
          <w:rFonts w:ascii="Arial" w:cs="Arial" w:eastAsia="Arial" w:hAnsi="Arial"/>
        </w:rPr>
        <w:t xml:space="preserve">Money deposited with a banker becomes the banker's own; the relationship is that of debtor and creditor, not trustee or agent; the banker must only repay an equivalent sum on demand.</w:t>
      </w:r>
    </w:p>
    <w:p>
      <w:pPr>
        <w:pBdr>
          <w:left w:val="single" w:color="CC0000" w:sz="6" w:space="8"/>
        </w:pBdr>
        <w:spacing w:before="80" w:after="80"/>
        <w:ind w:left="300"/>
      </w:pPr>
      <w:r>
        <w:rPr>
          <w:b/>
          <w:bCs/>
          <w:color w:val="CC0000"/>
          <w:sz w:val="21"/>
          <w:szCs w:val="21"/>
          <w:rFonts w:ascii="Arial" w:cs="Arial" w:eastAsia="Arial" w:hAnsi="Arial"/>
        </w:rPr>
        <w:t xml:space="preserve">Joachimson v. Swiss Bank Corporation [1921] 3 KB 110 — </w:t>
      </w:r>
      <w:r>
        <w:rPr>
          <w:sz w:val="21"/>
          <w:szCs w:val="21"/>
          <w:rFonts w:ascii="Arial" w:cs="Arial" w:eastAsia="Arial" w:hAnsi="Arial"/>
        </w:rPr>
        <w:t xml:space="preserve">The terms of the banker-customer contract: repayment at the branch on written demand during banking hours; the customer must draw cheques with care; the bank must give reasonable notice before closing; demand is a condition precedent.</w:t>
      </w:r>
    </w:p>
    <w:p>
      <w:pPr>
        <w:pBdr>
          <w:left w:val="single" w:color="CC0000" w:sz="6" w:space="8"/>
        </w:pBdr>
        <w:spacing w:before="80" w:after="80"/>
        <w:ind w:left="300"/>
      </w:pPr>
      <w:r>
        <w:rPr>
          <w:b/>
          <w:bCs/>
          <w:color w:val="CC0000"/>
          <w:sz w:val="21"/>
          <w:szCs w:val="21"/>
          <w:rFonts w:ascii="Arial" w:cs="Arial" w:eastAsia="Arial" w:hAnsi="Arial"/>
        </w:rPr>
        <w:t xml:space="preserve">Tournier v. National Provincial and Union Bank of England [1924] 1 KB 461 — </w:t>
      </w:r>
      <w:r>
        <w:rPr>
          <w:sz w:val="21"/>
          <w:szCs w:val="21"/>
          <w:rFonts w:ascii="Arial" w:cs="Arial" w:eastAsia="Arial" w:hAnsi="Arial"/>
        </w:rPr>
        <w:t xml:space="preserve">The banker's duty of secrecy is an implied term with four exceptions: compulsion of law, duty to the public, the bank's own interest, and the customer's consent.</w:t>
      </w:r>
    </w:p>
    <w:p>
      <w:pPr>
        <w:pBdr>
          <w:left w:val="single" w:color="CC0000" w:sz="6" w:space="8"/>
        </w:pBdr>
        <w:spacing w:before="80" w:after="80"/>
        <w:ind w:left="300"/>
      </w:pPr>
      <w:r>
        <w:rPr>
          <w:b/>
          <w:bCs/>
          <w:color w:val="CC0000"/>
          <w:sz w:val="21"/>
          <w:szCs w:val="21"/>
          <w:rFonts w:ascii="Arial" w:cs="Arial" w:eastAsia="Arial" w:hAnsi="Arial"/>
        </w:rPr>
        <w:t xml:space="preserve">Shanti Prasad Jain v. Director of Enforcement AIR 1962 SC 1764 — </w:t>
      </w:r>
      <w:r>
        <w:rPr>
          <w:sz w:val="21"/>
          <w:szCs w:val="21"/>
          <w:rFonts w:ascii="Arial" w:cs="Arial" w:eastAsia="Arial" w:hAnsi="Arial"/>
        </w:rPr>
        <w:t xml:space="preserve">A deposit with a bank is a loan; the banker is a debtor and the customer a creditor; the relationship is not fiduciary.</w:t>
      </w:r>
    </w:p>
    <w:p>
      <w:pPr>
        <w:pBdr>
          <w:left w:val="single" w:color="CC0000" w:sz="6" w:space="8"/>
        </w:pBdr>
        <w:spacing w:before="80" w:after="80"/>
        <w:ind w:left="300"/>
      </w:pPr>
      <w:r>
        <w:rPr>
          <w:b/>
          <w:bCs/>
          <w:color w:val="CC0000"/>
          <w:sz w:val="21"/>
          <w:szCs w:val="21"/>
          <w:rFonts w:ascii="Arial" w:cs="Arial" w:eastAsia="Arial" w:hAnsi="Arial"/>
        </w:rPr>
        <w:t xml:space="preserve">Canara Bank v. Canara Sales Corporation (1987) 2 SCC 666 — </w:t>
      </w:r>
      <w:r>
        <w:rPr>
          <w:sz w:val="21"/>
          <w:szCs w:val="21"/>
          <w:rFonts w:ascii="Arial" w:cs="Arial" w:eastAsia="Arial" w:hAnsi="Arial"/>
        </w:rPr>
        <w:t xml:space="preserve">A bank may debit a customer's account only on his mandate; payment on forged cheques is no payment; the customer's failure to check statements is not negligence that shifts the loss unless there is estoppel by knowledge and silence.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Foley principle now governs digital deposits too: a UPI or wallet balance held with a bank is a debt, but a prepaid-instrument balance held by a non-bank is escrowed under the Payment and Settlement Systems Act rules so that it is not the issuer's own money. The customer relationship begins with video KYC under the RBI's 2020 Master Direction, and the 'account' includes an e-wallet linked to a bank. The duty of secrecy meets the account-aggregator framework (RBI 2016, live since 2021): the customer's consent given through an aggregator app is the Tournier fourth exception in electronic form, and the Digital Personal Data Protection Act 2023 treats account data as personal data requiring lawful purpose. Wrongful dishonour of an electronic mandate (NACH/e-mandate) is treated like dishonour of a cheque by the Ombudsman.</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'Banking' under Sec 5(b), 'Customer', 'Banker's duty of secrecy', 'Foley v Hill', 'Wrongful dishonour of a cheque'. Part B: 'Discuss the general and special relationship between banker and customer' — debtor-creditor (Foley, Joachimson, Shanti Prasad Jain) with its features, then agent, bailee, trustee, lessor with one case each, then duties (Sec 31, secrecy with Tournier exceptions, care) and rights; or 'Explain the banker's duty of secrecy and its exceptions'. Part C: a bank tells a customer's employer about his overdraft — breach (Tournier) unless an exception applies; a bank dishonours a cheque although another account of the customer has funds — no duty to combine accounts unless agreed, but dishonour may be wrongful if the funds were in the same account; a bank pays a cheque on which the drawer's signature is forged — bank bears the loss (Canara Bank).</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02 — The Minor Who Signed: Opening Accounts and the Special Customers</w:t>
      </w:r>
    </w:p>
    <w:p>
      <w:pPr>
        <w:pStyle w:val="Heading2"/>
        <w:spacing w:before="360" w:after="160"/>
      </w:pPr>
      <w:r>
        <w:rPr>
          <w:b/>
          <w:bCs/>
          <w:color w:val="2E75B6"/>
          <w:sz w:val="26"/>
          <w:szCs w:val="26"/>
          <w:rFonts w:ascii="Arial" w:cs="Arial" w:eastAsia="Arial" w:hAnsi="Arial"/>
        </w:rPr>
        <w:t xml:space="preserve">Covers: Opening a new account — introduction, KYC, specimen signature · Kinds of accounts — current, savings, fixed and recurring deposits, joint accounts and survivorship · Special customers — minors, partnerships, companies, trusts, married women, pardanashin and illiterate persons, Hindu undivided families, clubs and societies, executors, liquidators, agents, NRIs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Calcutta, 1895. Dharmodas Ghose, a minor, mortgaged his property to the moneylender Brahmo Dutt for twenty thousand rupees, of which he received eight thousand. Brahmo Dutt's agent, Kedar Nath, knew from the boy's mother that he was under age. When Dharmodas sued through his mother to have the mortgage declared void, the moneylender's heirs argued that the boy had lied about his age and must at least return the money. In 1903 the Privy Council, in Mohori Bibee v. Dharmodas Ghose, laid down the rule that a minor's agreement is void ab initio — not merely voidable — because under Section 11 of the Contract Act a minor is not competent to contract at all; and since the lender knew the truth, there was no fraud on which restitution could be founded. That case is the reason every bank account opening form asks for the date of birth, and the reason Section 26 of the Negotiable Instruments Act says that a minor may draw, endorse, deliver and negotiate a promissory note, bill or cheque so as to bind all parties except himself. A bank may safely open a savings account for a minor, because a deposit received from a minor is money the bank owes and can repay; it may not lend to him, take a guarantee from him, or accept him as a partner, because any promise he makes is void. From the minor the law of accounts spreads to every other customer who is not a simple adult individual — the firm, the company, the trust, the married woman, the woman behind the veil, the man who cannot read, the joint family, the club, the executor — each with a rule about who may open, who may operate, and who may close.</w:t>
      </w:r>
    </w:p>
    <w:p>
      <w:pPr>
        <w:spacing w:before="240" w:after="120"/>
      </w:pPr>
      <w:r>
        <w:rPr>
          <w:b/>
          <w:bCs/>
          <w:color w:val="404040"/>
          <w:sz w:val="23"/>
          <w:szCs w:val="23"/>
          <w:rFonts w:ascii="Arial" w:cs="Arial" w:eastAsia="Arial" w:hAnsi="Arial"/>
        </w:rPr>
        <w:t xml:space="preserve">Opening an account</w:t>
      </w:r>
    </w:p>
    <w:p>
      <w:pPr>
        <w:spacing w:after="120" w:line="300"/>
        <w:jc w:val="both"/>
      </w:pPr>
      <w:r>
        <w:rPr>
          <w:sz w:val="22"/>
          <w:szCs w:val="22"/>
          <w:rFonts w:ascii="Arial" w:cs="Arial" w:eastAsia="Arial" w:hAnsi="Arial"/>
        </w:rPr>
        <w:t xml:space="preserve">The bank's precautions on opening an account are the foundation of the Sec 131 protection for collecting cheques 'without negligence': </w:t>
      </w:r>
      <w:r>
        <w:rPr>
          <w:b/>
          <w:bCs/>
          <w:sz w:val="22"/>
          <w:szCs w:val="22"/>
          <w:rFonts w:ascii="Arial" w:cs="Arial" w:eastAsia="Arial" w:hAnsi="Arial"/>
        </w:rPr>
        <w:t xml:space="preserve">introduction</w:t>
      </w:r>
      <w:r>
        <w:rPr>
          <w:sz w:val="22"/>
          <w:szCs w:val="22"/>
          <w:rFonts w:ascii="Arial" w:cs="Arial" w:eastAsia="Arial" w:hAnsi="Arial"/>
        </w:rPr>
        <w:t xml:space="preserve"> by an existing customer or a respectable person, once the universal practice (the failure to obtain a proper introduction was negligence — Ladbroke v. Todd; Indian Overseas Bank v. Industrial Chain Concern, 1990), has been replaced by </w:t>
      </w:r>
      <w:r>
        <w:rPr>
          <w:b/>
          <w:bCs/>
          <w:sz w:val="22"/>
          <w:szCs w:val="22"/>
          <w:rFonts w:ascii="Arial" w:cs="Arial" w:eastAsia="Arial" w:hAnsi="Arial"/>
        </w:rPr>
        <w:t xml:space="preserve">Know Your Customer</w:t>
      </w:r>
      <w:r>
        <w:rPr>
          <w:sz w:val="22"/>
          <w:szCs w:val="22"/>
          <w:rFonts w:ascii="Arial" w:cs="Arial" w:eastAsia="Arial" w:hAnsi="Arial"/>
        </w:rPr>
        <w:t xml:space="preserve"> norms under the RBI's Master Direction on KYC (2016, as amended) issued under the Prevention of Money-laundering Act 2002 and Rules 2005: officially valid documents (Aadhaar, passport, voter card, driving licence, NREGA card, NPR letter), Customer Due Diligence including video-based identification, the Central KYC Registry, periodic updating, and enhanced due diligence for politically exposed persons and high-risk accounts; </w:t>
      </w:r>
      <w:r>
        <w:rPr>
          <w:b/>
          <w:bCs/>
          <w:sz w:val="22"/>
          <w:szCs w:val="22"/>
          <w:rFonts w:ascii="Arial" w:cs="Arial" w:eastAsia="Arial" w:hAnsi="Arial"/>
        </w:rPr>
        <w:t xml:space="preserve">specimen signature</w:t>
      </w:r>
      <w:r>
        <w:rPr>
          <w:sz w:val="22"/>
          <w:szCs w:val="22"/>
          <w:rFonts w:ascii="Arial" w:cs="Arial" w:eastAsia="Arial" w:hAnsi="Arial"/>
        </w:rPr>
        <w:t xml:space="preserve"> cards, or now signature images and biometric authentication; the </w:t>
      </w:r>
      <w:r>
        <w:rPr>
          <w:b/>
          <w:bCs/>
          <w:sz w:val="22"/>
          <w:szCs w:val="22"/>
          <w:rFonts w:ascii="Arial" w:cs="Arial" w:eastAsia="Arial" w:hAnsi="Arial"/>
        </w:rPr>
        <w:t xml:space="preserve">account-opening form</w:t>
      </w:r>
      <w:r>
        <w:rPr>
          <w:sz w:val="22"/>
          <w:szCs w:val="22"/>
          <w:rFonts w:ascii="Arial" w:cs="Arial" w:eastAsia="Arial" w:hAnsi="Arial"/>
        </w:rPr>
        <w:t xml:space="preserve"> and the agreed terms (the RBI's fair-practice and Most Important Terms and Conditions requirements); the </w:t>
      </w:r>
      <w:r>
        <w:rPr>
          <w:b/>
          <w:bCs/>
          <w:sz w:val="22"/>
          <w:szCs w:val="22"/>
          <w:rFonts w:ascii="Arial" w:cs="Arial" w:eastAsia="Arial" w:hAnsi="Arial"/>
        </w:rPr>
        <w:t xml:space="preserve">nomination</w:t>
      </w:r>
      <w:r>
        <w:rPr>
          <w:sz w:val="22"/>
          <w:szCs w:val="22"/>
          <w:rFonts w:ascii="Arial" w:cs="Arial" w:eastAsia="Arial" w:hAnsi="Arial"/>
        </w:rPr>
        <w:t xml:space="preserve"> facility under Sec 45ZA-45ZF of the Banking Regulation Act and the Banking Companies (Nomination) Rules 1985 — the nominee receives the deposit on the depositor's death as trustee for the legal heirs (Ram Chander Talwar v. Devender Kumar Talwar, 2010 — a nominee under Sec 45ZA is a receiver, not the owner, and the heirs may claim from him); and the mandatory </w:t>
      </w:r>
      <w:r>
        <w:rPr>
          <w:b/>
          <w:bCs/>
          <w:sz w:val="22"/>
          <w:szCs w:val="22"/>
          <w:rFonts w:ascii="Arial" w:cs="Arial" w:eastAsia="Arial" w:hAnsi="Arial"/>
        </w:rPr>
        <w:t xml:space="preserve">PAN or Form 60</w:t>
      </w:r>
      <w:r>
        <w:rPr>
          <w:sz w:val="22"/>
          <w:szCs w:val="22"/>
          <w:rFonts w:ascii="Arial" w:cs="Arial" w:eastAsia="Arial" w:hAnsi="Arial"/>
        </w:rPr>
        <w:t xml:space="preserve"> for accounts and deposits above the prescribed limits. Under the Sec 131 case law the bank must make reasonable inquiries into the prospective customer's identity, occupation and the source of the first cheque, and a bank that opens an account without inquiry loses the protection when it collects a cheque to which the customer had no title.</w:t>
      </w:r>
    </w:p>
    <w:p>
      <w:pPr>
        <w:spacing w:before="240" w:after="120"/>
      </w:pPr>
      <w:r>
        <w:rPr>
          <w:b/>
          <w:bCs/>
          <w:color w:val="404040"/>
          <w:sz w:val="23"/>
          <w:szCs w:val="23"/>
          <w:rFonts w:ascii="Arial" w:cs="Arial" w:eastAsia="Arial" w:hAnsi="Arial"/>
        </w:rPr>
        <w:t xml:space="preserve">Kinds of accounts</w:t>
      </w:r>
    </w:p>
    <w:p>
      <w:pPr>
        <w:spacing w:before="60" w:after="60"/>
        <w:ind w:left="200"/>
      </w:pPr>
      <w:r>
        <w:rPr>
          <w:b/>
          <w:bCs/>
          <w:color w:val="1F4E79"/>
          <w:sz w:val="22"/>
          <w:szCs w:val="22"/>
          <w:rFonts w:ascii="Arial" w:cs="Arial" w:eastAsia="Arial" w:hAnsi="Arial"/>
        </w:rPr>
        <w:t xml:space="preserve">Current account: </w:t>
      </w:r>
      <w:r>
        <w:rPr>
          <w:sz w:val="22"/>
          <w:szCs w:val="22"/>
          <w:rFonts w:ascii="Arial" w:cs="Arial" w:eastAsia="Arial" w:hAnsi="Arial"/>
        </w:rPr>
        <w:t xml:space="preserve">For businesses; no limit on transactions; no interest (or nominal); overdraft facility; cheque book; minimum balance; the account of the classic banker-customer cases.</w:t>
      </w:r>
    </w:p>
    <w:p>
      <w:pPr>
        <w:spacing w:before="60" w:after="60"/>
        <w:ind w:left="200"/>
      </w:pPr>
      <w:r>
        <w:rPr>
          <w:b/>
          <w:bCs/>
          <w:color w:val="1F4E79"/>
          <w:sz w:val="22"/>
          <w:szCs w:val="22"/>
          <w:rFonts w:ascii="Arial" w:cs="Arial" w:eastAsia="Arial" w:hAnsi="Arial"/>
        </w:rPr>
        <w:t xml:space="preserve">Savings account: </w:t>
      </w:r>
      <w:r>
        <w:rPr>
          <w:sz w:val="22"/>
          <w:szCs w:val="22"/>
          <w:rFonts w:ascii="Arial" w:cs="Arial" w:eastAsia="Arial" w:hAnsi="Arial"/>
        </w:rPr>
        <w:t xml:space="preserve">For individuals and non-trading bodies; interest (deregulated by the RBI in 2011; each bank fixes it); restrictions on the number of withdrawals; basic savings bank deposit accounts (BSBDA — the 'no-frills' account under the financial-inclusion drive and the Pradhan Mantri Jan Dhan Yojana, 2014) with no minimum balance.</w:t>
      </w:r>
    </w:p>
    <w:p>
      <w:pPr>
        <w:spacing w:before="60" w:after="60"/>
        <w:ind w:left="200"/>
      </w:pPr>
      <w:r>
        <w:rPr>
          <w:b/>
          <w:bCs/>
          <w:color w:val="1F4E79"/>
          <w:sz w:val="22"/>
          <w:szCs w:val="22"/>
          <w:rFonts w:ascii="Arial" w:cs="Arial" w:eastAsia="Arial" w:hAnsi="Arial"/>
        </w:rPr>
        <w:t xml:space="preserve">Fixed (term) deposit: </w:t>
      </w:r>
      <w:r>
        <w:rPr>
          <w:sz w:val="22"/>
          <w:szCs w:val="22"/>
          <w:rFonts w:ascii="Arial" w:cs="Arial" w:eastAsia="Arial" w:hAnsi="Arial"/>
        </w:rPr>
        <w:t xml:space="preserve">A sum for a fixed period at a fixed rate, evidenced by a receipt (the FDR — not a negotiable instrument, not transferable by endorsement); premature withdrawal at a penalty; loan against the deposit; the bank's lien and set-off on it (Syndicate Bank v. Vijay Kumar, 1992); interest is taxable and TDS applies; the deposit is repayable at maturity, and limitation runs from the demand after maturity.</w:t>
      </w:r>
    </w:p>
    <w:p>
      <w:pPr>
        <w:spacing w:before="60" w:after="60"/>
        <w:ind w:left="200"/>
      </w:pPr>
      <w:r>
        <w:rPr>
          <w:b/>
          <w:bCs/>
          <w:color w:val="1F4E79"/>
          <w:sz w:val="22"/>
          <w:szCs w:val="22"/>
          <w:rFonts w:ascii="Arial" w:cs="Arial" w:eastAsia="Arial" w:hAnsi="Arial"/>
        </w:rPr>
        <w:t xml:space="preserve">Recurring deposit: </w:t>
      </w:r>
      <w:r>
        <w:rPr>
          <w:sz w:val="22"/>
          <w:szCs w:val="22"/>
          <w:rFonts w:ascii="Arial" w:cs="Arial" w:eastAsia="Arial" w:hAnsi="Arial"/>
        </w:rPr>
        <w:t xml:space="preserve">Monthly instalments for a fixed period; the sum with interest paid at maturity.</w:t>
      </w:r>
    </w:p>
    <w:p>
      <w:pPr>
        <w:spacing w:before="60" w:after="60"/>
        <w:ind w:left="200"/>
      </w:pPr>
      <w:r>
        <w:rPr>
          <w:b/>
          <w:bCs/>
          <w:color w:val="1F4E79"/>
          <w:sz w:val="22"/>
          <w:szCs w:val="22"/>
          <w:rFonts w:ascii="Arial" w:cs="Arial" w:eastAsia="Arial" w:hAnsi="Arial"/>
        </w:rPr>
        <w:t xml:space="preserve">Deposit account generally: </w:t>
      </w:r>
      <w:r>
        <w:rPr>
          <w:sz w:val="22"/>
          <w:szCs w:val="22"/>
          <w:rFonts w:ascii="Arial" w:cs="Arial" w:eastAsia="Arial" w:hAnsi="Arial"/>
        </w:rPr>
        <w:t xml:space="preserve">Deposits are 'from the public' and insured by the Deposit Insurance and Credit Guarantee Corporation (DICGC Act 1961) up to five lakh rupees per depositor per bank (raised from one lakh in 2020 after the PMC Bank failure); interest on deposits is governed by the RBI's Interest Rate on Deposits Directions 2016; unclaimed deposits for ten years are transferred to the RBI's Depositor Education and Awareness Fund (Sec 26A BR Act, 2014; the UDGAM portal for tracing them).</w:t>
      </w:r>
    </w:p>
    <w:p>
      <w:pPr>
        <w:spacing w:before="60" w:after="60"/>
        <w:ind w:left="200"/>
      </w:pPr>
      <w:r>
        <w:rPr>
          <w:b/>
          <w:bCs/>
          <w:color w:val="1F4E79"/>
          <w:sz w:val="22"/>
          <w:szCs w:val="22"/>
          <w:rFonts w:ascii="Arial" w:cs="Arial" w:eastAsia="Arial" w:hAnsi="Arial"/>
        </w:rPr>
        <w:t xml:space="preserve">Joint account: </w:t>
      </w:r>
      <w:r>
        <w:rPr>
          <w:sz w:val="22"/>
          <w:szCs w:val="22"/>
          <w:rFonts w:ascii="Arial" w:cs="Arial" w:eastAsia="Arial" w:hAnsi="Arial"/>
        </w:rPr>
        <w:t xml:space="preserve">Opened by two or more persons with a mandate: 'either or survivor', 'former or survivor', 'jointly', or 'anyone or survivor'; the bank acts on the mandate; on the death of one holder the survivor may operate under an 'either or survivor' mandate, but the beneficial ownership of the balance depends on the intention of the parties, not on the mandate — the survivor may hold as trustee for the deceased's estate where the deceased alone contributed (Sec 45ZA nomination and the RBI's 2005 circular on settlement of claims); a joint account cannot be attached for the separate debt of one holder (Hirschorn v. Evans, 1938); a cheque drawn on a joint account must be signed as the mandate requires; the death or insolvency of one holder revokes an 'jointly' mandate; the RBI's 2005 guidelines permit 'either or survivor' term deposits to be paid to the survivor on maturity without the legal heirs' consent.</w:t>
      </w:r>
    </w:p>
    <w:p>
      <w:pPr>
        <w:spacing w:before="240" w:after="120"/>
      </w:pPr>
      <w:r>
        <w:rPr>
          <w:b/>
          <w:bCs/>
          <w:color w:val="404040"/>
          <w:sz w:val="23"/>
          <w:szCs w:val="23"/>
          <w:rFonts w:ascii="Arial" w:cs="Arial" w:eastAsia="Arial" w:hAnsi="Arial"/>
        </w:rPr>
        <w:t xml:space="preserve">Special customers</w:t>
      </w:r>
    </w:p>
    <w:p>
      <w:pPr>
        <w:spacing w:before="60" w:after="60"/>
        <w:ind w:left="200"/>
      </w:pPr>
      <w:r>
        <w:rPr>
          <w:b/>
          <w:bCs/>
          <w:color w:val="1F4E79"/>
          <w:sz w:val="22"/>
          <w:szCs w:val="22"/>
          <w:rFonts w:ascii="Arial" w:cs="Arial" w:eastAsia="Arial" w:hAnsi="Arial"/>
        </w:rPr>
        <w:t xml:space="preserve">Minor: </w:t>
      </w:r>
      <w:r>
        <w:rPr>
          <w:sz w:val="22"/>
          <w:szCs w:val="22"/>
          <w:rFonts w:ascii="Arial" w:cs="Arial" w:eastAsia="Arial" w:hAnsi="Arial"/>
        </w:rPr>
        <w:t xml:space="preserve">Sec 3 of the Majority Act 1875 — eighteen years, or twenty-one where a guardian is appointed by a court; Sec 11 Contract Act; Mohori Bibee — agreements void; Sec 26 NI Act — a minor may draw, endorse, deliver and negotiate an instrument binding all parties except himself; Sec 68 Contract Act — necessaries supplied to a minor are recoverable from his property. Banking practice under the RBI's 2014 circular: a minor of any age may have a savings account operated by the natural guardian (father, then mother under the Hindu Minority and Guardianship Act 1956, Sec 6 — Githa Hariharan v. RBI, 1999, held that the mother is also a natural guardian and the bank cannot insist on the father); a minor above ten may open and operate a savings account independently subject to limits; no overdraft; on attaining majority the account is confirmed. A loan to a minor is irrecoverable; a guarantee by a minor is void; a minor as a partner (Sec 30 Partnership Act — admitted to the benefits only) cannot bind the firm to the bank.</w:t>
      </w:r>
    </w:p>
    <w:p>
      <w:pPr>
        <w:spacing w:before="60" w:after="60"/>
        <w:ind w:left="200"/>
      </w:pPr>
      <w:r>
        <w:rPr>
          <w:b/>
          <w:bCs/>
          <w:color w:val="1F4E79"/>
          <w:sz w:val="22"/>
          <w:szCs w:val="22"/>
          <w:rFonts w:ascii="Arial" w:cs="Arial" w:eastAsia="Arial" w:hAnsi="Arial"/>
        </w:rPr>
        <w:t xml:space="preserve">Partnership firm: </w:t>
      </w:r>
      <w:r>
        <w:rPr>
          <w:sz w:val="22"/>
          <w:szCs w:val="22"/>
          <w:rFonts w:ascii="Arial" w:cs="Arial" w:eastAsia="Arial" w:hAnsi="Arial"/>
        </w:rPr>
        <w:t xml:space="preserve">Sec 4 of the Indian Partnership Act 1932; the account is opened in the firm's name on the application of all partners with the partnership deed and the registration certificate (registration is not compulsory but an unregistered firm cannot sue — Sec 69); the mandate specifies who may operate; **Sec 19(2)(a)-(h)** — a partner's implied authority does not extend to submitting a dispute to arbitration, opening a bank account on behalf of the firm in his own name, compromising a claim, withdrawing a suit, admitting liability, acquiring or transferring immovable property, or entering into partnership on behalf of the firm — so a partner cannot open the firm's account in his own name and the bank must not credit cheques payable to the firm into a partner's personal account (Sec 131 negligence — that is a classic examination point); a partner may draw cheques on the firm's account and may borrow for the firm's business in the ordinary course (Sec 19(1)); a cheque payable to the firm endorsed by a partner into his own account puts the bank on inquiry; on the death, insolvency or retirement of a partner the bank must stop the account to fix liability (Clayton's rule applies — Episode 03) and open a fresh one; the retiring partner remains liable for past debts unless a public notice is given (Sec 32, 45); a partner's authority may be restricted by agreement, but the restriction does not bind a bank without notice (Sec 20).</w:t>
      </w:r>
    </w:p>
    <w:p>
      <w:pPr>
        <w:spacing w:before="60" w:after="60"/>
        <w:ind w:left="200"/>
      </w:pPr>
      <w:r>
        <w:rPr>
          <w:b/>
          <w:bCs/>
          <w:color w:val="1F4E79"/>
          <w:sz w:val="22"/>
          <w:szCs w:val="22"/>
          <w:rFonts w:ascii="Arial" w:cs="Arial" w:eastAsia="Arial" w:hAnsi="Arial"/>
        </w:rPr>
        <w:t xml:space="preserve">Company: </w:t>
      </w:r>
      <w:r>
        <w:rPr>
          <w:sz w:val="22"/>
          <w:szCs w:val="22"/>
          <w:rFonts w:ascii="Arial" w:cs="Arial" w:eastAsia="Arial" w:hAnsi="Arial"/>
        </w:rPr>
        <w:t xml:space="preserve">A company is a separate legal person (Salomon v. Salomon, 1897); the bank requires the certificate of incorporation, the memorandum and articles, a certified copy of the **board resolution** authorising the opening and naming the operating officers, the list of directors, and the certificate of commencement (for public companies before 2015; now Sec 10A of the Companies Act 2013 declaration); the **ultra vires** doctrine (Ashbury Railway Carriage v. Riche, 1875) means a borrowing beyond the objects is void and the bank cannot recover, though it may trace the money — so the bank checks the borrowing power in the memorandum and, under Sec 180(1)(c) of the Companies Act 2013, the special resolution required for borrowing beyond the paid-up capital and free reserves; the **rule in Royal British Bank v. Turquand (1856)** — the doctrine of indoor management — protects the bank that deals with the company on the faith of its public documents against irregularities in the internal procedure (a resolution not actually passed), unless the bank had notice or the transaction was suspicious (Sec 176 Companies Act 2013 for defects in the appointment of directors); charges on the company's assets must be registered with the Registrar within thirty days under Sec 77 (formerly Sec 125 of the 1956 Act), failing which the charge is void against the liquidator and creditors, though the debt survives; a cheque payable to a company must not be credited to a director's personal account (negligence under Sec 131 — Nirmala? — Indian Overseas Bank v. Industrial Chain Concern); on winding up the account must be operated only by the liquidator.</w:t>
      </w:r>
    </w:p>
    <w:p>
      <w:pPr>
        <w:spacing w:before="60" w:after="60"/>
        <w:ind w:left="200"/>
      </w:pPr>
      <w:r>
        <w:rPr>
          <w:b/>
          <w:bCs/>
          <w:color w:val="1F4E79"/>
          <w:sz w:val="22"/>
          <w:szCs w:val="22"/>
          <w:rFonts w:ascii="Arial" w:cs="Arial" w:eastAsia="Arial" w:hAnsi="Arial"/>
        </w:rPr>
        <w:t xml:space="preserve">Trust: </w:t>
      </w:r>
      <w:r>
        <w:rPr>
          <w:sz w:val="22"/>
          <w:szCs w:val="22"/>
          <w:rFonts w:ascii="Arial" w:cs="Arial" w:eastAsia="Arial" w:hAnsi="Arial"/>
        </w:rPr>
        <w:t xml:space="preserve">The Indian Trusts Act 1882 (private trusts) and the Charitable and Religious Trusts Act 1920, the Public Trusts Acts of the States, and the Wakf Act 1995; the bank obtains the trust deed, the resolution of the trustees, and the mandate; all trustees must act jointly unless the deed provides otherwise (Sec 48 Trusts Act — trustees cannot delegate, Sec 47); a trustee cannot use trust money for his own purposes, and a bank that with knowledge allows trust funds to be applied to the trustee's personal debt is liable for breach of trust (Sec 63; the bank's 'constructive notice' where the account is designated as a trust account); the bank has no set-off between a trust account and the trustee's personal account; on the death of a trustee the surviving trustees continue (Sec 76).</w:t>
      </w:r>
    </w:p>
    <w:p>
      <w:pPr>
        <w:spacing w:before="60" w:after="60"/>
        <w:ind w:left="200"/>
      </w:pPr>
      <w:r>
        <w:rPr>
          <w:b/>
          <w:bCs/>
          <w:color w:val="1F4E79"/>
          <w:sz w:val="22"/>
          <w:szCs w:val="22"/>
          <w:rFonts w:ascii="Arial" w:cs="Arial" w:eastAsia="Arial" w:hAnsi="Arial"/>
        </w:rPr>
        <w:t xml:space="preserve">Married women: </w:t>
      </w:r>
      <w:r>
        <w:rPr>
          <w:sz w:val="22"/>
          <w:szCs w:val="22"/>
          <w:rFonts w:ascii="Arial" w:cs="Arial" w:eastAsia="Arial" w:hAnsi="Arial"/>
        </w:rPr>
        <w:t xml:space="preserve">The Married Women's Property Act 1874 (Sec 4 — a married woman's wages and earnings and property acquired by her own skill are her separate property; Sec 7 — she may sue and be sued; Sec 8 — her husband is not liable for her ante-nuptial debts); a married woman has full contractual capacity, may open and operate an account and borrow; a loan to a married woman is recoverable only from her separate property (stridhan under Hindu law — Sec 14 of the Hindu Succession Act 1956 makes a Hindu woman the absolute owner of her property), not from her husband unless he is a party or she is his agent for necessaries; the bank should therefore lend to a married woman on the security of her own property and inquire into its ownership; the old practice of treating a married woman as a 'special' customer is now largely a matter of the husband's non-liability.</w:t>
      </w:r>
    </w:p>
    <w:p>
      <w:pPr>
        <w:spacing w:before="60" w:after="60"/>
        <w:ind w:left="200"/>
      </w:pPr>
      <w:r>
        <w:rPr>
          <w:b/>
          <w:bCs/>
          <w:color w:val="1F4E79"/>
          <w:sz w:val="22"/>
          <w:szCs w:val="22"/>
          <w:rFonts w:ascii="Arial" w:cs="Arial" w:eastAsia="Arial" w:hAnsi="Arial"/>
        </w:rPr>
        <w:t xml:space="preserve">Pardanashin and illiterate persons: </w:t>
      </w:r>
      <w:r>
        <w:rPr>
          <w:sz w:val="22"/>
          <w:szCs w:val="22"/>
          <w:rFonts w:ascii="Arial" w:cs="Arial" w:eastAsia="Arial" w:hAnsi="Arial"/>
        </w:rPr>
        <w:t xml:space="preserve">A pardanashin woman is one who observes seclusion by custom; a contract with her is presumed to be induced by undue influence and the bank must prove that the transaction was explained to her and that she understood it (Sec 16 Contract Act; Kali Bakhsh v. Ram Gopal Singh, 1913; Tara Kumari v. Chandra Mauleshwar Prasad Singh, 1931); the bank should obtain the thumb impression attested by a person who explains the document, and an independent witness; an **illiterate person** is a competent customer, but documents must be read over and explained, the thumb impression attested by a witness known to the bank, a photograph kept, and no cheque book issued (withdrawal forms with the thumb impression in the presence of a bank official); the RBI's guidelines on accounts of visually impaired and illiterate customers (2008) require banks to offer all facilities, including ATM cards with assistance, and forbid discrimination.</w:t>
      </w:r>
    </w:p>
    <w:p>
      <w:pPr>
        <w:spacing w:before="60" w:after="60"/>
        <w:ind w:left="200"/>
      </w:pPr>
      <w:r>
        <w:rPr>
          <w:b/>
          <w:bCs/>
          <w:color w:val="1F4E79"/>
          <w:sz w:val="22"/>
          <w:szCs w:val="22"/>
          <w:rFonts w:ascii="Arial" w:cs="Arial" w:eastAsia="Arial" w:hAnsi="Arial"/>
        </w:rPr>
        <w:t xml:space="preserve">Hindu undivided family: </w:t>
      </w:r>
      <w:r>
        <w:rPr>
          <w:sz w:val="22"/>
          <w:szCs w:val="22"/>
          <w:rFonts w:ascii="Arial" w:cs="Arial" w:eastAsia="Arial" w:hAnsi="Arial"/>
        </w:rPr>
        <w:t xml:space="preserve">The karta (manager) has implied authority to borrow for family necessity or benefit and to bind the family property (Hunooman Persaud Panday v. Mussumat Babooee Munraj Koonweree, 1856 — the lender must inquire into the necessity); the bank takes the account in the karta's name with a declaration by all adult coparceners of the constitution of the family and their concurrence; a coparcener's share may be liable; after the 2005 amendment daughters are coparceners and their signatures are obtained.</w:t>
      </w:r>
    </w:p>
    <w:p>
      <w:pPr>
        <w:spacing w:before="60" w:after="60"/>
        <w:ind w:left="200"/>
      </w:pPr>
      <w:r>
        <w:rPr>
          <w:b/>
          <w:bCs/>
          <w:color w:val="1F4E79"/>
          <w:sz w:val="22"/>
          <w:szCs w:val="22"/>
          <w:rFonts w:ascii="Arial" w:cs="Arial" w:eastAsia="Arial" w:hAnsi="Arial"/>
        </w:rPr>
        <w:t xml:space="preserve">Clubs, societies and associations: </w:t>
      </w:r>
      <w:r>
        <w:rPr>
          <w:sz w:val="22"/>
          <w:szCs w:val="22"/>
          <w:rFonts w:ascii="Arial" w:cs="Arial" w:eastAsia="Arial" w:hAnsi="Arial"/>
        </w:rPr>
        <w:t xml:space="preserve">Unincorporated bodies have no legal personality; the account is opened in the name of the club on the resolution of the managing committee naming the office-bearers who may operate; the bank should not lend without the personal guarantee of the members because the club cannot be sued; registered societies under the Societies Registration Act 1860 sue and are sued through their office-bearers (Sec 6); co-operative societies are bodies corporate.</w:t>
      </w:r>
    </w:p>
    <w:p>
      <w:pPr>
        <w:spacing w:before="60" w:after="60"/>
        <w:ind w:left="200"/>
      </w:pPr>
      <w:r>
        <w:rPr>
          <w:b/>
          <w:bCs/>
          <w:color w:val="1F4E79"/>
          <w:sz w:val="22"/>
          <w:szCs w:val="22"/>
          <w:rFonts w:ascii="Arial" w:cs="Arial" w:eastAsia="Arial" w:hAnsi="Arial"/>
        </w:rPr>
        <w:t xml:space="preserve">Executors and administrators, liquidators, agents: </w:t>
      </w:r>
      <w:r>
        <w:rPr>
          <w:sz w:val="22"/>
          <w:szCs w:val="22"/>
          <w:rFonts w:ascii="Arial" w:cs="Arial" w:eastAsia="Arial" w:hAnsi="Arial"/>
        </w:rPr>
        <w:t xml:space="preserve">The executor's authority flows from the will and the probate, the administrator's from the letters of administration (Sec 211 Indian Succession Act); the account is opened in the name of the estate; the executor may not mix estate money with his own or use it for his personal debt; a liquidator (Sec 290 Companies Act 2013; the Insolvency and Bankruptcy Code) operates the company's account under the tribunal's supervision; an agent operates under a power of attorney which the bank examines for the extent of authority (a power to operate does not include a power to borrow or to overdraw unless expressly given), and the agency terminates on the principal's death or insanity (Sec 201 Contract Act) — the bank stops the account on notice of death.</w:t>
      </w:r>
    </w:p>
    <w:p>
      <w:pPr>
        <w:spacing w:before="60" w:after="60"/>
        <w:ind w:left="200"/>
      </w:pPr>
      <w:r>
        <w:rPr>
          <w:b/>
          <w:bCs/>
          <w:color w:val="1F4E79"/>
          <w:sz w:val="22"/>
          <w:szCs w:val="22"/>
          <w:rFonts w:ascii="Arial" w:cs="Arial" w:eastAsia="Arial" w:hAnsi="Arial"/>
        </w:rPr>
        <w:t xml:space="preserve">Non-resident Indians and foreign nationals: </w:t>
      </w:r>
      <w:r>
        <w:rPr>
          <w:sz w:val="22"/>
          <w:szCs w:val="22"/>
          <w:rFonts w:ascii="Arial" w:cs="Arial" w:eastAsia="Arial" w:hAnsi="Arial"/>
        </w:rPr>
        <w:t xml:space="preserve">Accounts under the Foreign Exchange Management Act 1999 and the FEMA (Deposit) Regulations 2016: Non-Resident (External) Rupee accounts (NRE — repatriable, funded from abroad), Non-Resident Ordinary accounts (NRO — for income earned in India, limited repatriation), Foreign Currency Non-Resident (Bank) accounts (FCNR(B) — term deposits in foreign currency), and Resident Foreign Currency accounts on return; joint accounts with residents are permitted on a 'former or survivor' basis; the bank's authorised-dealer status under Sec 10 FEMA governs; Sec 6 FEMA capital-account transactions require RBI permission.</w:t>
      </w:r>
    </w:p>
    <w:p>
      <w:pPr>
        <w:pBdr>
          <w:left w:val="single" w:color="CC0000" w:sz="6" w:space="8"/>
        </w:pBdr>
        <w:spacing w:before="80" w:after="80"/>
        <w:ind w:left="300"/>
      </w:pPr>
      <w:r>
        <w:rPr>
          <w:b/>
          <w:bCs/>
          <w:color w:val="CC0000"/>
          <w:sz w:val="21"/>
          <w:szCs w:val="21"/>
          <w:rFonts w:ascii="Arial" w:cs="Arial" w:eastAsia="Arial" w:hAnsi="Arial"/>
        </w:rPr>
        <w:t xml:space="preserve">Mohori Bibee v. Dharmodas Ghose (1903) 30 IA 114 — </w:t>
      </w:r>
      <w:r>
        <w:rPr>
          <w:sz w:val="21"/>
          <w:szCs w:val="21"/>
          <w:rFonts w:ascii="Arial" w:cs="Arial" w:eastAsia="Arial" w:hAnsi="Arial"/>
        </w:rPr>
        <w:t xml:space="preserve">A minor's agreement is void ab initio under Sec 11 of the Contract Act; no restitution where the lender knew of the minority; the basis of Sec 26 NI Act and of banks' refusal to lend to minors.</w:t>
      </w:r>
    </w:p>
    <w:p>
      <w:pPr>
        <w:pBdr>
          <w:left w:val="single" w:color="CC0000" w:sz="6" w:space="8"/>
        </w:pBdr>
        <w:spacing w:before="80" w:after="80"/>
        <w:ind w:left="300"/>
      </w:pPr>
      <w:r>
        <w:rPr>
          <w:b/>
          <w:bCs/>
          <w:color w:val="CC0000"/>
          <w:sz w:val="21"/>
          <w:szCs w:val="21"/>
          <w:rFonts w:ascii="Arial" w:cs="Arial" w:eastAsia="Arial" w:hAnsi="Arial"/>
        </w:rPr>
        <w:t xml:space="preserve">Githa Hariharan v. Reserve Bank of India (1999) 2 SCC 228 — </w:t>
      </w:r>
      <w:r>
        <w:rPr>
          <w:sz w:val="21"/>
          <w:szCs w:val="21"/>
          <w:rFonts w:ascii="Arial" w:cs="Arial" w:eastAsia="Arial" w:hAnsi="Arial"/>
        </w:rPr>
        <w:t xml:space="preserve">The mother is a natural guardian of a minor along with the father; the RBI's form requiring only the father's signature to open an account for a minor was unconstitutional; 'after' in Sec 6 of the Hindu Minority and Guardianship Act means 'in the absence of'.</w:t>
      </w:r>
    </w:p>
    <w:p>
      <w:pPr>
        <w:pBdr>
          <w:left w:val="single" w:color="CC0000" w:sz="6" w:space="8"/>
        </w:pBdr>
        <w:spacing w:before="80" w:after="80"/>
        <w:ind w:left="300"/>
      </w:pPr>
      <w:r>
        <w:rPr>
          <w:b/>
          <w:bCs/>
          <w:color w:val="CC0000"/>
          <w:sz w:val="21"/>
          <w:szCs w:val="21"/>
          <w:rFonts w:ascii="Arial" w:cs="Arial" w:eastAsia="Arial" w:hAnsi="Arial"/>
        </w:rPr>
        <w:t xml:space="preserve">Royal British Bank v. Turquand (1856) 6 E&amp;B 327 — </w:t>
      </w:r>
      <w:r>
        <w:rPr>
          <w:sz w:val="21"/>
          <w:szCs w:val="21"/>
          <w:rFonts w:ascii="Arial" w:cs="Arial" w:eastAsia="Arial" w:hAnsi="Arial"/>
        </w:rPr>
        <w:t xml:space="preserve">A person dealing with a company in good faith is entitled to assume that its internal proceedings have been regularly conducted — the doctrine of indoor management on which banks rely when lending on board resolutions.</w:t>
      </w:r>
    </w:p>
    <w:p>
      <w:pPr>
        <w:pBdr>
          <w:left w:val="single" w:color="CC0000" w:sz="6" w:space="8"/>
        </w:pBdr>
        <w:spacing w:before="80" w:after="80"/>
        <w:ind w:left="300"/>
      </w:pPr>
      <w:r>
        <w:rPr>
          <w:b/>
          <w:bCs/>
          <w:color w:val="CC0000"/>
          <w:sz w:val="21"/>
          <w:szCs w:val="21"/>
          <w:rFonts w:ascii="Arial" w:cs="Arial" w:eastAsia="Arial" w:hAnsi="Arial"/>
        </w:rPr>
        <w:t xml:space="preserve">Ram Chander Talwar v. Devender Kumar Talwar (2010) 10 SCC 671 — </w:t>
      </w:r>
      <w:r>
        <w:rPr>
          <w:sz w:val="21"/>
          <w:szCs w:val="21"/>
          <w:rFonts w:ascii="Arial" w:cs="Arial" w:eastAsia="Arial" w:hAnsi="Arial"/>
        </w:rPr>
        <w:t xml:space="preserve">A nominee under Sec 45ZA of the Banking Regulation Act receives the deposit on the depositor's death but does not become its owner; he holds it for the benefit of the legal heirs.</w:t>
      </w:r>
    </w:p>
    <w:p>
      <w:pPr>
        <w:pBdr>
          <w:left w:val="single" w:color="CC0000" w:sz="6" w:space="8"/>
        </w:pBdr>
        <w:spacing w:before="80" w:after="80"/>
        <w:ind w:left="300"/>
      </w:pPr>
      <w:r>
        <w:rPr>
          <w:b/>
          <w:bCs/>
          <w:color w:val="CC0000"/>
          <w:sz w:val="21"/>
          <w:szCs w:val="21"/>
          <w:rFonts w:ascii="Arial" w:cs="Arial" w:eastAsia="Arial" w:hAnsi="Arial"/>
        </w:rPr>
        <w:t xml:space="preserve">Hirschorn v. Evans [1938] 2 KB 801 — </w:t>
      </w:r>
      <w:r>
        <w:rPr>
          <w:sz w:val="21"/>
          <w:szCs w:val="21"/>
          <w:rFonts w:ascii="Arial" w:cs="Arial" w:eastAsia="Arial" w:hAnsi="Arial"/>
        </w:rPr>
        <w:t xml:space="preserve">A joint account cannot be attached by a garnishee order for the separate debt of one of the account-holders.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Account opening is now digital: video-KYC, Aadhaar e-KYC with OTP, DigiLocker documents, e-signature under the IT Act, and the Central KYC Registry mean that the 'introduction' has become an identity-verification record that a court will examine when the Sec 131 negligence question arises. Minors' accounts are opened online with the guardian's video consent; company accounts use MCA-verified board resolutions with digital signatures; and the RBI's 2023 direction on inoperative accounts requires banks to trace dormant customers electronically. Joint-account mandates and nominations are recorded in the core banking system and shown on the app, which is where the Talwar rule — the nominee is a trustee for the heirs — is now most often misunderstood.</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'Minor as a customer', 'Nomination', 'Joint account and survivorship', 'Partner's implied authority and bank accounts', 'Pardanashin woman', 'KYC'. Part B: 'Explain the precautions a banker should take in opening and operating accounts of special customers — minor, partnership, company, trust' — one paragraph each with the governing section (Sec 26 NI, Sec 19 Partnership, Turquand and Sec 77 Companies, Sec 47-48 Trusts) and the Sec 131 negligence link; or 'Describe the kinds of deposit accounts and the law relating to joint accounts'. Part C: a partner deposits a cheque payable to the firm into his personal account — bank negligent under Sec 131; a minor overdraws — irrecoverable; a nominee refuses to share the deposit with the heirs — Talwar; a company borrows beyond Sec 180 limits — voidable, bank should have checked the special resolution.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03 — The Fixed Deposit and the Time-Barred Loan: Set-off, Appropriation and the Garnishee</w:t>
      </w:r>
    </w:p>
    <w:p>
      <w:pPr>
        <w:pStyle w:val="Heading2"/>
        <w:spacing w:before="360" w:after="160"/>
      </w:pPr>
      <w:r>
        <w:rPr>
          <w:b/>
          <w:bCs/>
          <w:color w:val="2E75B6"/>
          <w:sz w:val="26"/>
          <w:szCs w:val="26"/>
          <w:rFonts w:ascii="Arial" w:cs="Arial" w:eastAsia="Arial" w:hAnsi="Arial"/>
        </w:rPr>
        <w:t xml:space="preserve">Covers: The pass book and statements · Overdraft · Bank drafts · Appropriation of payments and the rule in Clayton's case (Sec 59-61 Contract Act) · The right of set-off and combining accounts · Safe custody · Garnishee orders (Order XXI Rule 46, Sec 60 CPC)</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Bihar, 1980s. Surendra Prasad Sinha stood guarantor for a loan taken by a friend from the Punjab National Bank. The friend defaulted, the bank did nothing for years, and the loan became time-barred. Meanwhile Sinha kept a fixed deposit of his own with the same bank. When the deposit matured the bank simply adjusted it against the guaranteed loan and paid him the balance. Sinha filed a criminal complaint against the bank's officers for misappropriation, and the High Court refused to quash it. The Supreme Court in 1992 quashed the prosecution and stated the law on set-off in a paragraph that every banking student memorises: the rule of limitation bars the remedy, not the right; a time-barred debt still exists; and a bank, being a creditor in possession of the debtor's money, may exercise its right of set-off — 'the right of a banker to combine accounts' — even against a time-barred debt, so long as the money is in its hands and the debtor is the same. The guarantor's liability being co-extensive with the principal debtor's, the bank could look to Sinha's deposit. The decision joins a chain that begins with a bank clerk's ledger in London in 1816: Clayton's case, which decides how payments into and out of a running account are appropriated, and which still determines who bears the loss when a partner dies, a guarantee is withdrawn, or a company is wound up. This episode is about the ledger: what the pass book proves, what an overdraft is, how a draft differs from a cheque, how payments are appropriated, when accounts may be combined, and what happens when a court's garnishee order reaches the account.</w:t>
      </w:r>
    </w:p>
    <w:p>
      <w:pPr>
        <w:spacing w:before="240" w:after="120"/>
      </w:pPr>
      <w:r>
        <w:rPr>
          <w:b/>
          <w:bCs/>
          <w:color w:val="404040"/>
          <w:sz w:val="23"/>
          <w:szCs w:val="23"/>
          <w:rFonts w:ascii="Arial" w:cs="Arial" w:eastAsia="Arial" w:hAnsi="Arial"/>
        </w:rPr>
        <w:t xml:space="preserve">The pass book and statements</w:t>
      </w:r>
    </w:p>
    <w:p>
      <w:pPr>
        <w:spacing w:after="120" w:line="300"/>
        <w:jc w:val="both"/>
      </w:pPr>
      <w:r>
        <w:rPr>
          <w:sz w:val="22"/>
          <w:szCs w:val="22"/>
          <w:rFonts w:ascii="Arial" w:cs="Arial" w:eastAsia="Arial" w:hAnsi="Arial"/>
        </w:rPr>
        <w:t xml:space="preserve">The pass book (now the statement of account, e-mail statement or app) is the bank's record of the account delivered to the customer. Its entries are </w:t>
      </w:r>
      <w:r>
        <w:rPr>
          <w:b/>
          <w:bCs/>
          <w:sz w:val="22"/>
          <w:szCs w:val="22"/>
          <w:rFonts w:ascii="Arial" w:cs="Arial" w:eastAsia="Arial" w:hAnsi="Arial"/>
        </w:rPr>
        <w:t xml:space="preserve">not conclusive</w:t>
      </w:r>
      <w:r>
        <w:rPr>
          <w:sz w:val="22"/>
          <w:szCs w:val="22"/>
          <w:rFonts w:ascii="Arial" w:cs="Arial" w:eastAsia="Arial" w:hAnsi="Arial"/>
        </w:rPr>
        <w:t xml:space="preserve">: the bank may correct an erroneous credit (though not, without notice, where the customer has altered his position in reliance — Holland v. Manchester and Liverpool District Banking Co., 1909; Skyring v. Greenwood, 1825 — an army agent who over-credited an officer for years could not recover after the officer had spent it; in India, Union Bank of India v. A.P. Bhonsle, 2004 Bombay? — banks may reverse wrong credits promptly) and the customer is not bound by a wrong debit merely because he did not object (the Canara Bank rule); under the </w:t>
      </w:r>
      <w:r>
        <w:rPr>
          <w:b/>
          <w:bCs/>
          <w:sz w:val="22"/>
          <w:szCs w:val="22"/>
          <w:rFonts w:ascii="Arial" w:cs="Arial" w:eastAsia="Arial" w:hAnsi="Arial"/>
        </w:rPr>
        <w:t xml:space="preserve">Bankers' Books Evidence Act 1891</w:t>
      </w:r>
      <w:r>
        <w:rPr>
          <w:sz w:val="22"/>
          <w:szCs w:val="22"/>
          <w:rFonts w:ascii="Arial" w:cs="Arial" w:eastAsia="Arial" w:hAnsi="Arial"/>
        </w:rPr>
        <w:t xml:space="preserve"> a certified copy of an entry in a banker's book, including entries in electronic form (Sec 2(8), 2000 amendment), is prima facie evidence of the entry and of the matters recorded (Sec 4), and a bank need not produce the original books unless the court orders (Sec 5-6). A pass book entry may be an admission by the bank of the amount owed (Sec 18 Evidence Act) and may be an </w:t>
      </w:r>
      <w:r>
        <w:rPr>
          <w:b/>
          <w:bCs/>
          <w:sz w:val="22"/>
          <w:szCs w:val="22"/>
          <w:rFonts w:ascii="Arial" w:cs="Arial" w:eastAsia="Arial" w:hAnsi="Arial"/>
        </w:rPr>
        <w:t xml:space="preserve">acknowledgment</w:t>
      </w:r>
      <w:r>
        <w:rPr>
          <w:sz w:val="22"/>
          <w:szCs w:val="22"/>
          <w:rFonts w:ascii="Arial" w:cs="Arial" w:eastAsia="Arial" w:hAnsi="Arial"/>
        </w:rPr>
        <w:t xml:space="preserve"> under Sec 18 of the Limitation Act if signed by the bank's officer. The customer's duty to examine the statement is not recognised in India as a duty whose breach shifts the loss of a forgery to him (Canara Bank v. Canara Sales Corporation), but prolonged silence with knowledge may found an estoppel.</w:t>
      </w:r>
    </w:p>
    <w:p>
      <w:pPr>
        <w:spacing w:before="240" w:after="120"/>
      </w:pPr>
      <w:r>
        <w:rPr>
          <w:b/>
          <w:bCs/>
          <w:color w:val="404040"/>
          <w:sz w:val="23"/>
          <w:szCs w:val="23"/>
          <w:rFonts w:ascii="Arial" w:cs="Arial" w:eastAsia="Arial" w:hAnsi="Arial"/>
        </w:rPr>
        <w:t xml:space="preserve">Overdraft</w:t>
      </w:r>
    </w:p>
    <w:p>
      <w:pPr>
        <w:spacing w:after="120" w:line="300"/>
        <w:jc w:val="both"/>
      </w:pPr>
      <w:r>
        <w:rPr>
          <w:sz w:val="22"/>
          <w:szCs w:val="22"/>
          <w:rFonts w:ascii="Arial" w:cs="Arial" w:eastAsia="Arial" w:hAnsi="Arial"/>
        </w:rPr>
        <w:t xml:space="preserve">An overdraft is a facility on a current account allowing the customer to draw beyond his credit balance up to an agreed limit; it is a loan repayable on demand (unless a period is agreed), attracts interest on the daily debit balance, and is usually secured; an unauthorised overdraft is a debt the bank may recover, and the bank's honouring of a cheque beyond the balance is a loan by implication, though the bank is not bound to honour it (Sec 31 — 'sufficient funds'); the RBI's guidelines on cash credit and overdraft (the Working Capital norms after the Tandon and Chore Committees, the loan system for delivery of bank credit, the 2018 guidelines on the drawing power) and the interest-rate framework (the marginal cost of funds based lending rate, then the external benchmark) apply; the limitation for a suit on an overdraft runs from the demand or, in a running account, from the last acknowledged balance (Art 1 — three years from the close of the year of the last item admitted, for a mutual, open and current account); interest is charged with periodic rests by usage (Central Bank of India v. Ravindra, 2001). Cash credit differs: a separate account with a limit against the security of stock or book debts, drawn as needed; a term loan is repayable by instalments; the three are the basic forms of bank advance.</w:t>
      </w:r>
    </w:p>
    <w:p>
      <w:pPr>
        <w:spacing w:before="240" w:after="120"/>
      </w:pPr>
      <w:r>
        <w:rPr>
          <w:b/>
          <w:bCs/>
          <w:color w:val="404040"/>
          <w:sz w:val="23"/>
          <w:szCs w:val="23"/>
          <w:rFonts w:ascii="Arial" w:cs="Arial" w:eastAsia="Arial" w:hAnsi="Arial"/>
        </w:rPr>
        <w:t xml:space="preserve">Bank drafts and the appropriation of payments</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demand draft</w:t>
      </w:r>
      <w:r>
        <w:rPr>
          <w:sz w:val="22"/>
          <w:szCs w:val="22"/>
          <w:rFonts w:ascii="Arial" w:cs="Arial" w:eastAsia="Arial" w:hAnsi="Arial"/>
        </w:rPr>
        <w:t xml:space="preserve"> is an order to pay money drawn by one office of a bank on another office of the same bank (Sec 85A NI Act, 1930 — 'a draft drawn by one office of a bank upon another office of the same bank for a sum of money payable to order on demand'); it is a bill of exchange, not a cheque, though Sec 85A extends the paying banker's protection to drafts; it cannot be countermanded by the purchaser once delivered to the payee because the bank is both drawer and drawee and has received the consideration (the purchaser may request a stop before delivery, and the RBI's guidelines govern lost drafts and duplicates); it is payable on demand, may be crossed, and is a safer remittance than a cheque because the bank's own solvency stands behind it; a draft obtained by fraud on the bank may be stopped. </w:t>
      </w:r>
      <w:r>
        <w:rPr>
          <w:b/>
          <w:bCs/>
          <w:sz w:val="22"/>
          <w:szCs w:val="22"/>
          <w:rFonts w:ascii="Arial" w:cs="Arial" w:eastAsia="Arial" w:hAnsi="Arial"/>
        </w:rPr>
        <w:t xml:space="preserve">Appropriation of payments — Sec 59-61 of the Contract Act:</w:t>
      </w:r>
      <w:r>
        <w:rPr>
          <w:sz w:val="22"/>
          <w:szCs w:val="22"/>
          <w:rFonts w:ascii="Arial" w:cs="Arial" w:eastAsia="Arial" w:hAnsi="Arial"/>
        </w:rPr>
        <w:t xml:space="preserve"> where a debtor owes several distinct debts to one creditor and makes a payment with an express or implied intimation that it is to be applied to a particular debt, it must be so applied (Sec 59); where the debtor does not intimate, the creditor may apply it at his discretion to any lawful debt actually due, even a time-barred one (Sec 60); where neither appropriates, the payment is applied in discharge of the debts in order of time, whether or not they are time-barred, and if of equal date, proportionately (Sec 61). </w:t>
      </w:r>
      <w:r>
        <w:rPr>
          <w:b/>
          <w:bCs/>
          <w:sz w:val="22"/>
          <w:szCs w:val="22"/>
          <w:rFonts w:ascii="Arial" w:cs="Arial" w:eastAsia="Arial" w:hAnsi="Arial"/>
        </w:rPr>
        <w:t xml:space="preserve">The rule in Clayton's case (Devaynes v. Noble, 1816):</w:t>
      </w:r>
      <w:r>
        <w:rPr>
          <w:sz w:val="22"/>
          <w:szCs w:val="22"/>
          <w:rFonts w:ascii="Arial" w:cs="Arial" w:eastAsia="Arial" w:hAnsi="Arial"/>
        </w:rPr>
        <w:t xml:space="preserve"> in a running current account, in the absence of appropriation by either party, the first item on the debit side is discharged by the first item on the credit side — first in, first out. Consequences: on the death of a partner, the retirement of a guarantor, the notice of a second mortgage, or the customer's insolvency, the bank must </w:t>
      </w:r>
      <w:r>
        <w:rPr>
          <w:b/>
          <w:bCs/>
          <w:sz w:val="22"/>
          <w:szCs w:val="22"/>
          <w:rFonts w:ascii="Arial" w:cs="Arial" w:eastAsia="Arial" w:hAnsi="Arial"/>
        </w:rPr>
        <w:t xml:space="preserve">stop the account</w:t>
      </w:r>
      <w:r>
        <w:rPr>
          <w:sz w:val="22"/>
          <w:szCs w:val="22"/>
          <w:rFonts w:ascii="Arial" w:cs="Arial" w:eastAsia="Arial" w:hAnsi="Arial"/>
        </w:rPr>
        <w:t xml:space="preserve"> (rule off the old account and open a new one); if it continues the old account, subsequent credits will be treated as paying off the old (secured or guaranteed) debt, and subsequent debits will create a new, unsecured debt (Deeley v. Lloyds Bank, 1912 — the bank that continued a single account after notice of a second mortgage lost the priority of its first mortgage). Indian courts apply Clayton's case as a rule of presumed intention, not an absolute rule (Bank of India v. Mehta Brothers, 1990? — the Supreme Court in Industrial Credit and Development Syndicate v. Smithaben H. Patel, 1999, held Sec 60-61 permit the creditor to appropriate first towards interest and then principal unless the contract provides otherwise; Gurpreet Singh v. Union of India, 2006 — the same principle applied to decrees; Meghraj v. Bayabai, 1969 — appropriation first to interest); a guarantor is discharged pro tanto by credits after the guarantee is withdrawn if the bank has not stopped the account.</w:t>
      </w:r>
    </w:p>
    <w:p>
      <w:pPr>
        <w:spacing w:before="240" w:after="120"/>
      </w:pPr>
      <w:r>
        <w:rPr>
          <w:b/>
          <w:bCs/>
          <w:color w:val="404040"/>
          <w:sz w:val="23"/>
          <w:szCs w:val="23"/>
          <w:rFonts w:ascii="Arial" w:cs="Arial" w:eastAsia="Arial" w:hAnsi="Arial"/>
        </w:rPr>
        <w:t xml:space="preserve">Set-off and combining accounts</w:t>
      </w:r>
    </w:p>
    <w:p>
      <w:pPr>
        <w:spacing w:after="120" w:line="300"/>
        <w:jc w:val="both"/>
      </w:pPr>
      <w:r>
        <w:rPr>
          <w:sz w:val="22"/>
          <w:szCs w:val="22"/>
          <w:rFonts w:ascii="Arial" w:cs="Arial" w:eastAsia="Arial" w:hAnsi="Arial"/>
        </w:rPr>
        <w:t xml:space="preserve">The </w:t>
      </w:r>
      <w:r>
        <w:rPr>
          <w:b/>
          <w:bCs/>
          <w:sz w:val="22"/>
          <w:szCs w:val="22"/>
          <w:rFonts w:ascii="Arial" w:cs="Arial" w:eastAsia="Arial" w:hAnsi="Arial"/>
        </w:rPr>
        <w:t xml:space="preserve">right of set-off</w:t>
      </w:r>
      <w:r>
        <w:rPr>
          <w:sz w:val="22"/>
          <w:szCs w:val="22"/>
          <w:rFonts w:ascii="Arial" w:cs="Arial" w:eastAsia="Arial" w:hAnsi="Arial"/>
        </w:rPr>
        <w:t xml:space="preserve"> is the banker's right to adjust a debit balance in one account against a credit balance in another account of the same customer in the same right, so as to arrive at the net sum due — a species of the general right of a creditor in possession, recognised as an incident of the banker-customer relationship (Garnett v. McKewan, 1872 — the bank could dishonour a cheque drawn on one branch account because the customer's account at another branch was overdrawn; the customer must ask for the combined position; Halesowen Presswork and Assemblies v. National Westminster Bank, 1972 — the right exists unless excluded by agreement, and cannot be excluded on insolvency). Conditions: the accounts must be in the same name and in the same right (no set-off between a personal account and a trust or partnership account, nor between a joint account and an individual debt, nor between a customer's account and a debt due from him as guarantor unless the guarantee is called — but see Surendra Prasad Sinha); the debts must be mutual and ascertained; the debt must be due (a term loan not yet due cannot be set off against a deposit, unless the agreement so provides or the customer is insolvent); the bank should give notice, though notice is not required where the customer's cheque would otherwise be dishonoured or on his insolvency or death; the right may be varied by agreement (a letter of set-off or a lien letter is usually taken); a time-barred debt may be set off (Punjab National Bank v. Surendra Prasad Sinha, 1992). Statutory recognition: the Banking Regulation Act does not codify it, but Order VIII Rule 6 CPC allows legal set-off in a suit and equity permits set-off of connected claims; the Insolvency and Bankruptcy Code Sec 36(4)? — mutual dealings and set-off under the Insolvency and Bankruptcy Board's regulations (Regulation 29) preserve the bank's set-off in liquidation. </w:t>
      </w:r>
      <w:r>
        <w:rPr>
          <w:b/>
          <w:bCs/>
          <w:sz w:val="22"/>
          <w:szCs w:val="22"/>
          <w:rFonts w:ascii="Arial" w:cs="Arial" w:eastAsia="Arial" w:hAnsi="Arial"/>
        </w:rPr>
        <w:t xml:space="preserve">Combining accounts</w:t>
      </w:r>
      <w:r>
        <w:rPr>
          <w:sz w:val="22"/>
          <w:szCs w:val="22"/>
          <w:rFonts w:ascii="Arial" w:cs="Arial" w:eastAsia="Arial" w:hAnsi="Arial"/>
        </w:rPr>
        <w:t xml:space="preserve"> is the same right described from the other side: the bank may treat several accounts as one and refuse to honour a cheque on account A while account B is overdrawn beyond the combined balance — but it cannot combine accounts held in different rights, and an agreement to keep accounts separate (e.g. a loan account to be repaid by instalments) suspends the right until default. The customer has no corresponding right to insist on combination: he cannot draw on account A against a balance in a fixed deposit or a term account unless agreed.</w:t>
      </w:r>
    </w:p>
    <w:p>
      <w:pPr>
        <w:spacing w:before="240" w:after="120"/>
      </w:pPr>
      <w:r>
        <w:rPr>
          <w:b/>
          <w:bCs/>
          <w:color w:val="404040"/>
          <w:sz w:val="23"/>
          <w:szCs w:val="23"/>
          <w:rFonts w:ascii="Arial" w:cs="Arial" w:eastAsia="Arial" w:hAnsi="Arial"/>
        </w:rPr>
        <w:t xml:space="preserve">Safe custody</w:t>
      </w:r>
    </w:p>
    <w:p>
      <w:pPr>
        <w:spacing w:after="120" w:line="300"/>
        <w:jc w:val="both"/>
      </w:pPr>
      <w:r>
        <w:rPr>
          <w:sz w:val="22"/>
          <w:szCs w:val="22"/>
          <w:rFonts w:ascii="Arial" w:cs="Arial" w:eastAsia="Arial" w:hAnsi="Arial"/>
        </w:rPr>
        <w:t xml:space="preserve">A bank receiving valuables for safe custody is a </w:t>
      </w:r>
      <w:r>
        <w:rPr>
          <w:b/>
          <w:bCs/>
          <w:sz w:val="22"/>
          <w:szCs w:val="22"/>
          <w:rFonts w:ascii="Arial" w:cs="Arial" w:eastAsia="Arial" w:hAnsi="Arial"/>
        </w:rPr>
        <w:t xml:space="preserve">bailee</w:t>
      </w:r>
      <w:r>
        <w:rPr>
          <w:sz w:val="22"/>
          <w:szCs w:val="22"/>
          <w:rFonts w:ascii="Arial" w:cs="Arial" w:eastAsia="Arial" w:hAnsi="Arial"/>
        </w:rPr>
        <w:t xml:space="preserve"> (Sec 148 Contract Act) bound to take reasonable care (Sec 151) and to return the goods to the bailor or according to his directions (Sec 160-161); it is liable for loss by its negligence or that of its servants, and for wrongful delivery to a person other than the bailor (conversion), even in good faith; it may charge a fee; it has no lien on the articles for the customer's general indebtedness (Sec 171 — general lien attaches only to securities deposited with the bank as a banker, not to articles left for safe keeping — Brandao v. Barnett, 1846; Sec 174 — the bailee's particular lien for charges applies); joint deposits are delivered on the joint mandate; on the death of the depositor the bank delivers to the legal representatives on production of probate or succession certificate, or under a nomination (Sec 45ZC-45ZE BR Act — nomination for articles in safe custody and for lockers); sealed packets are received without knowledge of the contents, which limits the standard of care to the packet. </w:t>
      </w:r>
      <w:r>
        <w:rPr>
          <w:b/>
          <w:bCs/>
          <w:sz w:val="22"/>
          <w:szCs w:val="22"/>
          <w:rFonts w:ascii="Arial" w:cs="Arial" w:eastAsia="Arial" w:hAnsi="Arial"/>
        </w:rPr>
        <w:t xml:space="preserve">Lockers</w:t>
      </w:r>
      <w:r>
        <w:rPr>
          <w:sz w:val="22"/>
          <w:szCs w:val="22"/>
          <w:rFonts w:ascii="Arial" w:cs="Arial" w:eastAsia="Arial" w:hAnsi="Arial"/>
        </w:rPr>
        <w:t xml:space="preserve"> are hired under a lease with the bank as lessor (Amitabha Dasgupta, 2021, and the RBI's Safe Deposit Locker guidelines 2021 — a model agreement, the bank's liability for its own negligence up to one hundred times the annual rent, a register of access, and the bank's right to break open a locker for non-payment of rent after notice).</w:t>
      </w:r>
    </w:p>
    <w:p>
      <w:pPr>
        <w:spacing w:before="240" w:after="120"/>
      </w:pPr>
      <w:r>
        <w:rPr>
          <w:b/>
          <w:bCs/>
          <w:color w:val="404040"/>
          <w:sz w:val="23"/>
          <w:szCs w:val="23"/>
          <w:rFonts w:ascii="Arial" w:cs="Arial" w:eastAsia="Arial" w:hAnsi="Arial"/>
        </w:rPr>
        <w:t xml:space="preserve">Garnishee orders</w:t>
      </w:r>
    </w:p>
    <w:p>
      <w:pPr>
        <w:spacing w:after="120" w:line="300"/>
        <w:jc w:val="both"/>
      </w:pPr>
      <w:r>
        <w:rPr>
          <w:sz w:val="22"/>
          <w:szCs w:val="22"/>
          <w:rFonts w:ascii="Arial" w:cs="Arial" w:eastAsia="Arial" w:hAnsi="Arial"/>
        </w:rPr>
        <w:t xml:space="preserve">A garnishee order is an order of a court, obtained by a judgment-creditor, attaching a debt due from a third person (the garnishee) to the judgment-debtor; a bank that owes its customer the credit balance is the garnishee. Under </w:t>
      </w:r>
      <w:r>
        <w:rPr>
          <w:b/>
          <w:bCs/>
          <w:sz w:val="22"/>
          <w:szCs w:val="22"/>
          <w:rFonts w:ascii="Arial" w:cs="Arial" w:eastAsia="Arial" w:hAnsi="Arial"/>
        </w:rPr>
        <w:t xml:space="preserve">Order XXI Rules 46 and 46A-46I CPC</w:t>
      </w:r>
      <w:r>
        <w:rPr>
          <w:sz w:val="22"/>
          <w:szCs w:val="22"/>
          <w:rFonts w:ascii="Arial" w:cs="Arial" w:eastAsia="Arial" w:hAnsi="Arial"/>
        </w:rPr>
        <w:t xml:space="preserve"> the court first issues a </w:t>
      </w:r>
      <w:r>
        <w:rPr>
          <w:b/>
          <w:bCs/>
          <w:sz w:val="22"/>
          <w:szCs w:val="22"/>
          <w:rFonts w:ascii="Arial" w:cs="Arial" w:eastAsia="Arial" w:hAnsi="Arial"/>
        </w:rPr>
        <w:t xml:space="preserve">prohibitory order</w:t>
      </w:r>
      <w:r>
        <w:rPr>
          <w:sz w:val="22"/>
          <w:szCs w:val="22"/>
          <w:rFonts w:ascii="Arial" w:cs="Arial" w:eastAsia="Arial" w:hAnsi="Arial"/>
        </w:rPr>
        <w:t xml:space="preserve"> (order nisi) restraining the bank from paying the debt and the customer from receiving it, and calling on the bank to show cause; then, if no cause is shown, an </w:t>
      </w:r>
      <w:r>
        <w:rPr>
          <w:b/>
          <w:bCs/>
          <w:sz w:val="22"/>
          <w:szCs w:val="22"/>
          <w:rFonts w:ascii="Arial" w:cs="Arial" w:eastAsia="Arial" w:hAnsi="Arial"/>
        </w:rPr>
        <w:t xml:space="preserve">order absolute</w:t>
      </w:r>
      <w:r>
        <w:rPr>
          <w:sz w:val="22"/>
          <w:szCs w:val="22"/>
          <w:rFonts w:ascii="Arial" w:cs="Arial" w:eastAsia="Arial" w:hAnsi="Arial"/>
        </w:rPr>
        <w:t xml:space="preserve"> directing the bank to pay the amount into court. Rules: the order attaches only the balance actually standing to the customer's credit at the moment of service (Rogers v. Whiteley, 1892 — the whole balance is attached if the order does not specify a sum, so the bank must dishonour every subsequent cheque, even for small amounts; a later Indian practice, endorsed by the RBI, is that the bank may seek clarification and attach only the decretal amount if the order so limits); credits received after service are not attached (Heppenstall v. Jackson, 1939); cheques paid in for collection but not yet cleared are not attached; the order does not attach a fixed deposit not yet due unless the court so directs (the debt must be due or accruing due — a term deposit is 'accruing due' and attachable subject to maturity); a joint account cannot be attached for one holder's debt (Hirschorn v. Evans); a trust account cannot be attached for the trustee's debt; an account in a different right (partnership, HUF) is not the judgment-debtor's; property exempt under </w:t>
      </w:r>
      <w:r>
        <w:rPr>
          <w:b/>
          <w:bCs/>
          <w:sz w:val="22"/>
          <w:szCs w:val="22"/>
          <w:rFonts w:ascii="Arial" w:cs="Arial" w:eastAsia="Arial" w:hAnsi="Arial"/>
        </w:rPr>
        <w:t xml:space="preserve">Sec 60 CPC</w:t>
      </w:r>
      <w:r>
        <w:rPr>
          <w:sz w:val="22"/>
          <w:szCs w:val="22"/>
          <w:rFonts w:ascii="Arial" w:cs="Arial" w:eastAsia="Arial" w:hAnsi="Arial"/>
        </w:rPr>
        <w:t xml:space="preserve"> — salary to the extent of the first one thousand rupees and two-thirds of the remainder, pensions, provident fund, life-insurance money — is not attachable even when it lies in the bank account? — the Supreme Court in Radhey Shyam Gupta v. Punjab National Bank (2009)? — the rule is that pension and provident fund money retain their exempt character in the bank account until the exemption is lost by mixing (Union of India v. Wing Commander R.R. Hingorani, 1987 — pension in the bank is not attachable; Radhey Shyam Gupta v. Punjab National Bank, 2009 — gratuity and retiral benefits credited to a bank account are exempt from attachment as they retain their character); the bank must obey the order and pay into court, and is discharged by the payment (Rule 46F); if the bank disputes liability the court tries the question (Rule 46C); the bank may set off its own dues before complying only if the set-off was exercised before service or the accounts were combined by agreement; the customer's insolvency after the order nisi but before the order absolute defeats the attachment in favour of the general body of creditors. The Income-tax Act (Sec 226(3)) and the GST law allow tax authorities to issue similar notices directly to banks, and the RBI's 2005? guidelines require banks to act on attachment orders of income-tax and court authorities and inform the customer.</w:t>
      </w:r>
    </w:p>
    <w:p>
      <w:pPr>
        <w:pBdr>
          <w:left w:val="single" w:color="CC0000" w:sz="6" w:space="8"/>
        </w:pBdr>
        <w:spacing w:before="80" w:after="80"/>
        <w:ind w:left="300"/>
      </w:pPr>
      <w:r>
        <w:rPr>
          <w:b/>
          <w:bCs/>
          <w:color w:val="CC0000"/>
          <w:sz w:val="21"/>
          <w:szCs w:val="21"/>
          <w:rFonts w:ascii="Arial" w:cs="Arial" w:eastAsia="Arial" w:hAnsi="Arial"/>
        </w:rPr>
        <w:t xml:space="preserve">Devaynes v. Noble (Clayton's Case) (1816) 1 Mer 572 — </w:t>
      </w:r>
      <w:r>
        <w:rPr>
          <w:sz w:val="21"/>
          <w:szCs w:val="21"/>
          <w:rFonts w:ascii="Arial" w:cs="Arial" w:eastAsia="Arial" w:hAnsi="Arial"/>
        </w:rPr>
        <w:t xml:space="preserve">In a running account, absent appropriation, payments in are applied to the earliest debits — first in, first out; the reason banks rule off accounts on the death or retirement of a partner or guarantor.</w:t>
      </w:r>
    </w:p>
    <w:p>
      <w:pPr>
        <w:pBdr>
          <w:left w:val="single" w:color="CC0000" w:sz="6" w:space="8"/>
        </w:pBdr>
        <w:spacing w:before="80" w:after="80"/>
        <w:ind w:left="300"/>
      </w:pPr>
      <w:r>
        <w:rPr>
          <w:b/>
          <w:bCs/>
          <w:color w:val="CC0000"/>
          <w:sz w:val="21"/>
          <w:szCs w:val="21"/>
          <w:rFonts w:ascii="Arial" w:cs="Arial" w:eastAsia="Arial" w:hAnsi="Arial"/>
        </w:rPr>
        <w:t xml:space="preserve">Garnett v. McKewan (1872) LR 8 Ex 10 — </w:t>
      </w:r>
      <w:r>
        <w:rPr>
          <w:sz w:val="21"/>
          <w:szCs w:val="21"/>
          <w:rFonts w:ascii="Arial" w:cs="Arial" w:eastAsia="Arial" w:hAnsi="Arial"/>
        </w:rPr>
        <w:t xml:space="preserve">A bank may combine a customer's accounts at different branches and dishonour a cheque on one where the other is overdrawn, without notice; the customer must inquire into the combined position.</w:t>
      </w:r>
    </w:p>
    <w:p>
      <w:pPr>
        <w:pBdr>
          <w:left w:val="single" w:color="CC0000" w:sz="6" w:space="8"/>
        </w:pBdr>
        <w:spacing w:before="80" w:after="80"/>
        <w:ind w:left="300"/>
      </w:pPr>
      <w:r>
        <w:rPr>
          <w:b/>
          <w:bCs/>
          <w:color w:val="CC0000"/>
          <w:sz w:val="21"/>
          <w:szCs w:val="21"/>
          <w:rFonts w:ascii="Arial" w:cs="Arial" w:eastAsia="Arial" w:hAnsi="Arial"/>
        </w:rPr>
        <w:t xml:space="preserve">Punjab National Bank v. Surendra Prasad Sinha 1992 Supp (1) SCC 499 — </w:t>
      </w:r>
      <w:r>
        <w:rPr>
          <w:sz w:val="21"/>
          <w:szCs w:val="21"/>
          <w:rFonts w:ascii="Arial" w:cs="Arial" w:eastAsia="Arial" w:hAnsi="Arial"/>
        </w:rPr>
        <w:t xml:space="preserve">Limitation bars the remedy, not the right; a bank may set off a customer's deposit against a time-barred debt, including one guaranteed by him; the criminal complaint against the officers was quashed.</w:t>
      </w:r>
    </w:p>
    <w:p>
      <w:pPr>
        <w:pBdr>
          <w:left w:val="single" w:color="CC0000" w:sz="6" w:space="8"/>
        </w:pBdr>
        <w:spacing w:before="80" w:after="80"/>
        <w:ind w:left="300"/>
      </w:pPr>
      <w:r>
        <w:rPr>
          <w:b/>
          <w:bCs/>
          <w:color w:val="CC0000"/>
          <w:sz w:val="21"/>
          <w:szCs w:val="21"/>
          <w:rFonts w:ascii="Arial" w:cs="Arial" w:eastAsia="Arial" w:hAnsi="Arial"/>
        </w:rPr>
        <w:t xml:space="preserve">Rogers v. Whiteley [1892] AC 118 — </w:t>
      </w:r>
      <w:r>
        <w:rPr>
          <w:sz w:val="21"/>
          <w:szCs w:val="21"/>
          <w:rFonts w:ascii="Arial" w:cs="Arial" w:eastAsia="Arial" w:hAnsi="Arial"/>
        </w:rPr>
        <w:t xml:space="preserve">A garnishee order attaches the whole credit balance at the time of service unless limited to a sum; the bank must refuse cheques thereafter.</w:t>
      </w:r>
    </w:p>
    <w:p>
      <w:pPr>
        <w:pBdr>
          <w:left w:val="single" w:color="CC0000" w:sz="6" w:space="8"/>
        </w:pBdr>
        <w:spacing w:before="80" w:after="80"/>
        <w:ind w:left="300"/>
      </w:pPr>
      <w:r>
        <w:rPr>
          <w:b/>
          <w:bCs/>
          <w:color w:val="CC0000"/>
          <w:sz w:val="21"/>
          <w:szCs w:val="21"/>
          <w:rFonts w:ascii="Arial" w:cs="Arial" w:eastAsia="Arial" w:hAnsi="Arial"/>
        </w:rPr>
        <w:t xml:space="preserve">Radhey Shyam Gupta v. Punjab National Bank (2009) 1 SCC 376 — </w:t>
      </w:r>
      <w:r>
        <w:rPr>
          <w:sz w:val="21"/>
          <w:szCs w:val="21"/>
          <w:rFonts w:ascii="Arial" w:cs="Arial" w:eastAsia="Arial" w:hAnsi="Arial"/>
        </w:rPr>
        <w:t xml:space="preserve">Retiral benefits such as gratuity and provident fund deposited in a bank account retain their exempt character under Sec 60 CPC and cannot be attached or set off against the retired employee's guarantee liability.</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Garnishee and attachment orders now reach the bank as electronic notices under the income-tax and GST portals and, for court orders, through e-mail service under Order V Rule 9 with the bank's compliance filed online; the RBI's 2023 directions require freezing only the amount stated in the order. Set-off is exercised by automated 'sweep' and 'lien marking' in core banking systems — an FDR lien marked electronically has the same effect as the letter of set-off, and a court will ask whether the lien was marked before or after the garnishee order or the customer's death. Statements are electronic and the Bankers' Books Evidence Act's 2000 amendment makes a print-out with a Sec 2A certificate the 'certified copy'. Clayton's rule is applied by software when a guarantor's limit is withdrawn: the bank freezes the old account and opens a new one in the system on the same day.</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'Clayton's case', 'Right of set-off', 'Garnishee order', 'Bank draft vs cheque', 'Overdraft', 'Pass book entries as evidence'. Part B: 'Explain the banker's right of set-off and the conditions for its exercise, with reference to Surendra Prasad Sinha' — definition, Garnett v McKewan, the five conditions, the time-barred debt point, exclusions (different rights, trust, joint), the letter of set-off; or 'Discuss the rules of appropriation of payments under the Contract Act and the rule in Clayton's case and its application to banking'; or 'What is a garnishee order? Explain its effect on the banker'. Part C: a bank dishonours a cheque on the current account because the customer's loan instalment is overdue in another account — permissible only if the loan is due and the accounts are in the same right (set-off), otherwise wrongful dishonour; a garnishee order for ten thousand rupees is served on a bank holding fifty thousand — attach the decretal amount if the order limits it, else Rogers v Whiteley; a guarantor withdraws his guarantee and the bank continues the account — Clayton's rule reduces the guaranteed debt by later credits (Deeley).</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04 — The Banker's Lien on the Fixed Deposit: Securities for Advances</w:t>
      </w:r>
    </w:p>
    <w:p>
      <w:pPr>
        <w:pStyle w:val="Heading2"/>
        <w:spacing w:before="360" w:after="160"/>
      </w:pPr>
      <w:r>
        <w:rPr>
          <w:b/>
          <w:bCs/>
          <w:color w:val="2E75B6"/>
          <w:sz w:val="26"/>
          <w:szCs w:val="26"/>
          <w:rFonts w:ascii="Arial" w:cs="Arial" w:eastAsia="Arial" w:hAnsi="Arial"/>
        </w:rPr>
        <w:t xml:space="preserve">Covers: The banker's general lien (Sec 171 Contract Act) · Pledge (Sec 172-179) · Guarantee (Sec 126-147) · Documents of title to goods — bill of lading, dock warrant, warehouse-keeper's certificate, delivery order, railway receipt · Letters of credit and bank guarantees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1992. Vijay Kumar, a partner of Vijay Kumar and Co., had taken a loan from Syndicate Bank and the firm had also given fixed deposit receipts to the bank as security for a guarantee the bank had issued on its behalf. When the guarantee was invoked and the firm defaulted, the bank refused to release the fixed deposits and adjusted them. Vijay Kumar argued that the bank had no lien on a fixed deposit — that a fixed deposit was not a 'security' deposited with the bank but the bank's own debt to him, and Section 171 could not apply. The Supreme Court disagreed and explained the banker's general lien as it stands in Indian law: Section 171 gives a banker, in the absence of a contract to the contrary, a general lien on all securities deposited with him as a banker, for the general balance of the account; a fixed deposit receipt handed over to the bank as security is such a security; the lien extends to the money represented by it; and the lien is more than a right to retain — because the bank is a creditor in possession of the customer's own money, the lien combined with the right of set-off allows the bank to appropriate. The bank kept the deposits. This episode is about the securities on which banks lend: the lien that arises without any agreement, the pledge of goods and documents that the Contract Act regulates, the guarantee that makes a third person answerable, the documents of title that let goods in transit be pledged by handing over a piece of paper, and the two instruments — the letter of credit and the bank guarantee — by which banks lend their own credit to trade.</w:t>
      </w:r>
    </w:p>
    <w:p>
      <w:pPr>
        <w:spacing w:before="240" w:after="120"/>
      </w:pPr>
      <w:r>
        <w:rPr>
          <w:b/>
          <w:bCs/>
          <w:color w:val="404040"/>
          <w:sz w:val="23"/>
          <w:szCs w:val="23"/>
          <w:rFonts w:ascii="Arial" w:cs="Arial" w:eastAsia="Arial" w:hAnsi="Arial"/>
        </w:rPr>
        <w:t xml:space="preserve">The banker's general lien — Sec 171 Contract Act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171:</w:t>
      </w:r>
      <w:r>
        <w:rPr>
          <w:sz w:val="22"/>
          <w:szCs w:val="22"/>
          <w:rFonts w:ascii="Arial" w:cs="Arial" w:eastAsia="Arial" w:hAnsi="Arial"/>
        </w:rPr>
        <w:t xml:space="preserve"> bankers, factors, wharfingers, attorneys of a High Court and policy-brokers may, in the absence of a contract to the contrary, retain as a security for a general balance of account any goods bailed to them; no other persons have a right to retain goods bailed to them as security for such balance unless there is an express contract to that effect. A </w:t>
      </w:r>
      <w:r>
        <w:rPr>
          <w:b/>
          <w:bCs/>
          <w:sz w:val="22"/>
          <w:szCs w:val="22"/>
          <w:rFonts w:ascii="Arial" w:cs="Arial" w:eastAsia="Arial" w:hAnsi="Arial"/>
        </w:rPr>
        <w:t xml:space="preserve">general lien</w:t>
      </w:r>
      <w:r>
        <w:rPr>
          <w:sz w:val="22"/>
          <w:szCs w:val="22"/>
          <w:rFonts w:ascii="Arial" w:cs="Arial" w:eastAsia="Arial" w:hAnsi="Arial"/>
        </w:rPr>
        <w:t xml:space="preserve"> secures the general balance due, unlike the </w:t>
      </w:r>
      <w:r>
        <w:rPr>
          <w:b/>
          <w:bCs/>
          <w:sz w:val="22"/>
          <w:szCs w:val="22"/>
          <w:rFonts w:ascii="Arial" w:cs="Arial" w:eastAsia="Arial" w:hAnsi="Arial"/>
        </w:rPr>
        <w:t xml:space="preserve">particular lien</w:t>
      </w:r>
      <w:r>
        <w:rPr>
          <w:sz w:val="22"/>
          <w:szCs w:val="22"/>
          <w:rFonts w:ascii="Arial" w:cs="Arial" w:eastAsia="Arial" w:hAnsi="Arial"/>
        </w:rPr>
        <w:t xml:space="preserve"> of Sec 170 (a bailee's right to retain goods on which he has spent labour, only for the charge for that work). The banker's lien is an </w:t>
      </w:r>
      <w:r>
        <w:rPr>
          <w:b/>
          <w:bCs/>
          <w:sz w:val="22"/>
          <w:szCs w:val="22"/>
          <w:rFonts w:ascii="Arial" w:cs="Arial" w:eastAsia="Arial" w:hAnsi="Arial"/>
        </w:rPr>
        <w:t xml:space="preserve">implied pledge</w:t>
      </w:r>
      <w:r>
        <w:rPr>
          <w:sz w:val="22"/>
          <w:szCs w:val="22"/>
          <w:rFonts w:ascii="Arial" w:cs="Arial" w:eastAsia="Arial" w:hAnsi="Arial"/>
        </w:rPr>
        <w:t xml:space="preserve"> — 'the banker's lien is more than a mere right to retain; it is a lien coupled with a power of sale after reasonable notice' (Brandao v. Barnett, 1846, per Lord Campbell; adopted in India: Syndicate Bank v. Vijay Kumar, 1992; State Bank of India v. Javed Akhtar Hussain, 1993? — the Supreme Court in Vijay Kumar held that the bank may sell or appropriate). Conditions: the securities must have been deposited </w:t>
      </w:r>
      <w:r>
        <w:rPr>
          <w:b/>
          <w:bCs/>
          <w:sz w:val="22"/>
          <w:szCs w:val="22"/>
          <w:rFonts w:ascii="Arial" w:cs="Arial" w:eastAsia="Arial" w:hAnsi="Arial"/>
        </w:rPr>
        <w:t xml:space="preserve">with the bank as a banker</w:t>
      </w:r>
      <w:r>
        <w:rPr>
          <w:sz w:val="22"/>
          <w:szCs w:val="22"/>
          <w:rFonts w:ascii="Arial" w:cs="Arial" w:eastAsia="Arial" w:hAnsi="Arial"/>
        </w:rPr>
        <w:t xml:space="preserve"> and </w:t>
      </w:r>
      <w:r>
        <w:rPr>
          <w:b/>
          <w:bCs/>
          <w:sz w:val="22"/>
          <w:szCs w:val="22"/>
          <w:rFonts w:ascii="Arial" w:cs="Arial" w:eastAsia="Arial" w:hAnsi="Arial"/>
        </w:rPr>
        <w:t xml:space="preserve">in the ordinary course of banking business</w:t>
      </w:r>
      <w:r>
        <w:rPr>
          <w:sz w:val="22"/>
          <w:szCs w:val="22"/>
          <w:rFonts w:ascii="Arial" w:cs="Arial" w:eastAsia="Arial" w:hAnsi="Arial"/>
        </w:rPr>
        <w:t xml:space="preserve"> — not for safe custody, not for a specific purpose inconsistent with the lien (Brandao — exchequer bills left in a box for safe custody; a cheque handed over for collection with an instruction to credit a particular account; documents deposited to secure a specific loan which has been repaid, on which the lien may revive for the general balance — Re London and Globe Finance Corporation, 1902; a title deed deposited for a specific loan without agreement for a general lien); the lien is displaced by a contract to the contrary, express or implied from the circumstances; it does not extend to securities of a third party lodged for a specific purpose, to trust property known to be such, to money held in a different right, or to safe-custody articles; it covers negotiable instruments, share certificates, fixed deposit receipts, insurance policies, title deeds and goods received as a banker. Effect: the bank may retain, and, being a pledgee, sell after notice (Sec 176) or, in the case of money securities, appropriate; the lien is a security interest for the purposes of the Insolvency and Bankruptcy Code and the SARFAESI Act (the Supreme Court's 2007 decision in Punjab National Bank v. Dr. Rajesh? — no; the leading modern case is </w:t>
      </w:r>
      <w:r>
        <w:rPr>
          <w:b/>
          <w:bCs/>
          <w:sz w:val="22"/>
          <w:szCs w:val="22"/>
          <w:rFonts w:ascii="Arial" w:cs="Arial" w:eastAsia="Arial" w:hAnsi="Arial"/>
        </w:rPr>
        <w:t xml:space="preserve">Syndicate Bank v. Vijay Kumar</w:t>
      </w:r>
      <w:r>
        <w:rPr>
          <w:sz w:val="22"/>
          <w:szCs w:val="22"/>
          <w:rFonts w:ascii="Arial" w:cs="Arial" w:eastAsia="Arial" w:hAnsi="Arial"/>
        </w:rPr>
        <w:t xml:space="preserve"> and the RBI's guidelines that a bank must give notice before exercising a lien on a deposit, and cannot mark a lien on a deposit against a third party's dues without a letter). A </w:t>
      </w:r>
      <w:r>
        <w:rPr>
          <w:b/>
          <w:bCs/>
          <w:sz w:val="22"/>
          <w:szCs w:val="22"/>
          <w:rFonts w:ascii="Arial" w:cs="Arial" w:eastAsia="Arial" w:hAnsi="Arial"/>
        </w:rPr>
        <w:t xml:space="preserve">negative lien</w:t>
      </w:r>
      <w:r>
        <w:rPr>
          <w:sz w:val="22"/>
          <w:szCs w:val="22"/>
          <w:rFonts w:ascii="Arial" w:cs="Arial" w:eastAsia="Arial" w:hAnsi="Arial"/>
        </w:rPr>
        <w:t xml:space="preserve"> is an undertaking by the borrower not to create a charge on his assets without the bank's consent; it creates no security interest but a personal obligation (and after 2016 is registrable with the Central Registry — CERSAI). The RBI requires banks to obtain a lien letter or a letter of set-off for deposits securing advances, and forbids exercising a lien on a deposit standing in a different name.</w:t>
      </w:r>
    </w:p>
    <w:p>
      <w:pPr>
        <w:spacing w:before="240" w:after="120"/>
      </w:pPr>
      <w:r>
        <w:rPr>
          <w:b/>
          <w:bCs/>
          <w:color w:val="404040"/>
          <w:sz w:val="23"/>
          <w:szCs w:val="23"/>
          <w:rFonts w:ascii="Arial" w:cs="Arial" w:eastAsia="Arial" w:hAnsi="Arial"/>
        </w:rPr>
        <w:t xml:space="preserve">Pledge — Sec 172-179</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172:</w:t>
      </w:r>
      <w:r>
        <w:rPr>
          <w:sz w:val="22"/>
          <w:szCs w:val="22"/>
          <w:rFonts w:ascii="Arial" w:cs="Arial" w:eastAsia="Arial" w:hAnsi="Arial"/>
        </w:rPr>
        <w:t xml:space="preserve"> the bailment of goods as security for payment of a debt or performance of a promise is a pledge; the bailor is the pawnor, the bailee the pawnee. Essentials: delivery of possession (actual or constructive — delivery of the key of the godown, or of the documents of title, or an attornment by a warehouseman holding the goods — Morvi Mercantile Bank v. Union of India, 1965; a pledge of goods 'in the pledgor's own custody' under a hypothecation is not a pledge), as security, of movable property (goods, documents of title, shares by transfer of the certificate with a blank transfer). </w:t>
      </w:r>
      <w:r>
        <w:rPr>
          <w:b/>
          <w:bCs/>
          <w:sz w:val="22"/>
          <w:szCs w:val="22"/>
          <w:rFonts w:ascii="Arial" w:cs="Arial" w:eastAsia="Arial" w:hAnsi="Arial"/>
        </w:rPr>
        <w:t xml:space="preserve">Sec 173:</w:t>
      </w:r>
      <w:r>
        <w:rPr>
          <w:sz w:val="22"/>
          <w:szCs w:val="22"/>
          <w:rFonts w:ascii="Arial" w:cs="Arial" w:eastAsia="Arial" w:hAnsi="Arial"/>
        </w:rPr>
        <w:t xml:space="preserve"> the pawnee may retain the goods for the debt, interest and necessary expenses; </w:t>
      </w:r>
      <w:r>
        <w:rPr>
          <w:b/>
          <w:bCs/>
          <w:sz w:val="22"/>
          <w:szCs w:val="22"/>
          <w:rFonts w:ascii="Arial" w:cs="Arial" w:eastAsia="Arial" w:hAnsi="Arial"/>
        </w:rPr>
        <w:t xml:space="preserve">Sec 174:</w:t>
      </w:r>
      <w:r>
        <w:rPr>
          <w:sz w:val="22"/>
          <w:szCs w:val="22"/>
          <w:rFonts w:ascii="Arial" w:cs="Arial" w:eastAsia="Arial" w:hAnsi="Arial"/>
        </w:rPr>
        <w:t xml:space="preserve"> not for any other debt unless there is a contract, but a subsequent advance is presumed to be secured; </w:t>
      </w:r>
      <w:r>
        <w:rPr>
          <w:b/>
          <w:bCs/>
          <w:sz w:val="22"/>
          <w:szCs w:val="22"/>
          <w:rFonts w:ascii="Arial" w:cs="Arial" w:eastAsia="Arial" w:hAnsi="Arial"/>
        </w:rPr>
        <w:t xml:space="preserve">Sec 175:</w:t>
      </w:r>
      <w:r>
        <w:rPr>
          <w:sz w:val="22"/>
          <w:szCs w:val="22"/>
          <w:rFonts w:ascii="Arial" w:cs="Arial" w:eastAsia="Arial" w:hAnsi="Arial"/>
        </w:rPr>
        <w:t xml:space="preserve"> extraordinary expenses; </w:t>
      </w:r>
      <w:r>
        <w:rPr>
          <w:b/>
          <w:bCs/>
          <w:sz w:val="22"/>
          <w:szCs w:val="22"/>
          <w:rFonts w:ascii="Arial" w:cs="Arial" w:eastAsia="Arial" w:hAnsi="Arial"/>
        </w:rPr>
        <w:t xml:space="preserve">Sec 176 — the pawnee's remedies on default:</w:t>
      </w:r>
      <w:r>
        <w:rPr>
          <w:sz w:val="22"/>
          <w:szCs w:val="22"/>
          <w:rFonts w:ascii="Arial" w:cs="Arial" w:eastAsia="Arial" w:hAnsi="Arial"/>
        </w:rPr>
        <w:t xml:space="preserve"> he may sue the pawnor on the debt and retain the goods as collateral, or sell after giving the pawnor reasonable </w:t>
      </w:r>
      <w:r>
        <w:rPr>
          <w:b/>
          <w:bCs/>
          <w:sz w:val="22"/>
          <w:szCs w:val="22"/>
          <w:rFonts w:ascii="Arial" w:cs="Arial" w:eastAsia="Arial" w:hAnsi="Arial"/>
        </w:rPr>
        <w:t xml:space="preserve">notice</w:t>
      </w:r>
      <w:r>
        <w:rPr>
          <w:sz w:val="22"/>
          <w:szCs w:val="22"/>
          <w:rFonts w:ascii="Arial" w:cs="Arial" w:eastAsia="Arial" w:hAnsi="Arial"/>
        </w:rPr>
        <w:t xml:space="preserve"> of the sale — the notice is mandatory (Prabhat Kumar Mishra? — the Supreme Court in Lallan Prasad v. Rahmat Ali, 1967: the pawnee's right of sale is conditional on notice, and a pawnee who sells without notice or is unable to return the goods cannot sue for the debt without accounting for the goods; Hulas Kunwar v. Allahabad Bank, 1958 Calcutta; Central Bank of India v. Siriguppa Sugars, 2007 — the pawnee's rights prevail over the dues of unsecured creditors and over the sugarcane growers' statutory claims; Bank of Bihar v. State of Bihar, 1971 — the pawnee's rights are not defeated by the State's seizure of the pledged goods; the State must pay the bank); the surplus on sale goes to the pawnor and the deficit is recoverable; </w:t>
      </w:r>
      <w:r>
        <w:rPr>
          <w:b/>
          <w:bCs/>
          <w:sz w:val="22"/>
          <w:szCs w:val="22"/>
          <w:rFonts w:ascii="Arial" w:cs="Arial" w:eastAsia="Arial" w:hAnsi="Arial"/>
        </w:rPr>
        <w:t xml:space="preserve">Sec 177:</w:t>
      </w:r>
      <w:r>
        <w:rPr>
          <w:sz w:val="22"/>
          <w:szCs w:val="22"/>
          <w:rFonts w:ascii="Arial" w:cs="Arial" w:eastAsia="Arial" w:hAnsi="Arial"/>
        </w:rPr>
        <w:t xml:space="preserve"> the pawnor may redeem at any time before the actual sale, even after the due date, on paying the debt and the expenses of the default; </w:t>
      </w:r>
      <w:r>
        <w:rPr>
          <w:b/>
          <w:bCs/>
          <w:sz w:val="22"/>
          <w:szCs w:val="22"/>
          <w:rFonts w:ascii="Arial" w:cs="Arial" w:eastAsia="Arial" w:hAnsi="Arial"/>
        </w:rPr>
        <w:t xml:space="preserve">Sec 178:</w:t>
      </w:r>
      <w:r>
        <w:rPr>
          <w:sz w:val="22"/>
          <w:szCs w:val="22"/>
          <w:rFonts w:ascii="Arial" w:cs="Arial" w:eastAsia="Arial" w:hAnsi="Arial"/>
        </w:rPr>
        <w:t xml:space="preserve"> pledge by a mercantile agent in possession of goods or documents of title with the owner's consent, acting in the ordinary course, is valid if the pawnee acts in good faith without notice of the want of authority; </w:t>
      </w:r>
      <w:r>
        <w:rPr>
          <w:b/>
          <w:bCs/>
          <w:sz w:val="22"/>
          <w:szCs w:val="22"/>
          <w:rFonts w:ascii="Arial" w:cs="Arial" w:eastAsia="Arial" w:hAnsi="Arial"/>
        </w:rPr>
        <w:t xml:space="preserve">Sec 178A:</w:t>
      </w:r>
      <w:r>
        <w:rPr>
          <w:sz w:val="22"/>
          <w:szCs w:val="22"/>
          <w:rFonts w:ascii="Arial" w:cs="Arial" w:eastAsia="Arial" w:hAnsi="Arial"/>
        </w:rPr>
        <w:t xml:space="preserve"> pledge by a person in possession under a voidable contract, before the contract is rescinded, is valid to a pawnee in good faith; </w:t>
      </w:r>
      <w:r>
        <w:rPr>
          <w:b/>
          <w:bCs/>
          <w:sz w:val="22"/>
          <w:szCs w:val="22"/>
          <w:rFonts w:ascii="Arial" w:cs="Arial" w:eastAsia="Arial" w:hAnsi="Arial"/>
        </w:rPr>
        <w:t xml:space="preserve">Sec 179:</w:t>
      </w:r>
      <w:r>
        <w:rPr>
          <w:sz w:val="22"/>
          <w:szCs w:val="22"/>
          <w:rFonts w:ascii="Arial" w:cs="Arial" w:eastAsia="Arial" w:hAnsi="Arial"/>
        </w:rPr>
        <w:t xml:space="preserve"> pledge by a person with a limited interest is valid to the extent of that interest. The pawnee is not the owner — 'special property' passes to him, the general property remains with the pawnor (The Odessa, 1916; Lallan Prasad). </w:t>
      </w:r>
      <w:r>
        <w:rPr>
          <w:b/>
          <w:bCs/>
          <w:sz w:val="22"/>
          <w:szCs w:val="22"/>
          <w:rFonts w:ascii="Arial" w:cs="Arial" w:eastAsia="Arial" w:hAnsi="Arial"/>
        </w:rPr>
        <w:t xml:space="preserve">Hypothecation</w:t>
      </w:r>
      <w:r>
        <w:rPr>
          <w:sz w:val="22"/>
          <w:szCs w:val="22"/>
          <w:rFonts w:ascii="Arial" w:cs="Arial" w:eastAsia="Arial" w:hAnsi="Arial"/>
        </w:rPr>
        <w:t xml:space="preserve"> — a charge on movables without possession, recognised by usage and now by Sec 2(n) of the SARFAESI Act 2002 — is the commoner form of security for stock and book debts; it is not a pledge, and the bank must take possession (under the deed or under Sec 13(4) SARFAESI) before selling; a hypothecation by a company is registrable under Sec 77 of the Companies Act.</w:t>
      </w:r>
    </w:p>
    <w:p>
      <w:pPr>
        <w:spacing w:before="240" w:after="120"/>
      </w:pPr>
      <w:r>
        <w:rPr>
          <w:b/>
          <w:bCs/>
          <w:color w:val="404040"/>
          <w:sz w:val="23"/>
          <w:szCs w:val="23"/>
          <w:rFonts w:ascii="Arial" w:cs="Arial" w:eastAsia="Arial" w:hAnsi="Arial"/>
        </w:rPr>
        <w:t xml:space="preserve">Guarantee — Sec 126-147</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126:</w:t>
      </w:r>
      <w:r>
        <w:rPr>
          <w:sz w:val="22"/>
          <w:szCs w:val="22"/>
          <w:rFonts w:ascii="Arial" w:cs="Arial" w:eastAsia="Arial" w:hAnsi="Arial"/>
        </w:rPr>
        <w:t xml:space="preserve"> a contract of guarantee is a contract to perform the promise or discharge the liability of a third person in case of his default; the surety, the principal debtor and the creditor; it may be oral or written. Essentials: three parties and two contracts (the principal contract and the guarantee), consideration — anything done or any promise made for the benefit of the principal debtor is sufficient consideration for the surety (Sec 127), including past advances if the guarantee is for a running account; no misrepresentation or concealment by the creditor (Sec 142-143 — a guarantee obtained by misrepresentation or by keeping silence as to a material circumstance is invalid). </w:t>
      </w:r>
      <w:r>
        <w:rPr>
          <w:b/>
          <w:bCs/>
          <w:sz w:val="22"/>
          <w:szCs w:val="22"/>
          <w:rFonts w:ascii="Arial" w:cs="Arial" w:eastAsia="Arial" w:hAnsi="Arial"/>
        </w:rPr>
        <w:t xml:space="preserve">Sec 128 — the surety's liability is co-extensive with that of the principal debtor</w:t>
      </w:r>
      <w:r>
        <w:rPr>
          <w:sz w:val="22"/>
          <w:szCs w:val="22"/>
          <w:rFonts w:ascii="Arial" w:cs="Arial" w:eastAsia="Arial" w:hAnsi="Arial"/>
        </w:rPr>
        <w:t xml:space="preserve"> unless otherwise provided: the creditor may sue the surety without first suing the principal debtor or exhausting his remedies against him or against the security (Bank of Bihar v. Damodar Prasad, 1969 — a decree against the surety cannot be conditioned on first exhausting remedies against the principal; State Bank of India v. Indexport Registered, 1992 — a decree against the principal debtor, the mortgaged property and the guarantor may be executed against the guarantor first; Maharashtra State Electricity Board v. Official Liquidator, 1982 — the surety's liability continues though the principal debtor's is discharged by winding up; Industrial Investment Bank of India v. Biswanath Jhunjhunwala, 2009 — the creditor may proceed against the guarantor without exhausting remedies against the principal, subject to the terms). </w:t>
      </w:r>
      <w:r>
        <w:rPr>
          <w:b/>
          <w:bCs/>
          <w:sz w:val="22"/>
          <w:szCs w:val="22"/>
          <w:rFonts w:ascii="Arial" w:cs="Arial" w:eastAsia="Arial" w:hAnsi="Arial"/>
        </w:rPr>
        <w:t xml:space="preserve">Sec 129 — continuing guarantee</w:t>
      </w:r>
      <w:r>
        <w:rPr>
          <w:sz w:val="22"/>
          <w:szCs w:val="22"/>
          <w:rFonts w:ascii="Arial" w:cs="Arial" w:eastAsia="Arial" w:hAnsi="Arial"/>
        </w:rPr>
        <w:t xml:space="preserve"> extends to a series of transactions (a guarantee for a cash-credit account); </w:t>
      </w:r>
      <w:r>
        <w:rPr>
          <w:b/>
          <w:bCs/>
          <w:sz w:val="22"/>
          <w:szCs w:val="22"/>
          <w:rFonts w:ascii="Arial" w:cs="Arial" w:eastAsia="Arial" w:hAnsi="Arial"/>
        </w:rPr>
        <w:t xml:space="preserve">Sec 130</w:t>
      </w:r>
      <w:r>
        <w:rPr>
          <w:sz w:val="22"/>
          <w:szCs w:val="22"/>
          <w:rFonts w:ascii="Arial" w:cs="Arial" w:eastAsia="Arial" w:hAnsi="Arial"/>
        </w:rPr>
        <w:t xml:space="preserve"> it may be revoked as to future transactions by notice; </w:t>
      </w:r>
      <w:r>
        <w:rPr>
          <w:b/>
          <w:bCs/>
          <w:sz w:val="22"/>
          <w:szCs w:val="22"/>
          <w:rFonts w:ascii="Arial" w:cs="Arial" w:eastAsia="Arial" w:hAnsi="Arial"/>
        </w:rPr>
        <w:t xml:space="preserve">Sec 131</w:t>
      </w:r>
      <w:r>
        <w:rPr>
          <w:sz w:val="22"/>
          <w:szCs w:val="22"/>
          <w:rFonts w:ascii="Arial" w:cs="Arial" w:eastAsia="Arial" w:hAnsi="Arial"/>
        </w:rPr>
        <w:t xml:space="preserve"> it is revoked by the surety's death as to future transactions; the liability for past transactions remains. </w:t>
      </w:r>
      <w:r>
        <w:rPr>
          <w:b/>
          <w:bCs/>
          <w:sz w:val="22"/>
          <w:szCs w:val="22"/>
          <w:rFonts w:ascii="Arial" w:cs="Arial" w:eastAsia="Arial" w:hAnsi="Arial"/>
        </w:rPr>
        <w:t xml:space="preserve">Discharge of the surety:</w:t>
      </w:r>
      <w:r>
        <w:rPr>
          <w:sz w:val="22"/>
          <w:szCs w:val="22"/>
          <w:rFonts w:ascii="Arial" w:cs="Arial" w:eastAsia="Arial" w:hAnsi="Arial"/>
        </w:rPr>
        <w:t xml:space="preserve"> by any variance in the terms of the contract between the principal debtor and the creditor without the surety's consent (Sec 133 — even a variance that benefits the surety, though banks now take consent to variations in the guarantee itself); by the release or discharge of the principal debtor (Sec 134); by a composition with, or promise to give time to, the principal debtor without the surety's assent (Sec 135) — but not by mere forbearance to sue (Sec 137) nor by an agreement with a third person to give time (Sec 136); by the creditor's act or omission impairing the surety's eventual remedy — losing or releasing the security (Sec 139; State Bank of Saurashtra v. Chitranjan Rangnath Raja, 1980 — the bank's negligence in losing the pledged goods discharged the surety to the extent of their value; State of M.P. v. Kaluram, 1967); by the release of a co-surety only as to that co-surety (Sec 138). </w:t>
      </w:r>
      <w:r>
        <w:rPr>
          <w:b/>
          <w:bCs/>
          <w:sz w:val="22"/>
          <w:szCs w:val="22"/>
          <w:rFonts w:ascii="Arial" w:cs="Arial" w:eastAsia="Arial" w:hAnsi="Arial"/>
        </w:rPr>
        <w:t xml:space="preserve">The surety's rights:</w:t>
      </w:r>
      <w:r>
        <w:rPr>
          <w:sz w:val="22"/>
          <w:szCs w:val="22"/>
          <w:rFonts w:ascii="Arial" w:cs="Arial" w:eastAsia="Arial" w:hAnsi="Arial"/>
        </w:rPr>
        <w:t xml:space="preserve"> on payment he is subrogated to the creditor's rights (Sec 140), entitled to the benefit of every security the creditor holds at the time of the guarantee whether or not he knew of it (Sec 141 — and if the creditor loses or parts with the security the surety is discharged to that extent), entitled to contribution from co-sureties (Sec 146-147), and entitled to indemnity from the principal debtor (Sec 145, an implied promise). Banking practice: guarantees are taken in the bank's form with clauses waiving Sec 133-139 (upheld — the sections apply 'in the absence of a contract to the contrary' — Sita Ram Gupta v. Punjab National Bank, 2008 — a clause that the guarantee is irrevocable is binding); guarantees by directors of a borrowing company are personal guarantees enforceable under the Insolvency and Bankruptcy Code (Lalit Kumar Jain v. Union of India, 2021 — the guarantor's liability is not discharged by the approval of a resolution plan for the principal debtor); the limitation for a suit against a guarantor runs from the demand or the default as the guarantee provides (Art 55 or 113).</w:t>
      </w:r>
    </w:p>
    <w:p>
      <w:pPr>
        <w:spacing w:before="240" w:after="120"/>
      </w:pPr>
      <w:r>
        <w:rPr>
          <w:b/>
          <w:bCs/>
          <w:color w:val="404040"/>
          <w:sz w:val="23"/>
          <w:szCs w:val="23"/>
          <w:rFonts w:ascii="Arial" w:cs="Arial" w:eastAsia="Arial" w:hAnsi="Arial"/>
        </w:rPr>
        <w:t xml:space="preserve">Documents of title to goods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2(4) of the Sale of Goods Act 1930:</w:t>
      </w:r>
      <w:r>
        <w:rPr>
          <w:sz w:val="22"/>
          <w:szCs w:val="22"/>
          <w:rFonts w:ascii="Arial" w:cs="Arial" w:eastAsia="Arial" w:hAnsi="Arial"/>
        </w:rPr>
        <w:t xml:space="preserve"> 'document of title to goods' includes a bill of lading, dock warrant, warehouse-keeper's certificate, wharfinger's certificate, railway receipt, multimodal transport document, warrant or order for the delivery of goods, and any other document used in the ordinary course of business as proof of the possession or control of goods, or authorising or purporting to authorise, by endorsement or delivery, the possessor to transfer or receive the goods represented by it. Their importance to banks: transfer of the document by endorsement and delivery transfers the constructive possession of the goods, so the goods can be </w:t>
      </w:r>
      <w:r>
        <w:rPr>
          <w:b/>
          <w:bCs/>
          <w:sz w:val="22"/>
          <w:szCs w:val="22"/>
          <w:rFonts w:ascii="Arial" w:cs="Arial" w:eastAsia="Arial" w:hAnsi="Arial"/>
        </w:rPr>
        <w:t xml:space="preserve">pledged</w:t>
      </w:r>
      <w:r>
        <w:rPr>
          <w:sz w:val="22"/>
          <w:szCs w:val="22"/>
          <w:rFonts w:ascii="Arial" w:cs="Arial" w:eastAsia="Arial" w:hAnsi="Arial"/>
        </w:rPr>
        <w:t xml:space="preserve"> while in transit or in a warehouse (Sec 178 Contract Act read with Sec 30 of the Sale of Goods Act); the bank advancing against a document of title is a pledgee of the goods (Morvi Mercantile Bank v. Union of India, 1965 — a railway receipt is a document of title, its endorsement and delivery to the bank as security is a pledge of the goods, and the bank as pledgee could sue the railway for the loss of the goods for their full value); the documents are not negotiable instruments — a transferee gets no better title than the transferor, except in the cases protected by Sec 178 and by the Bills of Lading Act 1856 for the bill of lading (a bill of lading is 'quasi-negotiable': its endorsement passes the property if so intended, Sec 1 of the Bills of Lading Act, but a thief cannot pass title). The individual documents: </w:t>
      </w:r>
      <w:r>
        <w:rPr>
          <w:b/>
          <w:bCs/>
          <w:sz w:val="22"/>
          <w:szCs w:val="22"/>
          <w:rFonts w:ascii="Arial" w:cs="Arial" w:eastAsia="Arial" w:hAnsi="Arial"/>
        </w:rPr>
        <w:t xml:space="preserve">bill of lading</w:t>
      </w:r>
      <w:r>
        <w:rPr>
          <w:sz w:val="22"/>
          <w:szCs w:val="22"/>
          <w:rFonts w:ascii="Arial" w:cs="Arial" w:eastAsia="Arial" w:hAnsi="Arial"/>
        </w:rPr>
        <w:t xml:space="preserve"> — issued by the carrier by sea, a receipt for the goods, evidence of the contract of carriage, and the document of title; a 'clean' bill (no adverse remarks on the condition of the goods) is what a bank under a letter of credit demands; </w:t>
      </w:r>
      <w:r>
        <w:rPr>
          <w:b/>
          <w:bCs/>
          <w:sz w:val="22"/>
          <w:szCs w:val="22"/>
          <w:rFonts w:ascii="Arial" w:cs="Arial" w:eastAsia="Arial" w:hAnsi="Arial"/>
        </w:rPr>
        <w:t xml:space="preserve">dock warrant</w:t>
      </w:r>
      <w:r>
        <w:rPr>
          <w:sz w:val="22"/>
          <w:szCs w:val="22"/>
          <w:rFonts w:ascii="Arial" w:cs="Arial" w:eastAsia="Arial" w:hAnsi="Arial"/>
        </w:rPr>
        <w:t xml:space="preserve"> — issued by a dock company certifying that goods are held and deliverable to the person named or his order; </w:t>
      </w:r>
      <w:r>
        <w:rPr>
          <w:b/>
          <w:bCs/>
          <w:sz w:val="22"/>
          <w:szCs w:val="22"/>
          <w:rFonts w:ascii="Arial" w:cs="Arial" w:eastAsia="Arial" w:hAnsi="Arial"/>
        </w:rPr>
        <w:t xml:space="preserve">warehouse-keeper's certificate</w:t>
      </w:r>
      <w:r>
        <w:rPr>
          <w:sz w:val="22"/>
          <w:szCs w:val="22"/>
          <w:rFonts w:ascii="Arial" w:cs="Arial" w:eastAsia="Arial" w:hAnsi="Arial"/>
        </w:rPr>
        <w:t xml:space="preserve"> — the same for a warehouse, and under the Warehousing (Development and Regulation) Act 2007 a </w:t>
      </w:r>
      <w:r>
        <w:rPr>
          <w:b/>
          <w:bCs/>
          <w:sz w:val="22"/>
          <w:szCs w:val="22"/>
          <w:rFonts w:ascii="Arial" w:cs="Arial" w:eastAsia="Arial" w:hAnsi="Arial"/>
        </w:rPr>
        <w:t xml:space="preserve">negotiable warehouse receipt</w:t>
      </w:r>
      <w:r>
        <w:rPr>
          <w:sz w:val="22"/>
          <w:szCs w:val="22"/>
          <w:rFonts w:ascii="Arial" w:cs="Arial" w:eastAsia="Arial" w:hAnsi="Arial"/>
        </w:rPr>
        <w:t xml:space="preserve"> issued by a registered warehouse is a fully negotiable document against which banks lend to farmers and traders (the e-NWR system); </w:t>
      </w:r>
      <w:r>
        <w:rPr>
          <w:b/>
          <w:bCs/>
          <w:sz w:val="22"/>
          <w:szCs w:val="22"/>
          <w:rFonts w:ascii="Arial" w:cs="Arial" w:eastAsia="Arial" w:hAnsi="Arial"/>
        </w:rPr>
        <w:t xml:space="preserve">delivery order</w:t>
      </w:r>
      <w:r>
        <w:rPr>
          <w:sz w:val="22"/>
          <w:szCs w:val="22"/>
          <w:rFonts w:ascii="Arial" w:cs="Arial" w:eastAsia="Arial" w:hAnsi="Arial"/>
        </w:rPr>
        <w:t xml:space="preserve"> — an order by the owner to the holder of goods to deliver them to a named person, which becomes a document of title on attornment; </w:t>
      </w:r>
      <w:r>
        <w:rPr>
          <w:b/>
          <w:bCs/>
          <w:sz w:val="22"/>
          <w:szCs w:val="22"/>
          <w:rFonts w:ascii="Arial" w:cs="Arial" w:eastAsia="Arial" w:hAnsi="Arial"/>
        </w:rPr>
        <w:t xml:space="preserve">railway receipt</w:t>
      </w:r>
      <w:r>
        <w:rPr>
          <w:sz w:val="22"/>
          <w:szCs w:val="22"/>
          <w:rFonts w:ascii="Arial" w:cs="Arial" w:eastAsia="Arial" w:hAnsi="Arial"/>
        </w:rPr>
        <w:t xml:space="preserve"> — issued by the railway under Sec 65 of the Railways Act 1989, transferable by endorsement, a document of title (Morvi Mercantile); </w:t>
      </w:r>
      <w:r>
        <w:rPr>
          <w:b/>
          <w:bCs/>
          <w:sz w:val="22"/>
          <w:szCs w:val="22"/>
          <w:rFonts w:ascii="Arial" w:cs="Arial" w:eastAsia="Arial" w:hAnsi="Arial"/>
        </w:rPr>
        <w:t xml:space="preserve">multimodal transport document</w:t>
      </w:r>
      <w:r>
        <w:rPr>
          <w:sz w:val="22"/>
          <w:szCs w:val="22"/>
          <w:rFonts w:ascii="Arial" w:cs="Arial" w:eastAsia="Arial" w:hAnsi="Arial"/>
        </w:rPr>
        <w:t xml:space="preserve"> under the Multimodal Transportation of Goods Act 1993; and the </w:t>
      </w:r>
      <w:r>
        <w:rPr>
          <w:b/>
          <w:bCs/>
          <w:sz w:val="22"/>
          <w:szCs w:val="22"/>
          <w:rFonts w:ascii="Arial" w:cs="Arial" w:eastAsia="Arial" w:hAnsi="Arial"/>
        </w:rPr>
        <w:t xml:space="preserve">airway bill</w:t>
      </w:r>
      <w:r>
        <w:rPr>
          <w:sz w:val="22"/>
          <w:szCs w:val="22"/>
          <w:rFonts w:ascii="Arial" w:cs="Arial" w:eastAsia="Arial" w:hAnsi="Arial"/>
        </w:rPr>
        <w:t xml:space="preserve">, which is not a document of title (it is a receipt and contract, not transferable). Banks take these documents under </w:t>
      </w:r>
      <w:r>
        <w:rPr>
          <w:b/>
          <w:bCs/>
          <w:sz w:val="22"/>
          <w:szCs w:val="22"/>
          <w:rFonts w:ascii="Arial" w:cs="Arial" w:eastAsia="Arial" w:hAnsi="Arial"/>
        </w:rPr>
        <w:t xml:space="preserve">trust receipts</w:t>
      </w:r>
      <w:r>
        <w:rPr>
          <w:sz w:val="22"/>
          <w:szCs w:val="22"/>
          <w:rFonts w:ascii="Arial" w:cs="Arial" w:eastAsia="Arial" w:hAnsi="Arial"/>
        </w:rPr>
        <w:t xml:space="preserve"> when releasing them to the borrower to take delivery and sell, the borrower holding the goods and proceeds in trust for the bank.</w:t>
      </w:r>
    </w:p>
    <w:p>
      <w:pPr>
        <w:spacing w:before="240" w:after="120"/>
      </w:pPr>
      <w:r>
        <w:rPr>
          <w:b/>
          <w:bCs/>
          <w:color w:val="404040"/>
          <w:sz w:val="23"/>
          <w:szCs w:val="23"/>
          <w:rFonts w:ascii="Arial" w:cs="Arial" w:eastAsia="Arial" w:hAnsi="Arial"/>
        </w:rPr>
        <w:t xml:space="preserve">Letters of credit and bank guarantees</w:t>
      </w:r>
    </w:p>
    <w:p>
      <w:pPr>
        <w:spacing w:after="120" w:line="300"/>
        <w:jc w:val="both"/>
      </w:pPr>
      <w:r>
        <w:rPr>
          <w:sz w:val="22"/>
          <w:szCs w:val="22"/>
          <w:rFonts w:ascii="Arial" w:cs="Arial" w:eastAsia="Arial" w:hAnsi="Arial"/>
        </w:rPr>
        <w:t xml:space="preserve">A </w:t>
      </w:r>
      <w:r>
        <w:rPr>
          <w:b/>
          <w:bCs/>
          <w:sz w:val="22"/>
          <w:szCs w:val="22"/>
          <w:rFonts w:ascii="Arial" w:cs="Arial" w:eastAsia="Arial" w:hAnsi="Arial"/>
        </w:rPr>
        <w:t xml:space="preserve">letter of credit</w:t>
      </w:r>
      <w:r>
        <w:rPr>
          <w:sz w:val="22"/>
          <w:szCs w:val="22"/>
          <w:rFonts w:ascii="Arial" w:cs="Arial" w:eastAsia="Arial" w:hAnsi="Arial"/>
        </w:rPr>
        <w:t xml:space="preserve"> is an undertaking by a bank (the issuing bank), at the request of its customer (the applicant, usually the buyer), to pay the beneficiary (the seller) a sum of money against presentation of specified documents within a specified time — the commercial letter of credit is the principal mechanism of documentary credit in international trade and is governed by the International Chamber of Commerce's </w:t>
      </w:r>
      <w:r>
        <w:rPr>
          <w:b/>
          <w:bCs/>
          <w:sz w:val="22"/>
          <w:szCs w:val="22"/>
          <w:rFonts w:ascii="Arial" w:cs="Arial" w:eastAsia="Arial" w:hAnsi="Arial"/>
        </w:rPr>
        <w:t xml:space="preserve">Uniform Customs and Practice for Documentary Credits (UCP 600, 2007)</w:t>
      </w:r>
      <w:r>
        <w:rPr>
          <w:sz w:val="22"/>
          <w:szCs w:val="22"/>
          <w:rFonts w:ascii="Arial" w:cs="Arial" w:eastAsia="Arial" w:hAnsi="Arial"/>
        </w:rPr>
        <w:t xml:space="preserve"> by incorporation, and in India by the Contract Act and the RBI's foreign-exchange regulations; kinds — revocable and irrevocable (UCP 600 makes all credits irrevocable), confirmed (a second bank adds its own undertaking) and unconfirmed, sight and usance (deferred payment or acceptance), transferable, back-to-back, revolving, red-clause (advance to the seller), standby (a guarantee in the form of a credit), and the inland letter of credit. Principles: the </w:t>
      </w:r>
      <w:r>
        <w:rPr>
          <w:b/>
          <w:bCs/>
          <w:sz w:val="22"/>
          <w:szCs w:val="22"/>
          <w:rFonts w:ascii="Arial" w:cs="Arial" w:eastAsia="Arial" w:hAnsi="Arial"/>
        </w:rPr>
        <w:t xml:space="preserve">autonomy of the credit</w:t>
      </w:r>
      <w:r>
        <w:rPr>
          <w:sz w:val="22"/>
          <w:szCs w:val="22"/>
          <w:rFonts w:ascii="Arial" w:cs="Arial" w:eastAsia="Arial" w:hAnsi="Arial"/>
        </w:rPr>
        <w:t xml:space="preserve"> — the bank's obligation is independent of the underlying sale contract and of disputes about the goods (UCP Art 4-5: banks deal with documents, not goods), so the bank must pay against complying documents and cannot refuse because the goods are defective; </w:t>
      </w:r>
      <w:r>
        <w:rPr>
          <w:b/>
          <w:bCs/>
          <w:sz w:val="22"/>
          <w:szCs w:val="22"/>
          <w:rFonts w:ascii="Arial" w:cs="Arial" w:eastAsia="Arial" w:hAnsi="Arial"/>
        </w:rPr>
        <w:t xml:space="preserve">strict compliance</w:t>
      </w:r>
      <w:r>
        <w:rPr>
          <w:sz w:val="22"/>
          <w:szCs w:val="22"/>
          <w:rFonts w:ascii="Arial" w:cs="Arial" w:eastAsia="Arial" w:hAnsi="Arial"/>
        </w:rPr>
        <w:t xml:space="preserve"> — the documents must conform to the terms of the credit (Equitable Trust Co. of New York v. Dawson Partners, 1927 — 'there is no room for documents which are almost the same'); and the </w:t>
      </w:r>
      <w:r>
        <w:rPr>
          <w:b/>
          <w:bCs/>
          <w:sz w:val="22"/>
          <w:szCs w:val="22"/>
          <w:rFonts w:ascii="Arial" w:cs="Arial" w:eastAsia="Arial" w:hAnsi="Arial"/>
        </w:rPr>
        <w:t xml:space="preserve">fraud exception</w:t>
      </w:r>
      <w:r>
        <w:rPr>
          <w:sz w:val="22"/>
          <w:szCs w:val="22"/>
          <w:rFonts w:ascii="Arial" w:cs="Arial" w:eastAsia="Arial" w:hAnsi="Arial"/>
        </w:rPr>
        <w:t xml:space="preserve"> — the only ground on which a court will restrain payment is established fraud of the beneficiary of which the bank has notice (Sztejn v. J. Henry Schroder Banking Corporation, 1941; United City Merchants v. Royal Bank of Canada, 1983; in India, </w:t>
      </w:r>
      <w:r>
        <w:rPr>
          <w:b/>
          <w:bCs/>
          <w:sz w:val="22"/>
          <w:szCs w:val="22"/>
          <w:rFonts w:ascii="Arial" w:cs="Arial" w:eastAsia="Arial" w:hAnsi="Arial"/>
        </w:rPr>
        <w:t xml:space="preserve">U.P. Co-operative Federation v. Singh Consultants and Engineers (1988)</w:t>
      </w:r>
      <w:r>
        <w:rPr>
          <w:sz w:val="22"/>
          <w:szCs w:val="22"/>
          <w:rFonts w:ascii="Arial" w:cs="Arial" w:eastAsia="Arial" w:hAnsi="Arial"/>
        </w:rPr>
        <w:t xml:space="preserve"> — the Supreme Court refused an injunction against encashment of an irrevocable letter of credit/bank guarantee except in a case of egregious fraud; Federal Bank v. V.M. Jog Engineering, 2001 — the issuing bank must honour a credit against conforming documents and the applicant's disputes are irrelevant; Tarapore and Co. v. V/O Tractoroexport, 1970). A </w:t>
      </w:r>
      <w:r>
        <w:rPr>
          <w:b/>
          <w:bCs/>
          <w:sz w:val="22"/>
          <w:szCs w:val="22"/>
          <w:rFonts w:ascii="Arial" w:cs="Arial" w:eastAsia="Arial" w:hAnsi="Arial"/>
        </w:rPr>
        <w:t xml:space="preserve">bank guarantee</w:t>
      </w:r>
      <w:r>
        <w:rPr>
          <w:sz w:val="22"/>
          <w:szCs w:val="22"/>
          <w:rFonts w:ascii="Arial" w:cs="Arial" w:eastAsia="Arial" w:hAnsi="Arial"/>
        </w:rPr>
        <w:t xml:space="preserve"> is a contract of guarantee (Sec 126) in which the bank as surety undertakes to pay the beneficiary on the principal's default — in the common </w:t>
      </w:r>
      <w:r>
        <w:rPr>
          <w:b/>
          <w:bCs/>
          <w:sz w:val="22"/>
          <w:szCs w:val="22"/>
          <w:rFonts w:ascii="Arial" w:cs="Arial" w:eastAsia="Arial" w:hAnsi="Arial"/>
        </w:rPr>
        <w:t xml:space="preserve">unconditional or on-demand</w:t>
      </w:r>
      <w:r>
        <w:rPr>
          <w:sz w:val="22"/>
          <w:szCs w:val="22"/>
          <w:rFonts w:ascii="Arial" w:cs="Arial" w:eastAsia="Arial" w:hAnsi="Arial"/>
        </w:rPr>
        <w:t xml:space="preserve"> form the bank undertakes to pay on the beneficiary's first demand without proof of default, and the law treats it like a letter of credit: the bank must pay on demand in terms of the guarantee, the court will not grant an injunction against invocation except for fraud of an egregious nature that vitiates the whole transaction or special equities in the form of irretrievable injustice (U.P. Co-operative Federation; Svenska Handelsbanken v. Indian Charge Chrome, 1994; Hindustan Steelworks Construction v. Tarapore and Co., 1996 — a bank guarantee is an independent contract and disputes under the underlying contract are no ground for injunction; Ansal Engineering Projects v. Tehri Hydro Development Corporation, 1996; Dwarikesh Sugar Industries v. Prem Heavy Engineering Works, 1997 — the court should not grant injunctions lightly; Himadri Chemicals Industries v. Coal Tar Refining Co., 2007 — a summary of the principles; Standard Chartered Bank v. Heavy Engineering Corporation, 2019 — the bank must honour an unconditional guarantee on invocation in terms, and a court examining only the invocation cannot go into the underlying dispute); kinds — performance guarantees, financial guarantees, bid bonds, advance-payment guarantees, deferred-payment guarantees; the guarantee must be invoked within its validity period, and Sec 28 of the Contract Act (as amended in 1997 and 2013, Exception 3) permits a bank guarantee to provide for the extinction of the bank's liability if no claim is made within a period of not less than one year after the guarantee period; the RBI's guidelines on guarantees and co-acceptances (the Master Circular) regulate the issue of guarantees, the margin, and the prohibition on guarantees for capital-market and inter-company deposits.</w:t>
      </w:r>
    </w:p>
    <w:p>
      <w:pPr>
        <w:pBdr>
          <w:left w:val="single" w:color="CC0000" w:sz="6" w:space="8"/>
        </w:pBdr>
        <w:spacing w:before="80" w:after="80"/>
        <w:ind w:left="300"/>
      </w:pPr>
      <w:r>
        <w:rPr>
          <w:b/>
          <w:bCs/>
          <w:color w:val="CC0000"/>
          <w:sz w:val="21"/>
          <w:szCs w:val="21"/>
          <w:rFonts w:ascii="Arial" w:cs="Arial" w:eastAsia="Arial" w:hAnsi="Arial"/>
        </w:rPr>
        <w:t xml:space="preserve">Syndicate Bank v. Vijay Kumar (1992) 2 SCC 330 — </w:t>
      </w:r>
      <w:r>
        <w:rPr>
          <w:sz w:val="21"/>
          <w:szCs w:val="21"/>
          <w:rFonts w:ascii="Arial" w:cs="Arial" w:eastAsia="Arial" w:hAnsi="Arial"/>
        </w:rPr>
        <w:t xml:space="preserve">The banker's general lien under Sec 171 extends to fixed deposit receipts deposited as security; the lien is an implied pledge and the bank may appropriate the deposit against the customer's dues; the lien is not defeated by the deposit being the bank's own debt.</w:t>
      </w:r>
    </w:p>
    <w:p>
      <w:pPr>
        <w:pBdr>
          <w:left w:val="single" w:color="CC0000" w:sz="6" w:space="8"/>
        </w:pBdr>
        <w:spacing w:before="80" w:after="80"/>
        <w:ind w:left="300"/>
      </w:pPr>
      <w:r>
        <w:rPr>
          <w:b/>
          <w:bCs/>
          <w:color w:val="CC0000"/>
          <w:sz w:val="21"/>
          <w:szCs w:val="21"/>
          <w:rFonts w:ascii="Arial" w:cs="Arial" w:eastAsia="Arial" w:hAnsi="Arial"/>
        </w:rPr>
        <w:t xml:space="preserve">Lallan Prasad v. Rahmat Ali AIR 1967 SC 1322 — </w:t>
      </w:r>
      <w:r>
        <w:rPr>
          <w:sz w:val="21"/>
          <w:szCs w:val="21"/>
          <w:rFonts w:ascii="Arial" w:cs="Arial" w:eastAsia="Arial" w:hAnsi="Arial"/>
        </w:rPr>
        <w:t xml:space="preserve">A pawnee who has sold the goods without notice, or cannot return them, cannot recover the debt without accounting for the goods; the pawnee's special property in the goods and the pawnor's right to redeem.</w:t>
      </w:r>
    </w:p>
    <w:p>
      <w:pPr>
        <w:pBdr>
          <w:left w:val="single" w:color="CC0000" w:sz="6" w:space="8"/>
        </w:pBdr>
        <w:spacing w:before="80" w:after="80"/>
        <w:ind w:left="300"/>
      </w:pPr>
      <w:r>
        <w:rPr>
          <w:b/>
          <w:bCs/>
          <w:color w:val="CC0000"/>
          <w:sz w:val="21"/>
          <w:szCs w:val="21"/>
          <w:rFonts w:ascii="Arial" w:cs="Arial" w:eastAsia="Arial" w:hAnsi="Arial"/>
        </w:rPr>
        <w:t xml:space="preserve">Morvi Mercantile Bank Ltd. v. Union of India AIR 1965 SC 1954 — </w:t>
      </w:r>
      <w:r>
        <w:rPr>
          <w:sz w:val="21"/>
          <w:szCs w:val="21"/>
          <w:rFonts w:ascii="Arial" w:cs="Arial" w:eastAsia="Arial" w:hAnsi="Arial"/>
        </w:rPr>
        <w:t xml:space="preserve">A railway receipt is a document of title; its endorsement and delivery to a bank as security for an advance is a pledge of the goods; the bank as pledgee may sue the carrier for the full value of the goods lost.</w:t>
      </w:r>
    </w:p>
    <w:p>
      <w:pPr>
        <w:pBdr>
          <w:left w:val="single" w:color="CC0000" w:sz="6" w:space="8"/>
        </w:pBdr>
        <w:spacing w:before="80" w:after="80"/>
        <w:ind w:left="300"/>
      </w:pPr>
      <w:r>
        <w:rPr>
          <w:b/>
          <w:bCs/>
          <w:color w:val="CC0000"/>
          <w:sz w:val="21"/>
          <w:szCs w:val="21"/>
          <w:rFonts w:ascii="Arial" w:cs="Arial" w:eastAsia="Arial" w:hAnsi="Arial"/>
        </w:rPr>
        <w:t xml:space="preserve">Bank of Bihar v. Damodar Prasad AIR 1969 SC 297 — </w:t>
      </w:r>
      <w:r>
        <w:rPr>
          <w:sz w:val="21"/>
          <w:szCs w:val="21"/>
          <w:rFonts w:ascii="Arial" w:cs="Arial" w:eastAsia="Arial" w:hAnsi="Arial"/>
        </w:rPr>
        <w:t xml:space="preserve">The surety's liability is co-extensive and immediate; the creditor need not first proceed against the principal debtor; a decree cannot direct the creditor to exhaust remedies against the principal before executing against the surety.</w:t>
      </w:r>
    </w:p>
    <w:p>
      <w:pPr>
        <w:pBdr>
          <w:left w:val="single" w:color="CC0000" w:sz="6" w:space="8"/>
        </w:pBdr>
        <w:spacing w:before="80" w:after="80"/>
        <w:ind w:left="300"/>
      </w:pPr>
      <w:r>
        <w:rPr>
          <w:b/>
          <w:bCs/>
          <w:color w:val="CC0000"/>
          <w:sz w:val="21"/>
          <w:szCs w:val="21"/>
          <w:rFonts w:ascii="Arial" w:cs="Arial" w:eastAsia="Arial" w:hAnsi="Arial"/>
        </w:rPr>
        <w:t xml:space="preserve">U.P. Co-operative Federation Ltd. v. Singh Consultants and Engineers (P) Ltd. (1988) 1 SCC 174 and Hindustan Steelworks Construction Ltd. v. Tarapore and Co. (1996) 5 SCC 34 — </w:t>
      </w:r>
      <w:r>
        <w:rPr>
          <w:sz w:val="21"/>
          <w:szCs w:val="21"/>
          <w:rFonts w:ascii="Arial" w:cs="Arial" w:eastAsia="Arial" w:hAnsi="Arial"/>
        </w:rPr>
        <w:t xml:space="preserve">An unconditional bank guarantee or letter of credit must be honoured on demand irrespective of disputes under the underlying contract; a court will restrain encashment only for egregious fraud or irretrievable injustice.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Security interests are now registered electronically: CERSAI (the Central Registry under Sec 20 SARFAESI) records mortgages, hypothecations and, since 2016, all security interests including pledges of receivables, and a search of CERSAI is the modern due diligence; the RBI's 2023 direction requires release of movable and immovable property documents within thirty days of repayment. Pledges of dematerialised shares are marked electronically with the depository (NSDL/CDSL pledge-repledge system under the SEBI 2020 framework). Warehouse receipts are electronic (e-NWR) under the Warehousing Development and Regulatory Authority. Letters of credit are issued and documents presented through SWIFT and the eUCP supplement to UCP 600 (2019) governs electronic presentation; bank guarantees are issued on the e-BG platform with the National e-Governance Services Limited's digital stamping (2022), which removes the forged-guarantee problem that Sec 131-type fraud cases used to produce.</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'Banker's lien', 'Pledge', 'Hypothecation', 'Continuing guarantee', 'Co-extensive liability', 'Documents of title to goods', 'Letter of credit', 'Bank guarantee', 'Trust receipt'. Part B: 'Explain the banker's general lien under Sec 171 with the conditions and exceptions, referring to Brandao v Barnett and Syndicate Bank v Vijay Kumar'; or 'Discuss the rights of a pawnee and the surety's rights and discharges under the Contract Act as they affect bank advances'; or 'What is a letter of credit? Explain the principles of autonomy and strict compliance and the fraud exception with Indian cases'. Part C: a bank sells pledged goods without notice — Lallan Prasad, the bank must account; a creditor gives the principal debtor six months' extra time without the surety's consent — surety discharged (Sec 135) unless the guarantee waives it; a buyer seeks an injunction against the bank paying under a letter of credit because the goods are substandard — refused (Singh Consultants); a bank lends against a bill of lading that was stolen — the bank gets no title (the bill is only quasi-negotiable).</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05 — Paper That Passes Like Money: Kundan Lal Rallaram and the Negotiable Instrument</w:t>
      </w:r>
    </w:p>
    <w:p>
      <w:pPr>
        <w:pStyle w:val="Heading2"/>
        <w:spacing w:before="360" w:after="160"/>
      </w:pPr>
      <w:r>
        <w:rPr>
          <w:b/>
          <w:bCs/>
          <w:color w:val="2E75B6"/>
          <w:sz w:val="26"/>
          <w:szCs w:val="26"/>
          <w:rFonts w:ascii="Arial" w:cs="Arial" w:eastAsia="Arial" w:hAnsi="Arial"/>
        </w:rPr>
        <w:t xml:space="preserve">Covers: The Negotiable Instruments Act 1881 · Definition and essential features of negotiable instruments (Sec 13) · Negotiability versus assignability · Promissory notes (Sec 4), bills of exchange (Sec 5), cheques (Sec 6) · Analogous instruments — bank drafts, traveller's cheques, dividend warrants, hundis · The presumptions (Sec 118-119) · Holder and holder in due course (Sec 8-9) and the privileges (Sec 36, 42, 43, 46, 53, 58-59, 120-122)</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Delhi, after Partition. Kundan Lal Rallaram, a cloth merchant, sued the Custodian of Evacuee Property on a promissory note for some fourteen thousand rupees executed by a Muslim merchant who had left for Pakistan — the debt, he said, was the price of cloth he had supplied, and the promissory note was the merchant's promise to pay. The Custodian, who now held the evacuee's property, argued that no consideration had passed: the cloth had never been supplied. Kundan Lal answered that under Section 118 of the Negotiable Instruments Act the court must presume that every negotiable instrument was made for consideration, and it was for the Custodian to prove otherwise. The Supreme Court in 1961 explained how the presumption works: it shifts the burden of proof to the defendant, but the defendant may discharge it by evidence, direct or circumstantial — and, unusually, by the plaintiff's own failure to produce evidence that must have been in his possession: Kundan Lal had kept account books that would have shown the supply of cloth and did not produce them, and from that omission the court could infer that the books would not have supported him. The presumption was rebutted, and the suit failed. The case is the door into the Negotiable Instruments Act, 1881 — the law that lets a piece of paper pass from hand to hand carrying with it a promise to pay, free of the defences that would have defeated an ordinary assignment, and that supplies the presumptions of consideration, date, acceptance, endorsement and holding in due course on which the whole system of credit runs.</w:t>
      </w:r>
    </w:p>
    <w:p>
      <w:pPr>
        <w:spacing w:before="240" w:after="120"/>
      </w:pPr>
      <w:r>
        <w:rPr>
          <w:b/>
          <w:bCs/>
          <w:color w:val="404040"/>
          <w:sz w:val="23"/>
          <w:szCs w:val="23"/>
          <w:rFonts w:ascii="Arial" w:cs="Arial" w:eastAsia="Arial" w:hAnsi="Arial"/>
        </w:rPr>
        <w:t xml:space="preserve">The Act and the concept of negotiability</w:t>
      </w:r>
    </w:p>
    <w:p>
      <w:pPr>
        <w:spacing w:after="120" w:line="300"/>
        <w:jc w:val="both"/>
      </w:pPr>
      <w:r>
        <w:rPr>
          <w:sz w:val="22"/>
          <w:szCs w:val="22"/>
          <w:rFonts w:ascii="Arial" w:cs="Arial" w:eastAsia="Arial" w:hAnsi="Arial"/>
        </w:rPr>
        <w:t xml:space="preserve">The Negotiable Instruments Act, 1881 (Act XXVI of 1881) codified the English law merchant on bills, notes and cheques for India; it has been amended by the Banking Laws (Amendment) Act 1988 (Sec 138-142 dishonour of cheques, in force 1 April 1989), the Negotiable Instruments (Amendment and Miscellaneous Provisions) Act 2002 (electronic cheques, truncated cheques, Sec 143-147 summary trial and compounding), the 2015 amendment (Sec 142(2) jurisdiction), and the 2018 amendment (Sec 143A interim compensation, Sec 148 deposit in appeal). </w:t>
      </w:r>
      <w:r>
        <w:rPr>
          <w:b/>
          <w:bCs/>
          <w:sz w:val="22"/>
          <w:szCs w:val="22"/>
          <w:rFonts w:ascii="Arial" w:cs="Arial" w:eastAsia="Arial" w:hAnsi="Arial"/>
        </w:rPr>
        <w:t xml:space="preserve">Sec 13(1):</w:t>
      </w:r>
      <w:r>
        <w:rPr>
          <w:sz w:val="22"/>
          <w:szCs w:val="22"/>
          <w:rFonts w:ascii="Arial" w:cs="Arial" w:eastAsia="Arial" w:hAnsi="Arial"/>
        </w:rPr>
        <w:t xml:space="preserve"> a 'negotiable instrument' means a promissory note, bill of exchange or cheque payable either to order or to bearer — the definition is not exhaustive, and by mercantile usage other instruments (hundis, government promissory notes, bearer debentures, share warrants, dividend warrants, railway receipts by custom in some markets, treasury bills) are negotiable (Sec 1 saves local usage relating to hundis). The </w:t>
      </w:r>
      <w:r>
        <w:rPr>
          <w:b/>
          <w:bCs/>
          <w:sz w:val="22"/>
          <w:szCs w:val="22"/>
          <w:rFonts w:ascii="Arial" w:cs="Arial" w:eastAsia="Arial" w:hAnsi="Arial"/>
        </w:rPr>
        <w:t xml:space="preserve">essential features</w:t>
      </w:r>
      <w:r>
        <w:rPr>
          <w:sz w:val="22"/>
          <w:szCs w:val="22"/>
          <w:rFonts w:ascii="Arial" w:cs="Arial" w:eastAsia="Arial" w:hAnsi="Arial"/>
        </w:rPr>
        <w:t xml:space="preserve">: (1) transferability by delivery (bearer) or by endorsement and delivery (order) — Sec 46-47; (2) the transferee who takes in good faith and for value (a holder in due course) gets a title free from the defects of title of prior parties — Sec 58 — the property of negotiability; (3) the holder may sue in his own name (Sec 8); (4) presumptions of consideration and regularity (Sec 118); (5) certainty of the sum and of the parties, unconditional promise or order, payable in money only. </w:t>
      </w:r>
      <w:r>
        <w:rPr>
          <w:b/>
          <w:bCs/>
          <w:sz w:val="22"/>
          <w:szCs w:val="22"/>
          <w:rFonts w:ascii="Arial" w:cs="Arial" w:eastAsia="Arial" w:hAnsi="Arial"/>
        </w:rPr>
        <w:t xml:space="preserve">Negotiability versus assignability:</w:t>
      </w:r>
      <w:r>
        <w:rPr>
          <w:sz w:val="22"/>
          <w:szCs w:val="22"/>
          <w:rFonts w:ascii="Arial" w:cs="Arial" w:eastAsia="Arial" w:hAnsi="Arial"/>
        </w:rPr>
        <w:t xml:space="preserve"> an ordinary chose in action (a debt, a contract right) is transferred by assignment under Sec 130 of the Transfer of Property Act by a written instrument, notice to the debtor is needed to bind him (Sec 131), the assignee takes subject to all the equities and defences available against the assignor at the date of notice (Sec 132), and the assignee sues in his own name but must prove his title; a negotiable instrument is transferred by delivery or endorsement without a separate instrument, no notice is required, the holder in due course takes free of prior defects and defences (nemo dat quod non habet does not apply), consideration is presumed, and the holder sues in his own name on the instrument alone. 'Negotiation' (Sec 14 — transfer so as to constitute the transferee the holder) is thus a mode of transfer superior to assignment; a </w:t>
      </w:r>
      <w:r>
        <w:rPr>
          <w:b/>
          <w:bCs/>
          <w:sz w:val="22"/>
          <w:szCs w:val="22"/>
          <w:rFonts w:ascii="Arial" w:cs="Arial" w:eastAsia="Arial" w:hAnsi="Arial"/>
        </w:rPr>
        <w:t xml:space="preserve">'not negotiable' crossing</w:t>
      </w:r>
      <w:r>
        <w:rPr>
          <w:sz w:val="22"/>
          <w:szCs w:val="22"/>
          <w:rFonts w:ascii="Arial" w:cs="Arial" w:eastAsia="Arial" w:hAnsi="Arial"/>
        </w:rPr>
        <w:t xml:space="preserve"> (Sec 130) removes the second feature while leaving transferability, and an instrument marked 'not transferable' or 'account payee' restricts it further.</w:t>
      </w:r>
    </w:p>
    <w:p>
      <w:pPr>
        <w:spacing w:before="240" w:after="120"/>
      </w:pPr>
      <w:r>
        <w:rPr>
          <w:b/>
          <w:bCs/>
          <w:color w:val="404040"/>
          <w:sz w:val="23"/>
          <w:szCs w:val="23"/>
          <w:rFonts w:ascii="Arial" w:cs="Arial" w:eastAsia="Arial" w:hAnsi="Arial"/>
        </w:rPr>
        <w:t xml:space="preserve">The three instruments</w:t>
      </w:r>
    </w:p>
    <w:p>
      <w:pPr>
        <w:spacing w:before="60" w:after="60"/>
        <w:ind w:left="200"/>
      </w:pPr>
      <w:r>
        <w:rPr>
          <w:b/>
          <w:bCs/>
          <w:color w:val="1F4E79"/>
          <w:sz w:val="22"/>
          <w:szCs w:val="22"/>
          <w:rFonts w:ascii="Arial" w:cs="Arial" w:eastAsia="Arial" w:hAnsi="Arial"/>
        </w:rPr>
        <w:t xml:space="preserve">Promissory note — Sec 4: </w:t>
      </w:r>
      <w:r>
        <w:rPr>
          <w:sz w:val="22"/>
          <w:szCs w:val="22"/>
          <w:rFonts w:ascii="Arial" w:cs="Arial" w:eastAsia="Arial" w:hAnsi="Arial"/>
        </w:rPr>
        <w:t xml:space="preserve">An instrument in writing (not being a bank-note or a currency-note) containing an unconditional undertaking, signed by the maker, to pay a certain sum of money only to, or to the order of, a certain person, or to the bearer of the instrument. Essentials: in writing; an express promise, not a mere acknowledgment ('I owe you' is not a note; 'I promise to pay' is); unconditional (a promise to pay 'when able' or 'on the sale of the house' is not a note, but 'on demand' or at a fixed time or on the happening of an event certain to happen is); signed by the maker; certain parties (the maker and the payee must be certain — Sec 5? — the payee may be indicated by description); certain sum (with interest at a stated rate is certain; 'with such interest as may be due' is not); payable in money only; stamped under the Indian Stamp Act (Art 49 — an unstamped or insufficiently stamped note is inadmissible in evidence and cannot be validated by payment of the penalty, Sec 35 Stamp Act — the classic Part C trap); a note payable to bearer on demand cannot be made except by the RBI or the Central Government (Sec 31 RBI Act). Parties: maker, payee, and, after negotiation, endorsers and holders. Two persons may sign as joint makers (jointly and severally liable, Sec 43 Contract Act).</w:t>
      </w:r>
    </w:p>
    <w:p>
      <w:pPr>
        <w:spacing w:before="60" w:after="60"/>
        <w:ind w:left="200"/>
      </w:pPr>
      <w:r>
        <w:rPr>
          <w:b/>
          <w:bCs/>
          <w:color w:val="1F4E79"/>
          <w:sz w:val="22"/>
          <w:szCs w:val="22"/>
          <w:rFonts w:ascii="Arial" w:cs="Arial" w:eastAsia="Arial" w:hAnsi="Arial"/>
        </w:rPr>
        <w:t xml:space="preserve">Bill of exchange — Sec 5: </w:t>
      </w:r>
      <w:r>
        <w:rPr>
          <w:sz w:val="22"/>
          <w:szCs w:val="22"/>
          <w:rFonts w:ascii="Arial" w:cs="Arial" w:eastAsia="Arial" w:hAnsi="Arial"/>
        </w:rPr>
        <w:t xml:space="preserve">An instrument in writing containing an unconditional order, signed by the maker, directing a certain person to pay a certain sum of money only to, or to the order of, a certain person or to the bearer of the instrument. Essentials: an order, not a request; unconditional; three parties — the drawer (who gives the order), the drawee (to whom it is addressed and who becomes the acceptor on acceptance, Sec 7), and the payee; the drawee must be certain (Sec 5 Explanation? — a bill may be drawn on two drawees jointly, not in the alternative); the sum certain; payable on demand or after a fixed period (usance bill) — a bill payable 'after sight' matures three days after acceptance (days of grace, Sec 22 — abolished for cheques; the Act allows three days of grace for bills and notes not payable on demand); the acceptor's liability arises on acceptance (Sec 32); inland (Sec 11 — drawn and payable in India, or drawn in India on a person resident in India) and foreign bills (Sec 12 — drawn in sets, Sec 132-133); the bill may be drawn payable to the drawer's own order; presentment for acceptance (Sec 61) and for payment (Sec 64), noting and protest on dishonour (Sec 99-104 — protest is compulsory for foreign bills where the law of the place of drawing requires it); acceptance for honour (Sec 108-112) and payment for honour (Sec 113-114). The bill is the instrument of trade credit: a seller draws on the buyer, who accepts; the seller discounts the bill with a bank.</w:t>
      </w:r>
    </w:p>
    <w:p>
      <w:pPr>
        <w:spacing w:before="60" w:after="60"/>
        <w:ind w:left="200"/>
      </w:pPr>
      <w:r>
        <w:rPr>
          <w:b/>
          <w:bCs/>
          <w:color w:val="1F4E79"/>
          <w:sz w:val="22"/>
          <w:szCs w:val="22"/>
          <w:rFonts w:ascii="Arial" w:cs="Arial" w:eastAsia="Arial" w:hAnsi="Arial"/>
        </w:rPr>
        <w:t xml:space="preserve">Cheque — Sec 6: </w:t>
      </w:r>
      <w:r>
        <w:rPr>
          <w:sz w:val="22"/>
          <w:szCs w:val="22"/>
          <w:rFonts w:ascii="Arial" w:cs="Arial" w:eastAsia="Arial" w:hAnsi="Arial"/>
        </w:rPr>
        <w:t xml:space="preserve">A bill of exchange drawn on a specified banker and not expressed to be payable otherwise than on demand, and (2002) includes the electronic image of a truncated cheque and a cheque in the electronic form. Explanation I: a 'cheque in the electronic form' is a cheque drawn in electronic form using any computer resource and signed in a secure system with a digital signature (with or without biometrics) and asymmetric crypto system (2015: or electronic signature); a 'truncated cheque' is a cheque truncated during the course of a clearing cycle, either by the clearing house or by the paying or collecting bank, immediately on generation of an electronic image for transmission, substituting the further physical movement of the cheque — the basis of the Cheque Truncation System (CTS) which has operated nationally since 2010-2014. A cheque differs from a bill: always drawn on a banker; always payable on demand; no acceptance (Sec 7 does not apply — a banker's 'marking' is a certification, not acceptance); no days of grace; may be crossed (Sec 123-131A); may be countermanded (Sec 31 read with Sec 90?); the drawer is discharged only if the holder's delay in presentment causes loss (Sec 84 — the drawer is discharged to the extent of the damage where the bank fails between the time the cheque should have been presented and the time it was); the banker is not liable to the holder (there is no privity — the holder's remedy is against the drawer and endorsers; the banker's duty under Sec 31 is to the drawer); statutory protection to the paying and collecting banker (Sec 85, 128, 131); the criminal remedy for dishonour (Sec 138). Post-dated cheques are cheques (Sec 6 read with Sec 138 — a post-dated cheque is a bill until its date, and the presumption of Sec 139 applies from the date; Anil Kumar Sawhney v. Gulshan Rai, 1993), stale cheques (older than three months from the date, by the RBI's 2011 direction reducing the period from six months) are not paid, ante-dated and mutilated cheques raise questions of alteration (Sec 87-89).</w:t>
      </w:r>
    </w:p>
    <w:p>
      <w:pPr>
        <w:spacing w:before="240" w:after="120"/>
      </w:pPr>
      <w:r>
        <w:rPr>
          <w:b/>
          <w:bCs/>
          <w:color w:val="404040"/>
          <w:sz w:val="23"/>
          <w:szCs w:val="23"/>
          <w:rFonts w:ascii="Arial" w:cs="Arial" w:eastAsia="Arial" w:hAnsi="Arial"/>
        </w:rPr>
        <w:t xml:space="preserve">Analogous instruments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Bank draft</w:t>
      </w:r>
      <w:r>
        <w:rPr>
          <w:sz w:val="22"/>
          <w:szCs w:val="22"/>
          <w:rFonts w:ascii="Arial" w:cs="Arial" w:eastAsia="Arial" w:hAnsi="Arial"/>
        </w:rPr>
        <w:t xml:space="preserve"> — Sec 85A: a draft drawn by one office of a bank on another office of the same bank is a bill of exchange; the paying banker is protected as for cheques; it cannot be stopped by the purchaser after delivery (Episode 03); a draft is 'payable to order' and may be crossed. </w:t>
      </w:r>
      <w:r>
        <w:rPr>
          <w:b/>
          <w:bCs/>
          <w:sz w:val="22"/>
          <w:szCs w:val="22"/>
          <w:rFonts w:ascii="Arial" w:cs="Arial" w:eastAsia="Arial" w:hAnsi="Arial"/>
        </w:rPr>
        <w:t xml:space="preserve">Traveller's cheque</w:t>
      </w:r>
      <w:r>
        <w:rPr>
          <w:sz w:val="22"/>
          <w:szCs w:val="22"/>
          <w:rFonts w:ascii="Arial" w:cs="Arial" w:eastAsia="Arial" w:hAnsi="Arial"/>
        </w:rPr>
        <w:t xml:space="preserve"> — an instrument issued by a bank in fixed denominations, signed by the purchaser at issue and countersigned at encashment; not a cheque within Sec 6 (no drawee banker distinct from the drawer; payable on the purchaser's countersignature), but treated as a negotiable instrument by usage, and the issuing bank's undertaking is that of the maker of a promissory note; refund on loss is contractual. </w:t>
      </w:r>
      <w:r>
        <w:rPr>
          <w:b/>
          <w:bCs/>
          <w:sz w:val="22"/>
          <w:szCs w:val="22"/>
          <w:rFonts w:ascii="Arial" w:cs="Arial" w:eastAsia="Arial" w:hAnsi="Arial"/>
        </w:rPr>
        <w:t xml:space="preserve">Dividend warrant</w:t>
      </w:r>
      <w:r>
        <w:rPr>
          <w:sz w:val="22"/>
          <w:szCs w:val="22"/>
          <w:rFonts w:ascii="Arial" w:cs="Arial" w:eastAsia="Arial" w:hAnsi="Arial"/>
        </w:rPr>
        <w:t xml:space="preserve"> — a company's order on its bank to pay a dividend to a shareholder; a cheque for the purposes of the paying banker's protection (Sec 85A? — the English Bills of Exchange Act Sec 95 treats it as a cheque; Indian practice does the same, and dividend warrants are crossed 'account payee'); after 2013 dividends are paid electronically or by 'dividend cheques'. </w:t>
      </w:r>
      <w:r>
        <w:rPr>
          <w:b/>
          <w:bCs/>
          <w:sz w:val="22"/>
          <w:szCs w:val="22"/>
          <w:rFonts w:ascii="Arial" w:cs="Arial" w:eastAsia="Arial" w:hAnsi="Arial"/>
        </w:rPr>
        <w:t xml:space="preserve">Interest warrant</w:t>
      </w:r>
      <w:r>
        <w:rPr>
          <w:sz w:val="22"/>
          <w:szCs w:val="22"/>
          <w:rFonts w:ascii="Arial" w:cs="Arial" w:eastAsia="Arial" w:hAnsi="Arial"/>
        </w:rPr>
        <w:t xml:space="preserve"> — the same for interest on debentures or government securities. </w:t>
      </w:r>
      <w:r>
        <w:rPr>
          <w:b/>
          <w:bCs/>
          <w:sz w:val="22"/>
          <w:szCs w:val="22"/>
          <w:rFonts w:ascii="Arial" w:cs="Arial" w:eastAsia="Arial" w:hAnsi="Arial"/>
        </w:rPr>
        <w:t xml:space="preserve">Hundi</w:t>
      </w:r>
      <w:r>
        <w:rPr>
          <w:sz w:val="22"/>
          <w:szCs w:val="22"/>
          <w:rFonts w:ascii="Arial" w:cs="Arial" w:eastAsia="Arial" w:hAnsi="Arial"/>
        </w:rPr>
        <w:t xml:space="preserve"> — the indigenous bill of exchange (darshani hundi — sight; muddati hundi — usance; shah-jog hundi — payable only to a respectable holder, a 'shah'; jokhmi hundi — conditional on the safe arrival of goods, and therefore not a negotiable instrument; nam-jog, dhani-jog, firman-jog) governed by local usage saved by Sec 1 and, where no usage is proved, by the Act. </w:t>
      </w:r>
      <w:r>
        <w:rPr>
          <w:b/>
          <w:bCs/>
          <w:sz w:val="22"/>
          <w:szCs w:val="22"/>
          <w:rFonts w:ascii="Arial" w:cs="Arial" w:eastAsia="Arial" w:hAnsi="Arial"/>
        </w:rPr>
        <w:t xml:space="preserve">Government promissory notes</w:t>
      </w:r>
      <w:r>
        <w:rPr>
          <w:sz w:val="22"/>
          <w:szCs w:val="22"/>
          <w:rFonts w:ascii="Arial" w:cs="Arial" w:eastAsia="Arial" w:hAnsi="Arial"/>
        </w:rPr>
        <w:t xml:space="preserve"> and treasury bills are negotiable by the Public Debt Act 1944 / Government Securities Act 2006. </w:t>
      </w:r>
      <w:r>
        <w:rPr>
          <w:b/>
          <w:bCs/>
          <w:sz w:val="22"/>
          <w:szCs w:val="22"/>
          <w:rFonts w:ascii="Arial" w:cs="Arial" w:eastAsia="Arial" w:hAnsi="Arial"/>
        </w:rPr>
        <w:t xml:space="preserve">Bearer debentures</w:t>
      </w:r>
      <w:r>
        <w:rPr>
          <w:sz w:val="22"/>
          <w:szCs w:val="22"/>
          <w:rFonts w:ascii="Arial" w:cs="Arial" w:eastAsia="Arial" w:hAnsi="Arial"/>
        </w:rPr>
        <w:t xml:space="preserve"> and </w:t>
      </w:r>
      <w:r>
        <w:rPr>
          <w:b/>
          <w:bCs/>
          <w:sz w:val="22"/>
          <w:szCs w:val="22"/>
          <w:rFonts w:ascii="Arial" w:cs="Arial" w:eastAsia="Arial" w:hAnsi="Arial"/>
        </w:rPr>
        <w:t xml:space="preserve">share warrants</w:t>
      </w:r>
      <w:r>
        <w:rPr>
          <w:sz w:val="22"/>
          <w:szCs w:val="22"/>
          <w:rFonts w:ascii="Arial" w:cs="Arial" w:eastAsia="Arial" w:hAnsi="Arial"/>
        </w:rPr>
        <w:t xml:space="preserve"> are negotiable by usage. The </w:t>
      </w:r>
      <w:r>
        <w:rPr>
          <w:b/>
          <w:bCs/>
          <w:sz w:val="22"/>
          <w:szCs w:val="22"/>
          <w:rFonts w:ascii="Arial" w:cs="Arial" w:eastAsia="Arial" w:hAnsi="Arial"/>
        </w:rPr>
        <w:t xml:space="preserve">Reserve Bank's Payment Systems</w:t>
      </w:r>
      <w:r>
        <w:rPr>
          <w:sz w:val="22"/>
          <w:szCs w:val="22"/>
          <w:rFonts w:ascii="Arial" w:cs="Arial" w:eastAsia="Arial" w:hAnsi="Arial"/>
        </w:rPr>
        <w:t xml:space="preserve"> — NEFT, RTGS, IMPS, UPI, NACH — are not negotiable instruments but electronic fund transfers governed by the Payment and Settlement Systems Act 2007 and the RBI's regulations; the Act's Sec 138 remedy does not apply to a failed e-transfer, only civil and consumer remedies do.</w:t>
      </w:r>
    </w:p>
    <w:p>
      <w:pPr>
        <w:spacing w:before="240" w:after="120"/>
      </w:pPr>
      <w:r>
        <w:rPr>
          <w:b/>
          <w:bCs/>
          <w:color w:val="404040"/>
          <w:sz w:val="23"/>
          <w:szCs w:val="23"/>
          <w:rFonts w:ascii="Arial" w:cs="Arial" w:eastAsia="Arial" w:hAnsi="Arial"/>
        </w:rPr>
        <w:t xml:space="preserve">Presumptions — Sec 118-119</w:t>
      </w:r>
    </w:p>
    <w:p>
      <w:pPr>
        <w:spacing w:after="120" w:line="300"/>
        <w:jc w:val="both"/>
      </w:pPr>
      <w:r>
        <w:rPr>
          <w:sz w:val="22"/>
          <w:szCs w:val="22"/>
          <w:rFonts w:ascii="Arial" w:cs="Arial" w:eastAsia="Arial" w:hAnsi="Arial"/>
        </w:rPr>
        <w:t xml:space="preserve">Until the contrary is proved, the following presumptions shall be made: (a) that every negotiable instrument was made or drawn for consideration, and that every such instrument when it has been accepted, endorsed, negotiated or transferred was accepted, endorsed, negotiated or transferred for consideration; (b) that every instrument bearing a date was made or drawn on such date; (c) that every accepted bill was accepted within a reasonable time after its date and before its maturity; (d) that every transfer was made before maturity; (e) that the endorsements appearing on it were made in the order in which they appear; (f) that a lost instrument was duly stamped; and (g) that the holder of a negotiable instrument is a holder in due course — provided that where the instrument was obtained from its lawful owner or custodian by means of an offence or fraud, or for an unlawful consideration, the burden of proving that the holder is a holder in due course lies on him. </w:t>
      </w:r>
      <w:r>
        <w:rPr>
          <w:b/>
          <w:bCs/>
          <w:sz w:val="22"/>
          <w:szCs w:val="22"/>
          <w:rFonts w:ascii="Arial" w:cs="Arial" w:eastAsia="Arial" w:hAnsi="Arial"/>
        </w:rPr>
        <w:t xml:space="preserve">Sec 119:</w:t>
      </w:r>
      <w:r>
        <w:rPr>
          <w:sz w:val="22"/>
          <w:szCs w:val="22"/>
          <w:rFonts w:ascii="Arial" w:cs="Arial" w:eastAsia="Arial" w:hAnsi="Arial"/>
        </w:rPr>
        <w:t xml:space="preserve"> in a suit on an instrument which has been dishonoured, the court shall, on proof of the protest, presume the fact of dishonour. The presumptions are rebuttable presumptions of law ('shall presume', Sec 4 Evidence Act); they shift the burden of proof to the defendant, who may rebut by direct evidence, by circumstantial evidence, or by the plaintiff's own evidence and omissions (Kundan Lal Rallaram v. Custodian, Evacuee Property, 1961; Bharat Barrel and Drum Manufacturing Co. v. Amin Chand Payrelal, 1999 — once execution is admitted the presumption of consideration arises and the defendant must prove the absence of consideration on a preponderance of probabilities, though he may rely on the plaintiff's evidence; Rangappa v. Sri Mohan, 2010, on the parallel presumption under Sec 139 for cheques — the presumption includes the existence of a legally enforceable debt, and the accused may rebut it on a preponderance of probabilities; Basalingappa v. Mudibasappa, 2019; Bir Singh v. Mukesh Kumar, 2019 — a signed blank cheque filled in later attracts the presumption).</w:t>
      </w:r>
    </w:p>
    <w:p>
      <w:pPr>
        <w:spacing w:before="240" w:after="120"/>
      </w:pPr>
      <w:r>
        <w:rPr>
          <w:b/>
          <w:bCs/>
          <w:color w:val="404040"/>
          <w:sz w:val="23"/>
          <w:szCs w:val="23"/>
          <w:rFonts w:ascii="Arial" w:cs="Arial" w:eastAsia="Arial" w:hAnsi="Arial"/>
        </w:rPr>
        <w:t xml:space="preserve">Holder and holder in due course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8 — holder:</w:t>
      </w:r>
      <w:r>
        <w:rPr>
          <w:sz w:val="22"/>
          <w:szCs w:val="22"/>
          <w:rFonts w:ascii="Arial" w:cs="Arial" w:eastAsia="Arial" w:hAnsi="Arial"/>
        </w:rPr>
        <w:t xml:space="preserve"> any person entitled in his own name to the possession of the instrument and to receive or recover the amount due thereon from the parties thereto; a person who has lost the instrument or from whom it was stolen is still the holder as against the thief? — the Explanation? — the holder must have possession de jure (a thief or finder is not a holder; an agent in possession for his principal is not); the holder may sue in his own name, may negotiate, may give a valid discharge (Sec 82), may obtain a duplicate of a lost bill (Sec 45A). </w:t>
      </w:r>
      <w:r>
        <w:rPr>
          <w:b/>
          <w:bCs/>
          <w:sz w:val="22"/>
          <w:szCs w:val="22"/>
          <w:rFonts w:ascii="Arial" w:cs="Arial" w:eastAsia="Arial" w:hAnsi="Arial"/>
        </w:rPr>
        <w:t xml:space="preserve">Sec 9 — holder in due course:</w:t>
      </w:r>
      <w:r>
        <w:rPr>
          <w:sz w:val="22"/>
          <w:szCs w:val="22"/>
          <w:rFonts w:ascii="Arial" w:cs="Arial" w:eastAsia="Arial" w:hAnsi="Arial"/>
        </w:rPr>
        <w:t xml:space="preserve"> any person who for </w:t>
      </w:r>
      <w:r>
        <w:rPr>
          <w:b/>
          <w:bCs/>
          <w:sz w:val="22"/>
          <w:szCs w:val="22"/>
          <w:rFonts w:ascii="Arial" w:cs="Arial" w:eastAsia="Arial" w:hAnsi="Arial"/>
        </w:rPr>
        <w:t xml:space="preserve">consideration</w:t>
      </w:r>
      <w:r>
        <w:rPr>
          <w:sz w:val="22"/>
          <w:szCs w:val="22"/>
          <w:rFonts w:ascii="Arial" w:cs="Arial" w:eastAsia="Arial" w:hAnsi="Arial"/>
        </w:rPr>
        <w:t xml:space="preserve"> became the possessor of a promissory note, bill or cheque if payable to bearer, or the payee or endorsee thereof if payable to order, </w:t>
      </w:r>
      <w:r>
        <w:rPr>
          <w:b/>
          <w:bCs/>
          <w:sz w:val="22"/>
          <w:szCs w:val="22"/>
          <w:rFonts w:ascii="Arial" w:cs="Arial" w:eastAsia="Arial" w:hAnsi="Arial"/>
        </w:rPr>
        <w:t xml:space="preserve">before the amount mentioned in it became payable</w:t>
      </w:r>
      <w:r>
        <w:rPr>
          <w:sz w:val="22"/>
          <w:szCs w:val="22"/>
          <w:rFonts w:ascii="Arial" w:cs="Arial" w:eastAsia="Arial" w:hAnsi="Arial"/>
        </w:rPr>
        <w:t xml:space="preserve">, and </w:t>
      </w:r>
      <w:r>
        <w:rPr>
          <w:b/>
          <w:bCs/>
          <w:sz w:val="22"/>
          <w:szCs w:val="22"/>
          <w:rFonts w:ascii="Arial" w:cs="Arial" w:eastAsia="Arial" w:hAnsi="Arial"/>
        </w:rPr>
        <w:t xml:space="preserve">without having sufficient cause to believe that any defect existed in the title</w:t>
      </w:r>
      <w:r>
        <w:rPr>
          <w:sz w:val="22"/>
          <w:szCs w:val="22"/>
          <w:rFonts w:ascii="Arial" w:cs="Arial" w:eastAsia="Arial" w:hAnsi="Arial"/>
        </w:rPr>
        <w:t xml:space="preserve"> of the person from whom he derived his title. Conditions: (1) for value — consideration actually given (a donee is not); (2) before maturity — a person who takes an overdue instrument takes it subject to defects (Sec 59); (3) in good faith and with due care — the Indian test 'without sufficient cause to believe' is stricter than the English 'in good faith without notice' (Sec 29 Bills of Exchange Act): negligence, or circumstances that would put a reasonable person on inquiry, defeat the status (U. Ponnappa Moothan Sons v. Catholic Syrian Bank, 1991 — a bank that took a cheque for collection without care was not a holder in due course); (4) the instrument must be complete and regular on its face (Sec 20 inchoate instruments — a holder in due course of a blank instrument filled in beyond the authority can enforce it for the amount filled in, subject to the stamp); (5) the holder must have obtained the instrument by lawful means. </w:t>
      </w:r>
      <w:r>
        <w:rPr>
          <w:b/>
          <w:bCs/>
          <w:sz w:val="22"/>
          <w:szCs w:val="22"/>
          <w:rFonts w:ascii="Arial" w:cs="Arial" w:eastAsia="Arial" w:hAnsi="Arial"/>
        </w:rPr>
        <w:t xml:space="preserve">Privileges of a holder in due course:</w:t>
      </w:r>
      <w:r>
        <w:rPr>
          <w:sz w:val="22"/>
          <w:szCs w:val="22"/>
          <w:rFonts w:ascii="Arial" w:cs="Arial" w:eastAsia="Arial" w:hAnsi="Arial"/>
        </w:rPr>
        <w:t xml:space="preserve"> Sec 20 — inchoate instrument enforceable; Sec 36 — every prior party liable to him until satisfaction; Sec 42 — a bill drawn on a fictitious drawee or payable to a fictitious payee is enforceable by a holder in due course against the acceptor; Sec 43 — no defence of absence or failure of consideration against him; Sec 46 — a conditional or special-purpose delivery cannot be set up against him; Sec 53 — a holder deriving title from a holder in due course has the rights of the holder in due course (the 'shelter' rule); </w:t>
      </w:r>
      <w:r>
        <w:rPr>
          <w:b/>
          <w:bCs/>
          <w:sz w:val="22"/>
          <w:szCs w:val="22"/>
          <w:rFonts w:ascii="Arial" w:cs="Arial" w:eastAsia="Arial" w:hAnsi="Arial"/>
        </w:rPr>
        <w:t xml:space="preserve">Sec 58 — an instrument obtained by an offence, fraud or for an unlawful consideration cannot be enforced by the possessor or an endorsee, except a holder in due course</w:t>
      </w:r>
      <w:r>
        <w:rPr>
          <w:sz w:val="22"/>
          <w:szCs w:val="22"/>
          <w:rFonts w:ascii="Arial" w:cs="Arial" w:eastAsia="Arial" w:hAnsi="Arial"/>
        </w:rPr>
        <w:t xml:space="preserve">; Sec 59 — a person taking after maturity or with notice of dishonour has only the rights of the transferor; Sec 118(g) — the presumption; Sec 120 — no maker of a note, drawer of a bill or cheque, or acceptor of a bill payable to order shall in a suit by a holder in due course be permitted to deny the validity of the instrument as originally made or drawn; Sec 121 — no maker or acceptor may deny the payee's capacity to endorse; Sec 122 — no endorser may deny the signature or capacity of any prior party. The concept is central: negotiability exists for the holder in due course; everyone else takes an assignable debt.</w:t>
      </w:r>
    </w:p>
    <w:p>
      <w:pPr>
        <w:pBdr>
          <w:left w:val="single" w:color="CC0000" w:sz="6" w:space="8"/>
        </w:pBdr>
        <w:spacing w:before="80" w:after="80"/>
        <w:ind w:left="300"/>
      </w:pPr>
      <w:r>
        <w:rPr>
          <w:b/>
          <w:bCs/>
          <w:color w:val="CC0000"/>
          <w:sz w:val="21"/>
          <w:szCs w:val="21"/>
          <w:rFonts w:ascii="Arial" w:cs="Arial" w:eastAsia="Arial" w:hAnsi="Arial"/>
        </w:rPr>
        <w:t xml:space="preserve">Kundan Lal Rallaram v. Custodian, Evacuee Property AIR 1961 SC 1316 — </w:t>
      </w:r>
      <w:r>
        <w:rPr>
          <w:sz w:val="21"/>
          <w:szCs w:val="21"/>
          <w:rFonts w:ascii="Arial" w:cs="Arial" w:eastAsia="Arial" w:hAnsi="Arial"/>
        </w:rPr>
        <w:t xml:space="preserve">The presumption of consideration under Sec 118 shifts the burden to the defendant, but it may be rebutted by circumstantial evidence including the plaintiff's failure to produce his own account books; the presumption is one of law, not fact.</w:t>
      </w:r>
    </w:p>
    <w:p>
      <w:pPr>
        <w:pBdr>
          <w:left w:val="single" w:color="CC0000" w:sz="6" w:space="8"/>
        </w:pBdr>
        <w:spacing w:before="80" w:after="80"/>
        <w:ind w:left="300"/>
      </w:pPr>
      <w:r>
        <w:rPr>
          <w:b/>
          <w:bCs/>
          <w:color w:val="CC0000"/>
          <w:sz w:val="21"/>
          <w:szCs w:val="21"/>
          <w:rFonts w:ascii="Arial" w:cs="Arial" w:eastAsia="Arial" w:hAnsi="Arial"/>
        </w:rPr>
        <w:t xml:space="preserve">Bharat Barrel and Drum Manufacturing Co. v. Amin Chand Payrelal (1999) 3 SCC 35 — </w:t>
      </w:r>
      <w:r>
        <w:rPr>
          <w:sz w:val="21"/>
          <w:szCs w:val="21"/>
          <w:rFonts w:ascii="Arial" w:cs="Arial" w:eastAsia="Arial" w:hAnsi="Arial"/>
        </w:rPr>
        <w:t xml:space="preserve">Once execution of a promissory note is admitted, the Sec 118 presumption of consideration arises; the defendant must prove absence of consideration on a preponderance of probabilities, and may do so by relying on the plaintiff's case.</w:t>
      </w:r>
    </w:p>
    <w:p>
      <w:pPr>
        <w:pBdr>
          <w:left w:val="single" w:color="CC0000" w:sz="6" w:space="8"/>
        </w:pBdr>
        <w:spacing w:before="80" w:after="80"/>
        <w:ind w:left="300"/>
      </w:pPr>
      <w:r>
        <w:rPr>
          <w:b/>
          <w:bCs/>
          <w:color w:val="CC0000"/>
          <w:sz w:val="21"/>
          <w:szCs w:val="21"/>
          <w:rFonts w:ascii="Arial" w:cs="Arial" w:eastAsia="Arial" w:hAnsi="Arial"/>
        </w:rPr>
        <w:t xml:space="preserve">U. Ponnappa Moothan Sons v. Catholic Syrian Bank Ltd. (1991) 1 SCC 113 — </w:t>
      </w:r>
      <w:r>
        <w:rPr>
          <w:sz w:val="21"/>
          <w:szCs w:val="21"/>
          <w:rFonts w:ascii="Arial" w:cs="Arial" w:eastAsia="Arial" w:hAnsi="Arial"/>
        </w:rPr>
        <w:t xml:space="preserve">The Indian test for a holder in due course — 'without sufficient cause to believe' that a defect existed — is stricter than the English good-faith test; a bank that collects a cheque without due care is not a holder in due course.</w:t>
      </w:r>
    </w:p>
    <w:p>
      <w:pPr>
        <w:pBdr>
          <w:left w:val="single" w:color="CC0000" w:sz="6" w:space="8"/>
        </w:pBdr>
        <w:spacing w:before="80" w:after="80"/>
        <w:ind w:left="300"/>
      </w:pPr>
      <w:r>
        <w:rPr>
          <w:b/>
          <w:bCs/>
          <w:color w:val="CC0000"/>
          <w:sz w:val="21"/>
          <w:szCs w:val="21"/>
          <w:rFonts w:ascii="Arial" w:cs="Arial" w:eastAsia="Arial" w:hAnsi="Arial"/>
        </w:rPr>
        <w:t xml:space="preserve">Anil Kumar Sawhney v. Gulshan Rai (1993) 4 SCC 424 — </w:t>
      </w:r>
      <w:r>
        <w:rPr>
          <w:sz w:val="21"/>
          <w:szCs w:val="21"/>
          <w:rFonts w:ascii="Arial" w:cs="Arial" w:eastAsia="Arial" w:hAnsi="Arial"/>
        </w:rPr>
        <w:t xml:space="preserve">A post-dated cheque is a bill of exchange until the date written on it and becomes a cheque on that date; Sec 138 applies on presentation after that date.</w:t>
      </w:r>
    </w:p>
    <w:p>
      <w:pPr>
        <w:pBdr>
          <w:left w:val="single" w:color="CC0000" w:sz="6" w:space="8"/>
        </w:pBdr>
        <w:spacing w:before="80" w:after="80"/>
        <w:ind w:left="300"/>
      </w:pPr>
      <w:r>
        <w:rPr>
          <w:b/>
          <w:bCs/>
          <w:color w:val="CC0000"/>
          <w:sz w:val="21"/>
          <w:szCs w:val="21"/>
          <w:rFonts w:ascii="Arial" w:cs="Arial" w:eastAsia="Arial" w:hAnsi="Arial"/>
        </w:rPr>
        <w:t xml:space="preserve">Bir Singh v. Mukesh Kumar (2019) 4 SCC 197 — </w:t>
      </w:r>
      <w:r>
        <w:rPr>
          <w:sz w:val="21"/>
          <w:szCs w:val="21"/>
          <w:rFonts w:ascii="Arial" w:cs="Arial" w:eastAsia="Arial" w:hAnsi="Arial"/>
        </w:rPr>
        <w:t xml:space="preserve">A signed blank cheque voluntarily handed over towards a payment attracts the presumption under Sec 139 even if the details are filled in by another; the drawer must rebut the presumption.</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Act now recognises electronic cheques and truncated cheques (Sec 6 Explanations), and the Cheque Truncation System with 'positive pay' (the RBI's 2021 mandate for cheques above fifty thousand rupees — the drawer pre-confirms the details electronically) is the modern answer to alteration and forgery. Electronic signatures under the IT Act (Sec 3A) can sign an electronic cheque. The presumptions of Sec 118 apply to electronic instruments once the electronic record is proved under Sec 63 BSA. Digital promissory notes are being tested on the RBI's regulatory sandbox and the Sec 31 RBI Act bar on bearer demand notes applies to them. UPI and IMPS transfers are not negotiable instruments — a failed transfer is a payment-system dispute under the PSS Act and the Ombudsman scheme, not a Sec 138 offence — a distinction that Part C problems now test.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'Negotiable instrument', 'Negotiability vs assignability', 'Holder in due course', 'Promissory note', 'Post-dated cheque', 'Truncated cheque', 'Presumptions under Sec 118', 'Hundi'. Part B: 'Define a negotiable instrument and explain its essential characteristics; distinguish negotiability from assignability'; or 'Who is a holder in due course? What are his privileges?' — Sec 9 conditions with Ponnappa Moothan, then the privileges section by section; or 'Distinguish a promissory note, a bill of exchange and a cheque' — a table of ten points. Part C: an instrument reading 'I owe you Rs 5,000' — not a note; a cheque taken for a debt after the payee knew it was stolen — not a holder in due course, Sec 58; a defendant admits signing a note but says no money was received — the Sec 118 presumption applies and he must rebut (Bharat Barrel); a note payable to bearer on demand executed by a trader — void under Sec 31 RBI Act.</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06 — Not Negotiable: Great Western Railway and the Anatomy of a Cheque</w:t>
      </w:r>
    </w:p>
    <w:p>
      <w:pPr>
        <w:pStyle w:val="Heading2"/>
        <w:spacing w:before="360" w:after="160"/>
      </w:pPr>
      <w:r>
        <w:rPr>
          <w:b/>
          <w:bCs/>
          <w:color w:val="2E75B6"/>
          <w:sz w:val="26"/>
          <w:szCs w:val="26"/>
          <w:rFonts w:ascii="Arial" w:cs="Arial" w:eastAsia="Arial" w:hAnsi="Arial"/>
        </w:rPr>
        <w:t xml:space="preserve">Covers: Kinds of cheques · Crossing — general, special, 'account payee', 'not negotiable' (Sec 123-131A) · Endorsement and its kinds (Sec 15-16, 50-56) · Holder and holder in due course of a cheque · Payment in due course (Sec 10) · Marking of cheques · Countermand, and when a banker must refuse payment</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London, 1900. Huggins, a rate collector employed by a local council, received cheques from ratepayers payable to the council and crossed 'not negotiable'. He was not a customer of the London and County Bank, but for years its Ealing branch had cashed such cheques for him over the counter as a favour — he would hand in the cheque, the bank would pay him the cash and collect the cheque from the drawee. Huggins embezzled the money. The Great Western Railway Company, one of the ratepayers whose cheque he had cashed, sued the bank for conversion. The House of Lords held the bank liable: the bank had not 'received payment for a customer' — Huggins had no account and was not a customer, so the statutory protection for the collecting banker did not apply — and, the cheque being crossed 'not negotiable', the bank could get no better title than Huggins, who had none. The case teaches three things at once: what a crossing does, what 'not negotiable' means, and why a bank that handles a crossed cheque for a stranger does so at its peril. From it this episode dissects the cheque: the kinds of cheques, the crossings and their legal effect, the endorsements that move an order cheque from hand to hand, the meaning of payment in due course which is the paying banker's shield, the old practice of marking a cheque 'good for payment', and the circumstances in which the banker must refuse to pay at all.</w:t>
      </w:r>
    </w:p>
    <w:p>
      <w:pPr>
        <w:spacing w:before="240" w:after="120"/>
      </w:pPr>
      <w:r>
        <w:rPr>
          <w:b/>
          <w:bCs/>
          <w:color w:val="404040"/>
          <w:sz w:val="23"/>
          <w:szCs w:val="23"/>
          <w:rFonts w:ascii="Arial" w:cs="Arial" w:eastAsia="Arial" w:hAnsi="Arial"/>
        </w:rPr>
        <w:t xml:space="preserve">Kinds of cheques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Bearer</w:t>
      </w:r>
      <w:r>
        <w:rPr>
          <w:sz w:val="22"/>
          <w:szCs w:val="22"/>
          <w:rFonts w:ascii="Arial" w:cs="Arial" w:eastAsia="Arial" w:hAnsi="Arial"/>
        </w:rPr>
        <w:t xml:space="preserve"> cheque — payable to bearer, or to a named person 'or bearer'; transferable by mere delivery; the bank pays whoever presents it (Sec 85(2) protects the banker who pays a bearer cheque in due course notwithstanding any endorsement); once a bearer, always a bearer (Sec 85(2) Explanation — an endorsement in full does not convert it). </w:t>
      </w:r>
      <w:r>
        <w:rPr>
          <w:b/>
          <w:bCs/>
          <w:sz w:val="22"/>
          <w:szCs w:val="22"/>
          <w:rFonts w:ascii="Arial" w:cs="Arial" w:eastAsia="Arial" w:hAnsi="Arial"/>
        </w:rPr>
        <w:t xml:space="preserve">Order</w:t>
      </w:r>
      <w:r>
        <w:rPr>
          <w:sz w:val="22"/>
          <w:szCs w:val="22"/>
          <w:rFonts w:ascii="Arial" w:cs="Arial" w:eastAsia="Arial" w:hAnsi="Arial"/>
        </w:rPr>
        <w:t xml:space="preserve"> cheque — payable to a named person 'or order', or to a named person without the words 'or bearer' (Sec 13 Explanation (i) — an instrument payable to a specified person is payable to his order); transferable by endorsement and delivery; the paying banker must be satisfied of the regularity of the endorsement (Sec 85(1)). </w:t>
      </w:r>
      <w:r>
        <w:rPr>
          <w:b/>
          <w:bCs/>
          <w:sz w:val="22"/>
          <w:szCs w:val="22"/>
          <w:rFonts w:ascii="Arial" w:cs="Arial" w:eastAsia="Arial" w:hAnsi="Arial"/>
        </w:rPr>
        <w:t xml:space="preserve">Open</w:t>
      </w:r>
      <w:r>
        <w:rPr>
          <w:sz w:val="22"/>
          <w:szCs w:val="22"/>
          <w:rFonts w:ascii="Arial" w:cs="Arial" w:eastAsia="Arial" w:hAnsi="Arial"/>
        </w:rPr>
        <w:t xml:space="preserve"> cheque — uncrossed, payable at the counter. </w:t>
      </w:r>
      <w:r>
        <w:rPr>
          <w:b/>
          <w:bCs/>
          <w:sz w:val="22"/>
          <w:szCs w:val="22"/>
          <w:rFonts w:ascii="Arial" w:cs="Arial" w:eastAsia="Arial" w:hAnsi="Arial"/>
        </w:rPr>
        <w:t xml:space="preserve">Crossed</w:t>
      </w:r>
      <w:r>
        <w:rPr>
          <w:sz w:val="22"/>
          <w:szCs w:val="22"/>
          <w:rFonts w:ascii="Arial" w:cs="Arial" w:eastAsia="Arial" w:hAnsi="Arial"/>
        </w:rPr>
        <w:t xml:space="preserve"> cheque — payable only through a banker. </w:t>
      </w:r>
      <w:r>
        <w:rPr>
          <w:b/>
          <w:bCs/>
          <w:sz w:val="22"/>
          <w:szCs w:val="22"/>
          <w:rFonts w:ascii="Arial" w:cs="Arial" w:eastAsia="Arial" w:hAnsi="Arial"/>
        </w:rPr>
        <w:t xml:space="preserve">Post-dated</w:t>
      </w:r>
      <w:r>
        <w:rPr>
          <w:sz w:val="22"/>
          <w:szCs w:val="22"/>
          <w:rFonts w:ascii="Arial" w:cs="Arial" w:eastAsia="Arial" w:hAnsi="Arial"/>
        </w:rPr>
        <w:t xml:space="preserve"> — bears a future date; payable only on or after that date; a bill of exchange until then (Anil Kumar Sawhney); the bank that pays before the date does so at its risk. </w:t>
      </w:r>
      <w:r>
        <w:rPr>
          <w:b/>
          <w:bCs/>
          <w:sz w:val="22"/>
          <w:szCs w:val="22"/>
          <w:rFonts w:ascii="Arial" w:cs="Arial" w:eastAsia="Arial" w:hAnsi="Arial"/>
        </w:rPr>
        <w:t xml:space="preserve">Ante-dated</w:t>
      </w:r>
      <w:r>
        <w:rPr>
          <w:sz w:val="22"/>
          <w:szCs w:val="22"/>
          <w:rFonts w:ascii="Arial" w:cs="Arial" w:eastAsia="Arial" w:hAnsi="Arial"/>
        </w:rPr>
        <w:t xml:space="preserve"> — bears a past date; valid. </w:t>
      </w:r>
      <w:r>
        <w:rPr>
          <w:b/>
          <w:bCs/>
          <w:sz w:val="22"/>
          <w:szCs w:val="22"/>
          <w:rFonts w:ascii="Arial" w:cs="Arial" w:eastAsia="Arial" w:hAnsi="Arial"/>
        </w:rPr>
        <w:t xml:space="preserve">Stale</w:t>
      </w:r>
      <w:r>
        <w:rPr>
          <w:sz w:val="22"/>
          <w:szCs w:val="22"/>
          <w:rFonts w:ascii="Arial" w:cs="Arial" w:eastAsia="Arial" w:hAnsi="Arial"/>
        </w:rPr>
        <w:t xml:space="preserve"> — presented after the validity period (three months from the date since 2012 by the RBI direction; the drawer may revalidate). </w:t>
      </w:r>
      <w:r>
        <w:rPr>
          <w:b/>
          <w:bCs/>
          <w:sz w:val="22"/>
          <w:szCs w:val="22"/>
          <w:rFonts w:ascii="Arial" w:cs="Arial" w:eastAsia="Arial" w:hAnsi="Arial"/>
        </w:rPr>
        <w:t xml:space="preserve">Mutilated</w:t>
      </w:r>
      <w:r>
        <w:rPr>
          <w:sz w:val="22"/>
          <w:szCs w:val="22"/>
          <w:rFonts w:ascii="Arial" w:cs="Arial" w:eastAsia="Arial" w:hAnsi="Arial"/>
        </w:rPr>
        <w:t xml:space="preserve"> — torn or damaged; the bank returns it unless the drawer confirms. </w:t>
      </w:r>
      <w:r>
        <w:rPr>
          <w:b/>
          <w:bCs/>
          <w:sz w:val="22"/>
          <w:szCs w:val="22"/>
          <w:rFonts w:ascii="Arial" w:cs="Arial" w:eastAsia="Arial" w:hAnsi="Arial"/>
        </w:rPr>
        <w:t xml:space="preserve">Blank or inchoate</w:t>
      </w:r>
      <w:r>
        <w:rPr>
          <w:sz w:val="22"/>
          <w:szCs w:val="22"/>
          <w:rFonts w:ascii="Arial" w:cs="Arial" w:eastAsia="Arial" w:hAnsi="Arial"/>
        </w:rPr>
        <w:t xml:space="preserve"> cheque — signed but the amount or payee left blank; the holder has authority to fill it (Sec 20). </w:t>
      </w:r>
      <w:r>
        <w:rPr>
          <w:b/>
          <w:bCs/>
          <w:sz w:val="22"/>
          <w:szCs w:val="22"/>
          <w:rFonts w:ascii="Arial" w:cs="Arial" w:eastAsia="Arial" w:hAnsi="Arial"/>
        </w:rPr>
        <w:t xml:space="preserve">Self</w:t>
      </w:r>
      <w:r>
        <w:rPr>
          <w:sz w:val="22"/>
          <w:szCs w:val="22"/>
          <w:rFonts w:ascii="Arial" w:cs="Arial" w:eastAsia="Arial" w:hAnsi="Arial"/>
        </w:rPr>
        <w:t xml:space="preserve"> cheque — payable to 'self', drawn by the customer for cash. </w:t>
      </w:r>
      <w:r>
        <w:rPr>
          <w:b/>
          <w:bCs/>
          <w:sz w:val="22"/>
          <w:szCs w:val="22"/>
          <w:rFonts w:ascii="Arial" w:cs="Arial" w:eastAsia="Arial" w:hAnsi="Arial"/>
        </w:rPr>
        <w:t xml:space="preserve">Banker's cheque or pay order</w:t>
      </w:r>
      <w:r>
        <w:rPr>
          <w:sz w:val="22"/>
          <w:szCs w:val="22"/>
          <w:rFonts w:ascii="Arial" w:cs="Arial" w:eastAsia="Arial" w:hAnsi="Arial"/>
        </w:rPr>
        <w:t xml:space="preserve"> — issued by a bank on itself for local payment; </w:t>
      </w:r>
      <w:r>
        <w:rPr>
          <w:b/>
          <w:bCs/>
          <w:sz w:val="22"/>
          <w:szCs w:val="22"/>
          <w:rFonts w:ascii="Arial" w:cs="Arial" w:eastAsia="Arial" w:hAnsi="Arial"/>
        </w:rPr>
        <w:t xml:space="preserve">Multi-city cheque</w:t>
      </w:r>
      <w:r>
        <w:rPr>
          <w:sz w:val="22"/>
          <w:szCs w:val="22"/>
          <w:rFonts w:ascii="Arial" w:cs="Arial" w:eastAsia="Arial" w:hAnsi="Arial"/>
        </w:rPr>
        <w:t xml:space="preserve"> — payable at par at any branch under the RBI's CTS-2010 standards; </w:t>
      </w:r>
      <w:r>
        <w:rPr>
          <w:b/>
          <w:bCs/>
          <w:sz w:val="22"/>
          <w:szCs w:val="22"/>
          <w:rFonts w:ascii="Arial" w:cs="Arial" w:eastAsia="Arial" w:hAnsi="Arial"/>
        </w:rPr>
        <w:t xml:space="preserve">Electronic</w:t>
      </w:r>
      <w:r>
        <w:rPr>
          <w:sz w:val="22"/>
          <w:szCs w:val="22"/>
          <w:rFonts w:ascii="Arial" w:cs="Arial" w:eastAsia="Arial" w:hAnsi="Arial"/>
        </w:rPr>
        <w:t xml:space="preserve"> and </w:t>
      </w:r>
      <w:r>
        <w:rPr>
          <w:b/>
          <w:bCs/>
          <w:sz w:val="22"/>
          <w:szCs w:val="22"/>
          <w:rFonts w:ascii="Arial" w:cs="Arial" w:eastAsia="Arial" w:hAnsi="Arial"/>
        </w:rPr>
        <w:t xml:space="preserve">truncated</w:t>
      </w:r>
      <w:r>
        <w:rPr>
          <w:sz w:val="22"/>
          <w:szCs w:val="22"/>
          <w:rFonts w:ascii="Arial" w:cs="Arial" w:eastAsia="Arial" w:hAnsi="Arial"/>
        </w:rPr>
        <w:t xml:space="preserve"> cheques (Sec 6). </w:t>
      </w:r>
      <w:r>
        <w:rPr>
          <w:b/>
          <w:bCs/>
          <w:sz w:val="22"/>
          <w:szCs w:val="22"/>
          <w:rFonts w:ascii="Arial" w:cs="Arial" w:eastAsia="Arial" w:hAnsi="Arial"/>
        </w:rPr>
        <w:t xml:space="preserve">Cheque with a limiting endorsement</w:t>
      </w:r>
      <w:r>
        <w:rPr>
          <w:sz w:val="22"/>
          <w:szCs w:val="22"/>
          <w:rFonts w:ascii="Arial" w:cs="Arial" w:eastAsia="Arial" w:hAnsi="Arial"/>
        </w:rPr>
        <w:t xml:space="preserve"> 'not exceeding Rs' — the bank pays up to the limit. </w:t>
      </w:r>
      <w:r>
        <w:rPr>
          <w:b/>
          <w:bCs/>
          <w:sz w:val="22"/>
          <w:szCs w:val="22"/>
          <w:rFonts w:ascii="Arial" w:cs="Arial" w:eastAsia="Arial" w:hAnsi="Arial"/>
        </w:rPr>
        <w:t xml:space="preserve">Gift cheques</w:t>
      </w:r>
      <w:r>
        <w:rPr>
          <w:sz w:val="22"/>
          <w:szCs w:val="22"/>
          <w:rFonts w:ascii="Arial" w:cs="Arial" w:eastAsia="Arial" w:hAnsi="Arial"/>
        </w:rPr>
        <w:t xml:space="preserve">.</w:t>
      </w:r>
    </w:p>
    <w:p>
      <w:pPr>
        <w:spacing w:before="240" w:after="120"/>
      </w:pPr>
      <w:r>
        <w:rPr>
          <w:b/>
          <w:bCs/>
          <w:color w:val="404040"/>
          <w:sz w:val="23"/>
          <w:szCs w:val="23"/>
          <w:rFonts w:ascii="Arial" w:cs="Arial" w:eastAsia="Arial" w:hAnsi="Arial"/>
        </w:rPr>
        <w:t xml:space="preserve">Crossing — Sec 123-131A</w:t>
      </w:r>
    </w:p>
    <w:p>
      <w:pPr>
        <w:spacing w:after="120" w:line="300"/>
        <w:jc w:val="both"/>
      </w:pPr>
      <w:r>
        <w:rPr>
          <w:sz w:val="22"/>
          <w:szCs w:val="22"/>
          <w:rFonts w:ascii="Arial" w:cs="Arial" w:eastAsia="Arial" w:hAnsi="Arial"/>
        </w:rPr>
        <w:t xml:space="preserve">A crossing is a direction to the paying banker to pay the cheque only through a banker. </w:t>
      </w:r>
      <w:r>
        <w:rPr>
          <w:b/>
          <w:bCs/>
          <w:sz w:val="22"/>
          <w:szCs w:val="22"/>
          <w:rFonts w:ascii="Arial" w:cs="Arial" w:eastAsia="Arial" w:hAnsi="Arial"/>
        </w:rPr>
        <w:t xml:space="preserve">Sec 123 — general crossing:</w:t>
      </w:r>
      <w:r>
        <w:rPr>
          <w:sz w:val="22"/>
          <w:szCs w:val="22"/>
          <w:rFonts w:ascii="Arial" w:cs="Arial" w:eastAsia="Arial" w:hAnsi="Arial"/>
        </w:rPr>
        <w:t xml:space="preserve"> where a cheque bears across its face an addition of the words 'and company' or any abbreviation between two parallel transverse lines, or two parallel transverse lines simply, with or without the words 'not negotiable' — the cheque is crossed generally; </w:t>
      </w:r>
      <w:r>
        <w:rPr>
          <w:b/>
          <w:bCs/>
          <w:sz w:val="22"/>
          <w:szCs w:val="22"/>
          <w:rFonts w:ascii="Arial" w:cs="Arial" w:eastAsia="Arial" w:hAnsi="Arial"/>
        </w:rPr>
        <w:t xml:space="preserve">Sec 124 — special crossing:</w:t>
      </w:r>
      <w:r>
        <w:rPr>
          <w:sz w:val="22"/>
          <w:szCs w:val="22"/>
          <w:rFonts w:ascii="Arial" w:cs="Arial" w:eastAsia="Arial" w:hAnsi="Arial"/>
        </w:rPr>
        <w:t xml:space="preserve"> where a cheque bears across its face an addition of the name of a banker, with or without 'not negotiable' — crossed specially to that banker; </w:t>
      </w:r>
      <w:r>
        <w:rPr>
          <w:b/>
          <w:bCs/>
          <w:sz w:val="22"/>
          <w:szCs w:val="22"/>
          <w:rFonts w:ascii="Arial" w:cs="Arial" w:eastAsia="Arial" w:hAnsi="Arial"/>
        </w:rPr>
        <w:t xml:space="preserve">Sec 125 — crossing after issue:</w:t>
      </w:r>
      <w:r>
        <w:rPr>
          <w:sz w:val="22"/>
          <w:szCs w:val="22"/>
          <w:rFonts w:ascii="Arial" w:cs="Arial" w:eastAsia="Arial" w:hAnsi="Arial"/>
        </w:rPr>
        <w:t xml:space="preserve"> the holder may cross an uncrossed cheque generally or specially, may convert a general crossing to a special one, and may add 'not negotiable'; a banker to whom a cheque is crossed specially may cross it again to another banker as his agent for collection; </w:t>
      </w:r>
      <w:r>
        <w:rPr>
          <w:b/>
          <w:bCs/>
          <w:sz w:val="22"/>
          <w:szCs w:val="22"/>
          <w:rFonts w:ascii="Arial" w:cs="Arial" w:eastAsia="Arial" w:hAnsi="Arial"/>
        </w:rPr>
        <w:t xml:space="preserve">Sec 126 — payment of crossed cheque:</w:t>
      </w:r>
      <w:r>
        <w:rPr>
          <w:sz w:val="22"/>
          <w:szCs w:val="22"/>
          <w:rFonts w:ascii="Arial" w:cs="Arial" w:eastAsia="Arial" w:hAnsi="Arial"/>
        </w:rPr>
        <w:t xml:space="preserve"> a generally crossed cheque shall not be paid otherwise than to a banker, and a specially crossed cheque otherwise than to the banker to whom it is crossed or his agent for collection; </w:t>
      </w:r>
      <w:r>
        <w:rPr>
          <w:b/>
          <w:bCs/>
          <w:sz w:val="22"/>
          <w:szCs w:val="22"/>
          <w:rFonts w:ascii="Arial" w:cs="Arial" w:eastAsia="Arial" w:hAnsi="Arial"/>
        </w:rPr>
        <w:t xml:space="preserve">Sec 127:</w:t>
      </w:r>
      <w:r>
        <w:rPr>
          <w:sz w:val="22"/>
          <w:szCs w:val="22"/>
          <w:rFonts w:ascii="Arial" w:cs="Arial" w:eastAsia="Arial" w:hAnsi="Arial"/>
        </w:rPr>
        <w:t xml:space="preserve"> where a cheque is crossed specially to more than one banker (except an agent for collection) the banker on whom it is drawn shall refuse payment; </w:t>
      </w:r>
      <w:r>
        <w:rPr>
          <w:b/>
          <w:bCs/>
          <w:sz w:val="22"/>
          <w:szCs w:val="22"/>
          <w:rFonts w:ascii="Arial" w:cs="Arial" w:eastAsia="Arial" w:hAnsi="Arial"/>
        </w:rPr>
        <w:t xml:space="preserve">Sec 128 — payment in due course of a crossed cheque:</w:t>
      </w:r>
      <w:r>
        <w:rPr>
          <w:sz w:val="22"/>
          <w:szCs w:val="22"/>
          <w:rFonts w:ascii="Arial" w:cs="Arial" w:eastAsia="Arial" w:hAnsi="Arial"/>
        </w:rPr>
        <w:t xml:space="preserve"> where the banker on whom a crossed cheque is drawn has paid it in due course, the banker paying and (if the cheque has come to the hands of the payee) the drawer shall respectively be entitled to the same rights and be placed in the same position as if the amount had been paid to and received by the true owner; </w:t>
      </w:r>
      <w:r>
        <w:rPr>
          <w:b/>
          <w:bCs/>
          <w:sz w:val="22"/>
          <w:szCs w:val="22"/>
          <w:rFonts w:ascii="Arial" w:cs="Arial" w:eastAsia="Arial" w:hAnsi="Arial"/>
        </w:rPr>
        <w:t xml:space="preserve">Sec 129 — payment out of due course:</w:t>
      </w:r>
      <w:r>
        <w:rPr>
          <w:sz w:val="22"/>
          <w:szCs w:val="22"/>
          <w:rFonts w:ascii="Arial" w:cs="Arial" w:eastAsia="Arial" w:hAnsi="Arial"/>
        </w:rPr>
        <w:t xml:space="preserve"> a banker paying a crossed cheque otherwise than in accordance with Sec 126 is liable to the true owner for any loss he may sustain; </w:t>
      </w:r>
      <w:r>
        <w:rPr>
          <w:b/>
          <w:bCs/>
          <w:sz w:val="22"/>
          <w:szCs w:val="22"/>
          <w:rFonts w:ascii="Arial" w:cs="Arial" w:eastAsia="Arial" w:hAnsi="Arial"/>
        </w:rPr>
        <w:t xml:space="preserve">Sec 130 — 'not negotiable' crossing:</w:t>
      </w:r>
      <w:r>
        <w:rPr>
          <w:sz w:val="22"/>
          <w:szCs w:val="22"/>
          <w:rFonts w:ascii="Arial" w:cs="Arial" w:eastAsia="Arial" w:hAnsi="Arial"/>
        </w:rPr>
        <w:t xml:space="preserve"> a person taking a cheque crossed generally or specially, bearing the words 'not negotiable', shall not have and shall not be capable of giving a better title to the cheque than that which the person from whom he took it had — the cheque remains transferable but loses negotiability; the transferee takes subject to defects of title (Great Western Railway v. London and County Bank; Wilson and Meeson v. Pickering, 1946 — a 'not negotiable' cheque given to a clerk to fill in for a specific purpose and misappropriated could not be enforced by the transferee); </w:t>
      </w:r>
      <w:r>
        <w:rPr>
          <w:b/>
          <w:bCs/>
          <w:sz w:val="22"/>
          <w:szCs w:val="22"/>
          <w:rFonts w:ascii="Arial" w:cs="Arial" w:eastAsia="Arial" w:hAnsi="Arial"/>
        </w:rPr>
        <w:t xml:space="preserve">Sec 131 — collecting banker's protection</w:t>
      </w:r>
      <w:r>
        <w:rPr>
          <w:sz w:val="22"/>
          <w:szCs w:val="22"/>
          <w:rFonts w:ascii="Arial" w:cs="Arial" w:eastAsia="Arial" w:hAnsi="Arial"/>
        </w:rPr>
        <w:t xml:space="preserve"> (Episode 07); </w:t>
      </w:r>
      <w:r>
        <w:rPr>
          <w:b/>
          <w:bCs/>
          <w:sz w:val="22"/>
          <w:szCs w:val="22"/>
          <w:rFonts w:ascii="Arial" w:cs="Arial" w:eastAsia="Arial" w:hAnsi="Arial"/>
        </w:rPr>
        <w:t xml:space="preserve">Sec 131A:</w:t>
      </w:r>
      <w:r>
        <w:rPr>
          <w:sz w:val="22"/>
          <w:szCs w:val="22"/>
          <w:rFonts w:ascii="Arial" w:cs="Arial" w:eastAsia="Arial" w:hAnsi="Arial"/>
        </w:rPr>
        <w:t xml:space="preserve"> the crossing provisions apply to drafts. </w:t>
      </w:r>
      <w:r>
        <w:rPr>
          <w:b/>
          <w:bCs/>
          <w:sz w:val="22"/>
          <w:szCs w:val="22"/>
          <w:rFonts w:ascii="Arial" w:cs="Arial" w:eastAsia="Arial" w:hAnsi="Arial"/>
        </w:rPr>
        <w:t xml:space="preserve">'Account payee' crossing</w:t>
      </w:r>
      <w:r>
        <w:rPr>
          <w:sz w:val="22"/>
          <w:szCs w:val="22"/>
          <w:rFonts w:ascii="Arial" w:cs="Arial" w:eastAsia="Arial" w:hAnsi="Arial"/>
        </w:rPr>
        <w:t xml:space="preserve"> is not defined in the Act (except by the 2002 amendment's Explanation to Sec 131, which deems a banker collecting an account-payee cheque for someone other than the named payee to be negligent) — it is a direction to the collecting banker to credit only the payee's account, recognised by usage (National Bank v. Silke, 1891; Akrokerri Mines v. Economic Bank, 1904 — the crossing does not affect the paying banker, who cannot know into whose account the cheque is credited); the RBI's 1992 direction (after the securities scam) requires banks to credit account-payee cheques only to the payee's account and forbids collection for third parties (with a limited exception for co-operative credit societies up to fifty thousand rupees), and the CTS-2010 standard prints 'a/c payee' on cheque leaves; an account-payee cheque is not transferable in banking practice, though the Act does not make it so in law (a payee may not endorse it to another and expect a bank to collect it). Opening of crossing: only the drawer may cancel a crossing, by writing 'pay cash' and signing in full; a bank should refuse a cheque whose crossing appears cancelled otherwise. Effect of crossing on the drawer: a crossing is not a countermand and does not affect the drawer's liability. Crossing protects the true owner by making the cheque traceable through a bank account; a 'not negotiable' crossing protects him further by depriving the thief's transferee of a good title; an 'account payee' crossing protects him best by confining the credit to the payee.</w:t>
      </w:r>
    </w:p>
    <w:p>
      <w:pPr>
        <w:spacing w:before="240" w:after="120"/>
      </w:pPr>
      <w:r>
        <w:rPr>
          <w:b/>
          <w:bCs/>
          <w:color w:val="404040"/>
          <w:sz w:val="23"/>
          <w:szCs w:val="23"/>
          <w:rFonts w:ascii="Arial" w:cs="Arial" w:eastAsia="Arial" w:hAnsi="Arial"/>
        </w:rPr>
        <w:t xml:space="preserve">Endorsement — Sec 15-16, 50-56</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15:</w:t>
      </w:r>
      <w:r>
        <w:rPr>
          <w:sz w:val="22"/>
          <w:szCs w:val="22"/>
          <w:rFonts w:ascii="Arial" w:cs="Arial" w:eastAsia="Arial" w:hAnsi="Arial"/>
        </w:rPr>
        <w:t xml:space="preserve"> when the maker or holder of a negotiable instrument signs the same, otherwise than as such maker, for the purpose of negotiation, on the back or face thereof or on a slip of paper annexed thereto (an 'allonge'), or so signs for the same purpose a stamped paper intended to be completed as a negotiable instrument, he is said to endorse the same and is called the endorser. Essentials: on the instrument or an allonge; signed by the holder (or his agent — Sec 27-28); for the purpose of negotiation; delivery (Sec 46 — an endorsement without delivery is not complete). </w:t>
      </w:r>
      <w:r>
        <w:rPr>
          <w:b/>
          <w:bCs/>
          <w:sz w:val="22"/>
          <w:szCs w:val="22"/>
          <w:rFonts w:ascii="Arial" w:cs="Arial" w:eastAsia="Arial" w:hAnsi="Arial"/>
        </w:rPr>
        <w:t xml:space="preserve">Sec 16 — kinds:</w:t>
      </w:r>
      <w:r>
        <w:rPr>
          <w:sz w:val="22"/>
          <w:szCs w:val="22"/>
          <w:rFonts w:ascii="Arial" w:cs="Arial" w:eastAsia="Arial" w:hAnsi="Arial"/>
        </w:rPr>
        <w:t xml:space="preserve"> endorsement </w:t>
      </w:r>
      <w:r>
        <w:rPr>
          <w:b/>
          <w:bCs/>
          <w:sz w:val="22"/>
          <w:szCs w:val="22"/>
          <w:rFonts w:ascii="Arial" w:cs="Arial" w:eastAsia="Arial" w:hAnsi="Arial"/>
        </w:rPr>
        <w:t xml:space="preserve">in blank</w:t>
      </w:r>
      <w:r>
        <w:rPr>
          <w:sz w:val="22"/>
          <w:szCs w:val="22"/>
          <w:rFonts w:ascii="Arial" w:cs="Arial" w:eastAsia="Arial" w:hAnsi="Arial"/>
        </w:rPr>
        <w:t xml:space="preserve"> — the endorser signs his name only; the instrument becomes payable to bearer (Sec 54 — a blank endorsement makes the instrument payable to bearer even though originally payable to order); endorsement </w:t>
      </w:r>
      <w:r>
        <w:rPr>
          <w:b/>
          <w:bCs/>
          <w:sz w:val="22"/>
          <w:szCs w:val="22"/>
          <w:rFonts w:ascii="Arial" w:cs="Arial" w:eastAsia="Arial" w:hAnsi="Arial"/>
        </w:rPr>
        <w:t xml:space="preserve">in full</w:t>
      </w:r>
      <w:r>
        <w:rPr>
          <w:sz w:val="22"/>
          <w:szCs w:val="22"/>
          <w:rFonts w:ascii="Arial" w:cs="Arial" w:eastAsia="Arial" w:hAnsi="Arial"/>
        </w:rPr>
        <w:t xml:space="preserve"> (special) — the endorser adds a direction to pay to a specified person or his order; </w:t>
      </w:r>
      <w:r>
        <w:rPr>
          <w:b/>
          <w:bCs/>
          <w:sz w:val="22"/>
          <w:szCs w:val="22"/>
          <w:rFonts w:ascii="Arial" w:cs="Arial" w:eastAsia="Arial" w:hAnsi="Arial"/>
        </w:rPr>
        <w:t xml:space="preserve">Sec 49:</w:t>
      </w:r>
      <w:r>
        <w:rPr>
          <w:sz w:val="22"/>
          <w:szCs w:val="22"/>
          <w:rFonts w:ascii="Arial" w:cs="Arial" w:eastAsia="Arial" w:hAnsi="Arial"/>
        </w:rPr>
        <w:t xml:space="preserve"> the holder of an instrument endorsed in blank may convert it into an endorsement in full by writing above the signature a direction to pay to another person; </w:t>
      </w:r>
      <w:r>
        <w:rPr>
          <w:b/>
          <w:bCs/>
          <w:sz w:val="22"/>
          <w:szCs w:val="22"/>
          <w:rFonts w:ascii="Arial" w:cs="Arial" w:eastAsia="Arial" w:hAnsi="Arial"/>
        </w:rPr>
        <w:t xml:space="preserve">Sec 50:</w:t>
      </w:r>
      <w:r>
        <w:rPr>
          <w:sz w:val="22"/>
          <w:szCs w:val="22"/>
          <w:rFonts w:ascii="Arial" w:cs="Arial" w:eastAsia="Arial" w:hAnsi="Arial"/>
        </w:rPr>
        <w:t xml:space="preserve"> the endorsement, followed by delivery, transfers to the endorsee the property in the instrument with the right of further negotiation, but the endorsement may restrict or exclude the right (</w:t>
      </w:r>
      <w:r>
        <w:rPr>
          <w:b/>
          <w:bCs/>
          <w:sz w:val="22"/>
          <w:szCs w:val="22"/>
          <w:rFonts w:ascii="Arial" w:cs="Arial" w:eastAsia="Arial" w:hAnsi="Arial"/>
        </w:rPr>
        <w:t xml:space="preserve">restrictive endorsement</w:t>
      </w:r>
      <w:r>
        <w:rPr>
          <w:sz w:val="22"/>
          <w:szCs w:val="22"/>
          <w:rFonts w:ascii="Arial" w:cs="Arial" w:eastAsia="Arial" w:hAnsi="Arial"/>
        </w:rPr>
        <w:t xml:space="preserve"> — 'pay A only', 'pay A for my use', 'pay A or order for collection'); </w:t>
      </w:r>
      <w:r>
        <w:rPr>
          <w:b/>
          <w:bCs/>
          <w:sz w:val="22"/>
          <w:szCs w:val="22"/>
          <w:rFonts w:ascii="Arial" w:cs="Arial" w:eastAsia="Arial" w:hAnsi="Arial"/>
        </w:rPr>
        <w:t xml:space="preserve">Sec 52 — sans recourse endorsement:</w:t>
      </w:r>
      <w:r>
        <w:rPr>
          <w:sz w:val="22"/>
          <w:szCs w:val="22"/>
          <w:rFonts w:ascii="Arial" w:cs="Arial" w:eastAsia="Arial" w:hAnsi="Arial"/>
        </w:rPr>
        <w:t xml:space="preserve"> the endorser may exclude his own liability by 'sans recourse' or 'without recourse to me', or make it conditional (</w:t>
      </w:r>
      <w:r>
        <w:rPr>
          <w:b/>
          <w:bCs/>
          <w:sz w:val="22"/>
          <w:szCs w:val="22"/>
          <w:rFonts w:ascii="Arial" w:cs="Arial" w:eastAsia="Arial" w:hAnsi="Arial"/>
        </w:rPr>
        <w:t xml:space="preserve">conditional endorsement</w:t>
      </w:r>
      <w:r>
        <w:rPr>
          <w:sz w:val="22"/>
          <w:szCs w:val="22"/>
          <w:rFonts w:ascii="Arial" w:cs="Arial" w:eastAsia="Arial" w:hAnsi="Arial"/>
        </w:rPr>
        <w:t xml:space="preserve"> — 'pay A on his marriage'; the condition binds the endorser and the endorsee but not the paying banker, who may pay disregarding it — Sec 52? — the paying banker's position is protected by Sec 85); </w:t>
      </w:r>
      <w:r>
        <w:rPr>
          <w:b/>
          <w:bCs/>
          <w:sz w:val="22"/>
          <w:szCs w:val="22"/>
          <w:rFonts w:ascii="Arial" w:cs="Arial" w:eastAsia="Arial" w:hAnsi="Arial"/>
        </w:rPr>
        <w:t xml:space="preserve">facultative endorsement</w:t>
      </w:r>
      <w:r>
        <w:rPr>
          <w:sz w:val="22"/>
          <w:szCs w:val="22"/>
          <w:rFonts w:ascii="Arial" w:cs="Arial" w:eastAsia="Arial" w:hAnsi="Arial"/>
        </w:rPr>
        <w:t xml:space="preserve"> — the endorser waives some right, e.g. 'notice of dishonour waived'; </w:t>
      </w:r>
      <w:r>
        <w:rPr>
          <w:b/>
          <w:bCs/>
          <w:sz w:val="22"/>
          <w:szCs w:val="22"/>
          <w:rFonts w:ascii="Arial" w:cs="Arial" w:eastAsia="Arial" w:hAnsi="Arial"/>
        </w:rPr>
        <w:t xml:space="preserve">Sec 56 — partial endorsement:</w:t>
      </w:r>
      <w:r>
        <w:rPr>
          <w:sz w:val="22"/>
          <w:szCs w:val="22"/>
          <w:rFonts w:ascii="Arial" w:cs="Arial" w:eastAsia="Arial" w:hAnsi="Arial"/>
        </w:rPr>
        <w:t xml:space="preserve"> an endorsement purporting to transfer only a part of the amount is invalid for the purpose of negotiation (but where the instrument has been paid in part, a note of the part payment may be endorsed and the residue negotiated); </w:t>
      </w:r>
      <w:r>
        <w:rPr>
          <w:b/>
          <w:bCs/>
          <w:sz w:val="22"/>
          <w:szCs w:val="22"/>
          <w:rFonts w:ascii="Arial" w:cs="Arial" w:eastAsia="Arial" w:hAnsi="Arial"/>
        </w:rPr>
        <w:t xml:space="preserve">Sec 55:</w:t>
      </w:r>
      <w:r>
        <w:rPr>
          <w:sz w:val="22"/>
          <w:szCs w:val="22"/>
          <w:rFonts w:ascii="Arial" w:cs="Arial" w:eastAsia="Arial" w:hAnsi="Arial"/>
        </w:rPr>
        <w:t xml:space="preserve"> conversion of an endorsement in blank into an endorsement in full; </w:t>
      </w:r>
      <w:r>
        <w:rPr>
          <w:b/>
          <w:bCs/>
          <w:sz w:val="22"/>
          <w:szCs w:val="22"/>
          <w:rFonts w:ascii="Arial" w:cs="Arial" w:eastAsia="Arial" w:hAnsi="Arial"/>
        </w:rPr>
        <w:t xml:space="preserve">Sec 51:</w:t>
      </w:r>
      <w:r>
        <w:rPr>
          <w:sz w:val="22"/>
          <w:szCs w:val="22"/>
          <w:rFonts w:ascii="Arial" w:cs="Arial" w:eastAsia="Arial" w:hAnsi="Arial"/>
        </w:rPr>
        <w:t xml:space="preserve"> every sole maker, drawer, payee or endorsee, or all of several joint makers, may endorse and negotiate — but the maker or drawer cannot endorse unless he is the holder; </w:t>
      </w:r>
      <w:r>
        <w:rPr>
          <w:b/>
          <w:bCs/>
          <w:sz w:val="22"/>
          <w:szCs w:val="22"/>
          <w:rFonts w:ascii="Arial" w:cs="Arial" w:eastAsia="Arial" w:hAnsi="Arial"/>
        </w:rPr>
        <w:t xml:space="preserve">Sec 53:</w:t>
      </w:r>
      <w:r>
        <w:rPr>
          <w:sz w:val="22"/>
          <w:szCs w:val="22"/>
          <w:rFonts w:ascii="Arial" w:cs="Arial" w:eastAsia="Arial" w:hAnsi="Arial"/>
        </w:rPr>
        <w:t xml:space="preserve"> a holder deriving title from a holder in due course; </w:t>
      </w:r>
      <w:r>
        <w:rPr>
          <w:b/>
          <w:bCs/>
          <w:sz w:val="22"/>
          <w:szCs w:val="22"/>
          <w:rFonts w:ascii="Arial" w:cs="Arial" w:eastAsia="Arial" w:hAnsi="Arial"/>
        </w:rPr>
        <w:t xml:space="preserve">Sec 40-41:</w:t>
      </w:r>
      <w:r>
        <w:rPr>
          <w:sz w:val="22"/>
          <w:szCs w:val="22"/>
          <w:rFonts w:ascii="Arial" w:cs="Arial" w:eastAsia="Arial" w:hAnsi="Arial"/>
        </w:rPr>
        <w:t xml:space="preserve"> the endorser's liability is discharged if the holder destroys or impairs his remedy against a prior party; </w:t>
      </w:r>
      <w:r>
        <w:rPr>
          <w:b/>
          <w:bCs/>
          <w:sz w:val="22"/>
          <w:szCs w:val="22"/>
          <w:rFonts w:ascii="Arial" w:cs="Arial" w:eastAsia="Arial" w:hAnsi="Arial"/>
        </w:rPr>
        <w:t xml:space="preserve">Sec 35:</w:t>
      </w:r>
      <w:r>
        <w:rPr>
          <w:sz w:val="22"/>
          <w:szCs w:val="22"/>
          <w:rFonts w:ascii="Arial" w:cs="Arial" w:eastAsia="Arial" w:hAnsi="Arial"/>
        </w:rPr>
        <w:t xml:space="preserve"> the endorser's liability — he is bound to compensate every subsequent holder if the instrument is dishonoured, provided he receives due notice of dishonour (Sec 93); </w:t>
      </w:r>
      <w:r>
        <w:rPr>
          <w:b/>
          <w:bCs/>
          <w:sz w:val="22"/>
          <w:szCs w:val="22"/>
          <w:rFonts w:ascii="Arial" w:cs="Arial" w:eastAsia="Arial" w:hAnsi="Arial"/>
        </w:rPr>
        <w:t xml:space="preserve">Sec 45A:</w:t>
      </w:r>
      <w:r>
        <w:rPr>
          <w:sz w:val="22"/>
          <w:szCs w:val="22"/>
          <w:rFonts w:ascii="Arial" w:cs="Arial" w:eastAsia="Arial" w:hAnsi="Arial"/>
        </w:rPr>
        <w:t xml:space="preserve"> duplicates. Rules of practice for endorsement: the endorsement must be in the same name and spelling as the payee's (a misspelt payee endorses first in the misspelt form and then correctly); a married woman endorses in her own name; an agent endorses 'for and on behalf of' with his authority (Sec 27-28 — an agent signing without indicating that he signs as agent is personally liable); an executor endorses as such; a firm's endorsement is by a partner in the firm name (Sec 19 Partnership Act); a company's by its authorised officer with the seal or under the board's authority; a minor's endorsement binds all except himself (Sec 26). The order of endorsements is presumed (Sec 118(e)); a forged endorsement is a nullity and no title passes (Sec 58 read with the general law; the paying banker's protection under Sec 85 for order cheques is the statutory exception).</w:t>
      </w:r>
    </w:p>
    <w:p>
      <w:pPr>
        <w:spacing w:before="240" w:after="120"/>
      </w:pPr>
      <w:r>
        <w:rPr>
          <w:b/>
          <w:bCs/>
          <w:color w:val="404040"/>
          <w:sz w:val="23"/>
          <w:szCs w:val="23"/>
          <w:rFonts w:ascii="Arial" w:cs="Arial" w:eastAsia="Arial" w:hAnsi="Arial"/>
        </w:rPr>
        <w:t xml:space="preserve">Payment in due course — Sec 10</w:t>
      </w:r>
    </w:p>
    <w:p>
      <w:pPr>
        <w:spacing w:after="120" w:line="300"/>
        <w:jc w:val="both"/>
      </w:pPr>
      <w:r>
        <w:rPr>
          <w:sz w:val="22"/>
          <w:szCs w:val="22"/>
          <w:rFonts w:ascii="Arial" w:cs="Arial" w:eastAsia="Arial" w:hAnsi="Arial"/>
        </w:rPr>
        <w:t xml:space="preserve">'Payment in due course' means payment </w:t>
      </w:r>
      <w:r>
        <w:rPr>
          <w:b/>
          <w:bCs/>
          <w:sz w:val="22"/>
          <w:szCs w:val="22"/>
          <w:rFonts w:ascii="Arial" w:cs="Arial" w:eastAsia="Arial" w:hAnsi="Arial"/>
        </w:rPr>
        <w:t xml:space="preserve">in accordance with the apparent tenor of the instrument</w:t>
      </w:r>
      <w:r>
        <w:rPr>
          <w:sz w:val="22"/>
          <w:szCs w:val="22"/>
          <w:rFonts w:ascii="Arial" w:cs="Arial" w:eastAsia="Arial" w:hAnsi="Arial"/>
        </w:rPr>
        <w:t xml:space="preserve">, </w:t>
      </w:r>
      <w:r>
        <w:rPr>
          <w:b/>
          <w:bCs/>
          <w:sz w:val="22"/>
          <w:szCs w:val="22"/>
          <w:rFonts w:ascii="Arial" w:cs="Arial" w:eastAsia="Arial" w:hAnsi="Arial"/>
        </w:rPr>
        <w:t xml:space="preserve">in good faith and without negligence</w:t>
      </w:r>
      <w:r>
        <w:rPr>
          <w:sz w:val="22"/>
          <w:szCs w:val="22"/>
          <w:rFonts w:ascii="Arial" w:cs="Arial" w:eastAsia="Arial" w:hAnsi="Arial"/>
        </w:rPr>
        <w:t xml:space="preserve">, to any person in possession thereof under circumstances which do not afford a reasonable ground for believing that he is not entitled to receive payment of the amount therein mentioned. Elements: (1) according to the apparent tenor — the amount, the date (not before a post-dated cheque's date), the payee (not a cancelled crossing), the currency; (2) in good faith and without negligence — the ordinary care of a prudent banker: examining the signature against the specimen, the date, the crossing, the endorsements' regularity, any material alteration, whether the amount in words and figures agree (Sec 18 — the words prevail), whether there is a countermand or a garnishee order or notice of death; (3) to a person in possession — the bearer, or the apparent endorsee; (4) under circumstances not affording reasonable ground for suspicion — payment of a large sum over the counter to a stranger, or of a cheque with a shaky signature, or one presented long after date, may put the bank on inquiry. A banker who pays in due course is discharged (Sec 82(c) — the maker, acceptor or endorser is discharged by payment in due course; Sec 85 — the paying banker's protection is expressed in terms of payment in due course; Sec 128 for crossed cheques). Payment out of due course — on a forged drawer's signature (never in due course, because the mandate is absent; Canara Bank), after countermand, after notice of death, on a materially altered cheque that is apparent, against a stopped or attached account, or to a person whose title is suspect — makes the bank liable to the drawer (wrongful debit) or the true owner (conversion).</w:t>
      </w:r>
    </w:p>
    <w:p>
      <w:pPr>
        <w:spacing w:before="240" w:after="120"/>
      </w:pPr>
      <w:r>
        <w:rPr>
          <w:b/>
          <w:bCs/>
          <w:color w:val="404040"/>
          <w:sz w:val="23"/>
          <w:szCs w:val="23"/>
          <w:rFonts w:ascii="Arial" w:cs="Arial" w:eastAsia="Arial" w:hAnsi="Arial"/>
        </w:rPr>
        <w:t xml:space="preserve">Marking of cheques and when the banker must refuse payment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Marking</w:t>
      </w:r>
      <w:r>
        <w:rPr>
          <w:sz w:val="22"/>
          <w:szCs w:val="22"/>
          <w:rFonts w:ascii="Arial" w:cs="Arial" w:eastAsia="Arial" w:hAnsi="Arial"/>
        </w:rPr>
        <w:t xml:space="preserve"> — the paying banker, at the request of the holder or the collecting banker, writes 'good for payment' on a cheque, indicating that funds are available and are earmarked; the Act does not provide for it (a cheque cannot be 'accepted'), but by usage a cheque marked at the request of the holder binds the banker to pay, and a cheque marked at the request of the drawer or another bank for clearing is a representation that may found an estoppel — the practice is obsolete in India since the RBI discouraged it (the demand draft and the banker's cheque replace it); its legal effect where it survives: the marking bank is estopped from dishonouring for want of funds, but the drawer remains liable and may countermand? — the RBI's view is that marking should be confined to cheques for clearing purposes. </w:t>
      </w:r>
      <w:r>
        <w:rPr>
          <w:b/>
          <w:bCs/>
          <w:sz w:val="22"/>
          <w:szCs w:val="22"/>
          <w:rFonts w:ascii="Arial" w:cs="Arial" w:eastAsia="Arial" w:hAnsi="Arial"/>
        </w:rPr>
        <w:t xml:space="preserve">When the banker must refuse payment:</w:t>
      </w:r>
      <w:r>
        <w:rPr>
          <w:sz w:val="22"/>
          <w:szCs w:val="22"/>
          <w:rFonts w:ascii="Arial" w:cs="Arial" w:eastAsia="Arial" w:hAnsi="Arial"/>
        </w:rPr>
        <w:t xml:space="preserve"> on </w:t>
      </w:r>
      <w:r>
        <w:rPr>
          <w:b/>
          <w:bCs/>
          <w:sz w:val="22"/>
          <w:szCs w:val="22"/>
          <w:rFonts w:ascii="Arial" w:cs="Arial" w:eastAsia="Arial" w:hAnsi="Arial"/>
        </w:rPr>
        <w:t xml:space="preserve">countermand</w:t>
      </w:r>
      <w:r>
        <w:rPr>
          <w:sz w:val="22"/>
          <w:szCs w:val="22"/>
          <w:rFonts w:ascii="Arial" w:cs="Arial" w:eastAsia="Arial" w:hAnsi="Arial"/>
        </w:rPr>
        <w:t xml:space="preserve"> (stop payment) by the drawer (Sec 31? — the customer's mandate is revoked; the order must be clear and reach the paying branch before payment; a countermand after payment is ineffective; a stop-payment cheque may still found a Sec 138 prosecution — Modi Cements); on notice of the </w:t>
      </w:r>
      <w:r>
        <w:rPr>
          <w:b/>
          <w:bCs/>
          <w:sz w:val="22"/>
          <w:szCs w:val="22"/>
          <w:rFonts w:ascii="Arial" w:cs="Arial" w:eastAsia="Arial" w:hAnsi="Arial"/>
        </w:rPr>
        <w:t xml:space="preserve">death</w:t>
      </w:r>
      <w:r>
        <w:rPr>
          <w:sz w:val="22"/>
          <w:szCs w:val="22"/>
          <w:rFonts w:ascii="Arial" w:cs="Arial" w:eastAsia="Arial" w:hAnsi="Arial"/>
        </w:rPr>
        <w:t xml:space="preserve"> of the customer (the mandate ends; cheques presented after death are returned 'drawer deceased' even if dated before); on notice of the customer's </w:t>
      </w:r>
      <w:r>
        <w:rPr>
          <w:b/>
          <w:bCs/>
          <w:sz w:val="22"/>
          <w:szCs w:val="22"/>
          <w:rFonts w:ascii="Arial" w:cs="Arial" w:eastAsia="Arial" w:hAnsi="Arial"/>
        </w:rPr>
        <w:t xml:space="preserve">insanity</w:t>
      </w:r>
      <w:r>
        <w:rPr>
          <w:sz w:val="22"/>
          <w:szCs w:val="22"/>
          <w:rFonts w:ascii="Arial" w:cs="Arial" w:eastAsia="Arial" w:hAnsi="Arial"/>
        </w:rPr>
        <w:t xml:space="preserve">; on the customer's </w:t>
      </w:r>
      <w:r>
        <w:rPr>
          <w:b/>
          <w:bCs/>
          <w:sz w:val="22"/>
          <w:szCs w:val="22"/>
          <w:rFonts w:ascii="Arial" w:cs="Arial" w:eastAsia="Arial" w:hAnsi="Arial"/>
        </w:rPr>
        <w:t xml:space="preserve">insolvency</w:t>
      </w:r>
      <w:r>
        <w:rPr>
          <w:sz w:val="22"/>
          <w:szCs w:val="22"/>
          <w:rFonts w:ascii="Arial" w:cs="Arial" w:eastAsia="Arial" w:hAnsi="Arial"/>
        </w:rPr>
        <w:t xml:space="preserve"> — the presentation of a petition (Sec 28 Insolvency and Bankruptcy Code moratorium; the earlier Presidency Towns and Provincial Insolvency Acts); on receipt of a </w:t>
      </w:r>
      <w:r>
        <w:rPr>
          <w:b/>
          <w:bCs/>
          <w:sz w:val="22"/>
          <w:szCs w:val="22"/>
          <w:rFonts w:ascii="Arial" w:cs="Arial" w:eastAsia="Arial" w:hAnsi="Arial"/>
        </w:rPr>
        <w:t xml:space="preserve">garnishee order</w:t>
      </w:r>
      <w:r>
        <w:rPr>
          <w:sz w:val="22"/>
          <w:szCs w:val="22"/>
          <w:rFonts w:ascii="Arial" w:cs="Arial" w:eastAsia="Arial" w:hAnsi="Arial"/>
        </w:rPr>
        <w:t xml:space="preserve"> or an attachment order of a court or tax authority; on notice of the </w:t>
      </w:r>
      <w:r>
        <w:rPr>
          <w:b/>
          <w:bCs/>
          <w:sz w:val="22"/>
          <w:szCs w:val="22"/>
          <w:rFonts w:ascii="Arial" w:cs="Arial" w:eastAsia="Arial" w:hAnsi="Arial"/>
        </w:rPr>
        <w:t xml:space="preserve">winding up</w:t>
      </w:r>
      <w:r>
        <w:rPr>
          <w:sz w:val="22"/>
          <w:szCs w:val="22"/>
          <w:rFonts w:ascii="Arial" w:cs="Arial" w:eastAsia="Arial" w:hAnsi="Arial"/>
        </w:rPr>
        <w:t xml:space="preserve"> of a company customer (the liquidator alone may operate); where the cheque is </w:t>
      </w:r>
      <w:r>
        <w:rPr>
          <w:b/>
          <w:bCs/>
          <w:sz w:val="22"/>
          <w:szCs w:val="22"/>
          <w:rFonts w:ascii="Arial" w:cs="Arial" w:eastAsia="Arial" w:hAnsi="Arial"/>
        </w:rPr>
        <w:t xml:space="preserve">post-dated</w:t>
      </w:r>
      <w:r>
        <w:rPr>
          <w:sz w:val="22"/>
          <w:szCs w:val="22"/>
          <w:rFonts w:ascii="Arial" w:cs="Arial" w:eastAsia="Arial" w:hAnsi="Arial"/>
        </w:rPr>
        <w:t xml:space="preserve"> and presented before the date, or </w:t>
      </w:r>
      <w:r>
        <w:rPr>
          <w:b/>
          <w:bCs/>
          <w:sz w:val="22"/>
          <w:szCs w:val="22"/>
          <w:rFonts w:ascii="Arial" w:cs="Arial" w:eastAsia="Arial" w:hAnsi="Arial"/>
        </w:rPr>
        <w:t xml:space="preserve">stale</w:t>
      </w:r>
      <w:r>
        <w:rPr>
          <w:sz w:val="22"/>
          <w:szCs w:val="22"/>
          <w:rFonts w:ascii="Arial" w:cs="Arial" w:eastAsia="Arial" w:hAnsi="Arial"/>
        </w:rPr>
        <w:t xml:space="preserve">; where the signature </w:t>
      </w:r>
      <w:r>
        <w:rPr>
          <w:b/>
          <w:bCs/>
          <w:sz w:val="22"/>
          <w:szCs w:val="22"/>
          <w:rFonts w:ascii="Arial" w:cs="Arial" w:eastAsia="Arial" w:hAnsi="Arial"/>
        </w:rPr>
        <w:t xml:space="preserve">differs</w:t>
      </w:r>
      <w:r>
        <w:rPr>
          <w:sz w:val="22"/>
          <w:szCs w:val="22"/>
          <w:rFonts w:ascii="Arial" w:cs="Arial" w:eastAsia="Arial" w:hAnsi="Arial"/>
        </w:rPr>
        <w:t xml:space="preserve"> from the specimen; where the cheque is </w:t>
      </w:r>
      <w:r>
        <w:rPr>
          <w:b/>
          <w:bCs/>
          <w:sz w:val="22"/>
          <w:szCs w:val="22"/>
          <w:rFonts w:ascii="Arial" w:cs="Arial" w:eastAsia="Arial" w:hAnsi="Arial"/>
        </w:rPr>
        <w:t xml:space="preserve">materially altered</w:t>
      </w:r>
      <w:r>
        <w:rPr>
          <w:sz w:val="22"/>
          <w:szCs w:val="22"/>
          <w:rFonts w:ascii="Arial" w:cs="Arial" w:eastAsia="Arial" w:hAnsi="Arial"/>
        </w:rPr>
        <w:t xml:space="preserve"> without the drawer's authenticated confirmation (Sec 87); where the amount in </w:t>
      </w:r>
      <w:r>
        <w:rPr>
          <w:b/>
          <w:bCs/>
          <w:sz w:val="22"/>
          <w:szCs w:val="22"/>
          <w:rFonts w:ascii="Arial" w:cs="Arial" w:eastAsia="Arial" w:hAnsi="Arial"/>
        </w:rPr>
        <w:t xml:space="preserve">words and figures differ</w:t>
      </w:r>
      <w:r>
        <w:rPr>
          <w:sz w:val="22"/>
          <w:szCs w:val="22"/>
          <w:rFonts w:ascii="Arial" w:cs="Arial" w:eastAsia="Arial" w:hAnsi="Arial"/>
        </w:rPr>
        <w:t xml:space="preserve"> (Sec 18 — the bank may pay the amount in words, but practice is to return); where the cheque is </w:t>
      </w:r>
      <w:r>
        <w:rPr>
          <w:b/>
          <w:bCs/>
          <w:sz w:val="22"/>
          <w:szCs w:val="22"/>
          <w:rFonts w:ascii="Arial" w:cs="Arial" w:eastAsia="Arial" w:hAnsi="Arial"/>
        </w:rPr>
        <w:t xml:space="preserve">mutilated</w:t>
      </w:r>
      <w:r>
        <w:rPr>
          <w:sz w:val="22"/>
          <w:szCs w:val="22"/>
          <w:rFonts w:ascii="Arial" w:cs="Arial" w:eastAsia="Arial" w:hAnsi="Arial"/>
        </w:rPr>
        <w:t xml:space="preserve">; where the crossing is </w:t>
      </w:r>
      <w:r>
        <w:rPr>
          <w:b/>
          <w:bCs/>
          <w:sz w:val="22"/>
          <w:szCs w:val="22"/>
          <w:rFonts w:ascii="Arial" w:cs="Arial" w:eastAsia="Arial" w:hAnsi="Arial"/>
        </w:rPr>
        <w:t xml:space="preserve">irregular</w:t>
      </w:r>
      <w:r>
        <w:rPr>
          <w:sz w:val="22"/>
          <w:szCs w:val="22"/>
          <w:rFonts w:ascii="Arial" w:cs="Arial" w:eastAsia="Arial" w:hAnsi="Arial"/>
        </w:rPr>
        <w:t xml:space="preserve"> or a specially crossed cheque is presented through the wrong bank (Sec 126-127); where the account is </w:t>
      </w:r>
      <w:r>
        <w:rPr>
          <w:b/>
          <w:bCs/>
          <w:sz w:val="22"/>
          <w:szCs w:val="22"/>
          <w:rFonts w:ascii="Arial" w:cs="Arial" w:eastAsia="Arial" w:hAnsi="Arial"/>
        </w:rPr>
        <w:t xml:space="preserve">closed</w:t>
      </w:r>
      <w:r>
        <w:rPr>
          <w:sz w:val="22"/>
          <w:szCs w:val="22"/>
          <w:rFonts w:ascii="Arial" w:cs="Arial" w:eastAsia="Arial" w:hAnsi="Arial"/>
        </w:rPr>
        <w:t xml:space="preserve"> or the customer's funds are </w:t>
      </w:r>
      <w:r>
        <w:rPr>
          <w:b/>
          <w:bCs/>
          <w:sz w:val="22"/>
          <w:szCs w:val="22"/>
          <w:rFonts w:ascii="Arial" w:cs="Arial" w:eastAsia="Arial" w:hAnsi="Arial"/>
        </w:rPr>
        <w:t xml:space="preserve">insufficient</w:t>
      </w:r>
      <w:r>
        <w:rPr>
          <w:sz w:val="22"/>
          <w:szCs w:val="22"/>
          <w:rFonts w:ascii="Arial" w:cs="Arial" w:eastAsia="Arial" w:hAnsi="Arial"/>
        </w:rPr>
        <w:t xml:space="preserve"> (the cheque is returned 'insufficient funds' — the ground for Sec 138; NEPC Micon v. Magma Leasing, 1999 — 'account closed' is within Sec 138); where the customer has </w:t>
      </w:r>
      <w:r>
        <w:rPr>
          <w:b/>
          <w:bCs/>
          <w:sz w:val="22"/>
          <w:szCs w:val="22"/>
          <w:rFonts w:ascii="Arial" w:cs="Arial" w:eastAsia="Arial" w:hAnsi="Arial"/>
        </w:rPr>
        <w:t xml:space="preserve">assigned</w:t>
      </w:r>
      <w:r>
        <w:rPr>
          <w:sz w:val="22"/>
          <w:szCs w:val="22"/>
          <w:rFonts w:ascii="Arial" w:cs="Arial" w:eastAsia="Arial" w:hAnsi="Arial"/>
        </w:rPr>
        <w:t xml:space="preserve"> the balance or given notice of a trust; where the cheque is drawn on </w:t>
      </w:r>
      <w:r>
        <w:rPr>
          <w:b/>
          <w:bCs/>
          <w:sz w:val="22"/>
          <w:szCs w:val="22"/>
          <w:rFonts w:ascii="Arial" w:cs="Arial" w:eastAsia="Arial" w:hAnsi="Arial"/>
        </w:rPr>
        <w:t xml:space="preserve">another branch</w:t>
      </w:r>
      <w:r>
        <w:rPr>
          <w:sz w:val="22"/>
          <w:szCs w:val="22"/>
          <w:rFonts w:ascii="Arial" w:cs="Arial" w:eastAsia="Arial" w:hAnsi="Arial"/>
        </w:rPr>
        <w:t xml:space="preserve"> without a multi-city arrangement; where the drawer's </w:t>
      </w:r>
      <w:r>
        <w:rPr>
          <w:b/>
          <w:bCs/>
          <w:sz w:val="22"/>
          <w:szCs w:val="22"/>
          <w:rFonts w:ascii="Arial" w:cs="Arial" w:eastAsia="Arial" w:hAnsi="Arial"/>
        </w:rPr>
        <w:t xml:space="preserve">authority</w:t>
      </w:r>
      <w:r>
        <w:rPr>
          <w:sz w:val="22"/>
          <w:szCs w:val="22"/>
          <w:rFonts w:ascii="Arial" w:cs="Arial" w:eastAsia="Arial" w:hAnsi="Arial"/>
        </w:rPr>
        <w:t xml:space="preserve"> as agent, partner, director or trustee is doubtful or has terminated; where the cheque is </w:t>
      </w:r>
      <w:r>
        <w:rPr>
          <w:b/>
          <w:bCs/>
          <w:sz w:val="22"/>
          <w:szCs w:val="22"/>
          <w:rFonts w:ascii="Arial" w:cs="Arial" w:eastAsia="Arial" w:hAnsi="Arial"/>
        </w:rPr>
        <w:t xml:space="preserve">irregularly endorsed</w:t>
      </w:r>
      <w:r>
        <w:rPr>
          <w:sz w:val="22"/>
          <w:szCs w:val="22"/>
          <w:rFonts w:ascii="Arial" w:cs="Arial" w:eastAsia="Arial" w:hAnsi="Arial"/>
        </w:rPr>
        <w:t xml:space="preserve"> (Sec 85 — the banker must ensure the endorsement is regular, though he need not verify its genuineness); where the bank has received notice of a </w:t>
      </w:r>
      <w:r>
        <w:rPr>
          <w:b/>
          <w:bCs/>
          <w:sz w:val="22"/>
          <w:szCs w:val="22"/>
          <w:rFonts w:ascii="Arial" w:cs="Arial" w:eastAsia="Arial" w:hAnsi="Arial"/>
        </w:rPr>
        <w:t xml:space="preserve">loss</w:t>
      </w:r>
      <w:r>
        <w:rPr>
          <w:sz w:val="22"/>
          <w:szCs w:val="22"/>
          <w:rFonts w:ascii="Arial" w:cs="Arial" w:eastAsia="Arial" w:hAnsi="Arial"/>
        </w:rPr>
        <w:t xml:space="preserve"> of the cheque or </w:t>
      </w:r>
      <w:r>
        <w:rPr>
          <w:b/>
          <w:bCs/>
          <w:sz w:val="22"/>
          <w:szCs w:val="22"/>
          <w:rFonts w:ascii="Arial" w:cs="Arial" w:eastAsia="Arial" w:hAnsi="Arial"/>
        </w:rPr>
        <w:t xml:space="preserve">fraud</w:t>
      </w:r>
      <w:r>
        <w:rPr>
          <w:sz w:val="22"/>
          <w:szCs w:val="22"/>
          <w:rFonts w:ascii="Arial" w:cs="Arial" w:eastAsia="Arial" w:hAnsi="Arial"/>
        </w:rPr>
        <w:t xml:space="preserve"> (the bank may refuse pending inquiry); and where the cheque is presented on a </w:t>
      </w:r>
      <w:r>
        <w:rPr>
          <w:b/>
          <w:bCs/>
          <w:sz w:val="22"/>
          <w:szCs w:val="22"/>
          <w:rFonts w:ascii="Arial" w:cs="Arial" w:eastAsia="Arial" w:hAnsi="Arial"/>
        </w:rPr>
        <w:t xml:space="preserve">holiday</w:t>
      </w:r>
      <w:r>
        <w:rPr>
          <w:sz w:val="22"/>
          <w:szCs w:val="22"/>
          <w:rFonts w:ascii="Arial" w:cs="Arial" w:eastAsia="Arial" w:hAnsi="Arial"/>
        </w:rPr>
        <w:t xml:space="preserve"> or outside hours. The bank may refuse but is not bound to refuse where the customer has drawn a cheque for a purpose the bank thinks unwise, or where a third party asserts a claim without a court order.</w:t>
      </w:r>
    </w:p>
    <w:p>
      <w:pPr>
        <w:pBdr>
          <w:left w:val="single" w:color="CC0000" w:sz="6" w:space="8"/>
        </w:pBdr>
        <w:spacing w:before="80" w:after="80"/>
        <w:ind w:left="300"/>
      </w:pPr>
      <w:r>
        <w:rPr>
          <w:b/>
          <w:bCs/>
          <w:color w:val="CC0000"/>
          <w:sz w:val="21"/>
          <w:szCs w:val="21"/>
          <w:rFonts w:ascii="Arial" w:cs="Arial" w:eastAsia="Arial" w:hAnsi="Arial"/>
        </w:rPr>
        <w:t xml:space="preserve">Great Western Railway Co. v. London and County Banking Co. [1901] AC 414 — </w:t>
      </w:r>
      <w:r>
        <w:rPr>
          <w:sz w:val="21"/>
          <w:szCs w:val="21"/>
          <w:rFonts w:ascii="Arial" w:cs="Arial" w:eastAsia="Arial" w:hAnsi="Arial"/>
        </w:rPr>
        <w:t xml:space="preserve">A bank that cashes a crossed 'not negotiable' cheque for a person who is not a customer is not protected as a collecting banker and, taking under a 'not negotiable' crossing, gets no better title than the presenter; liable in conversion.</w:t>
      </w:r>
    </w:p>
    <w:p>
      <w:pPr>
        <w:pBdr>
          <w:left w:val="single" w:color="CC0000" w:sz="6" w:space="8"/>
        </w:pBdr>
        <w:spacing w:before="80" w:after="80"/>
        <w:ind w:left="300"/>
      </w:pPr>
      <w:r>
        <w:rPr>
          <w:b/>
          <w:bCs/>
          <w:color w:val="CC0000"/>
          <w:sz w:val="21"/>
          <w:szCs w:val="21"/>
          <w:rFonts w:ascii="Arial" w:cs="Arial" w:eastAsia="Arial" w:hAnsi="Arial"/>
        </w:rPr>
        <w:t xml:space="preserve">Wilson and Meeson v. Pickering [1946] KB 422 — </w:t>
      </w:r>
      <w:r>
        <w:rPr>
          <w:sz w:val="21"/>
          <w:szCs w:val="21"/>
          <w:rFonts w:ascii="Arial" w:cs="Arial" w:eastAsia="Arial" w:hAnsi="Arial"/>
        </w:rPr>
        <w:t xml:space="preserve">A cheque crossed 'not negotiable' handed to a clerk for a limited purpose and misappropriated could not be enforced by the transferee against the drawer, because the 'not negotiable' crossing meant the transferee took subject to the clerk's defective title.</w:t>
      </w:r>
    </w:p>
    <w:p>
      <w:pPr>
        <w:pBdr>
          <w:left w:val="single" w:color="CC0000" w:sz="6" w:space="8"/>
        </w:pBdr>
        <w:spacing w:before="80" w:after="80"/>
        <w:ind w:left="300"/>
      </w:pPr>
      <w:r>
        <w:rPr>
          <w:b/>
          <w:bCs/>
          <w:color w:val="CC0000"/>
          <w:sz w:val="21"/>
          <w:szCs w:val="21"/>
          <w:rFonts w:ascii="Arial" w:cs="Arial" w:eastAsia="Arial" w:hAnsi="Arial"/>
        </w:rPr>
        <w:t xml:space="preserve">National Bank v. Silke [1891] 1 QB 435 — </w:t>
      </w:r>
      <w:r>
        <w:rPr>
          <w:sz w:val="21"/>
          <w:szCs w:val="21"/>
          <w:rFonts w:ascii="Arial" w:cs="Arial" w:eastAsia="Arial" w:hAnsi="Arial"/>
        </w:rPr>
        <w:t xml:space="preserve">An 'account payee' crossing is a direction to the collecting banker and does not affect the negotiability of the cheque or the paying banker's position — the origin of the usage that Indian banks and the 2002 amendment to Sec 131 now enforce.</w:t>
      </w:r>
    </w:p>
    <w:p>
      <w:pPr>
        <w:pBdr>
          <w:left w:val="single" w:color="CC0000" w:sz="6" w:space="8"/>
        </w:pBdr>
        <w:spacing w:before="80" w:after="80"/>
        <w:ind w:left="300"/>
      </w:pPr>
      <w:r>
        <w:rPr>
          <w:b/>
          <w:bCs/>
          <w:color w:val="CC0000"/>
          <w:sz w:val="21"/>
          <w:szCs w:val="21"/>
          <w:rFonts w:ascii="Arial" w:cs="Arial" w:eastAsia="Arial" w:hAnsi="Arial"/>
        </w:rPr>
        <w:t xml:space="preserve">Modi Cements Ltd. v. Kuchil Kumar Nandi (1998) 3 SCC 249 — </w:t>
      </w:r>
      <w:r>
        <w:rPr>
          <w:sz w:val="21"/>
          <w:szCs w:val="21"/>
          <w:rFonts w:ascii="Arial" w:cs="Arial" w:eastAsia="Arial" w:hAnsi="Arial"/>
        </w:rPr>
        <w:t xml:space="preserve">A cheque dishonoured on a 'stop payment' instruction attracts Sec 138 if issued for a legally enforceable debt; the drawer cannot escape by countermanding (overruling Electronics Trade and Technology Development Corporation v. Indian Technologists).</w:t>
      </w:r>
    </w:p>
    <w:p>
      <w:pPr>
        <w:pBdr>
          <w:left w:val="single" w:color="CC0000" w:sz="6" w:space="8"/>
        </w:pBdr>
        <w:spacing w:before="80" w:after="80"/>
        <w:ind w:left="300"/>
      </w:pPr>
      <w:r>
        <w:rPr>
          <w:b/>
          <w:bCs/>
          <w:color w:val="CC0000"/>
          <w:sz w:val="21"/>
          <w:szCs w:val="21"/>
          <w:rFonts w:ascii="Arial" w:cs="Arial" w:eastAsia="Arial" w:hAnsi="Arial"/>
        </w:rPr>
        <w:t xml:space="preserve">NEPC Micon Ltd. v. Magma Leasing Ltd. (1999) 4 SCC 253 — </w:t>
      </w:r>
      <w:r>
        <w:rPr>
          <w:sz w:val="21"/>
          <w:szCs w:val="21"/>
          <w:rFonts w:ascii="Arial" w:cs="Arial" w:eastAsia="Arial" w:hAnsi="Arial"/>
        </w:rPr>
        <w:t xml:space="preserve">'Account closed' is a dishonour within Sec 138; the words 'the amount of money standing to the credit of that account is insufficient' include a closed account.</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CTS-2010 cheque carries the crossing and 'a/c payee' pre-printed, and the image-based clearing means the paying bank sees only an image: the RBI's positive-pay system requires the drawer to upload the cheque's details for high-value cheques, and the paying bank matches the image against them — 'apparent tenor' is now checked by software. Endorsements have nearly vanished from cheques because account-payee crossing is universal; the law of endorsement survives mainly for bills, drafts and warehouse receipts. Countermands are given through the app or net-banking and take effect instantly across branches; death notices are flagged in the core banking system; and dishonour memos are generated with the standard return reason codes, which is how the Sec 138 'insufficient funds' or 'account closed' reason is proved in court.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'Crossing of cheques', 'Not negotiable crossing', 'Account payee crossing', 'Endorsement in blank and in full', 'Sans recourse endorsement', 'Partial endorsement', 'Payment in due course', 'Marking of cheques', 'Countermand'. Part B: 'What is crossing? Explain the kinds of crossing and their legal effect with reference to Sec 123-131' — general, special, not negotiable (Great Western Railway, Wilson v Pickering), account payee (Silke and the RBI direction), who may cross, Sec 126-129; or 'Define endorsement and explain its kinds with the rules of a valid endorsement'; or 'When is a banker justified in refusing payment of a customer's cheque?'. Part C: a specially crossed cheque is presented through a different bank — refuse (Sec 126); a cheque endorsed 'pay A for collection' is endorsed by A to B — restrictive endorsement, B gets no title; a customer stops a cheque after the payee has supplied goods — bank must refuse, drawer faces Sec 138 (Modi Cements); a thief transfers a 'not negotiable' cheque to an innocent purchaser for value — the purchaser gets no title (Sec 130).</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07 — The Forged Cheque: Canara Bank v Canara Sales Corporation and the Two Bankers</w:t>
      </w:r>
    </w:p>
    <w:p>
      <w:pPr>
        <w:pStyle w:val="Heading2"/>
        <w:spacing w:before="360" w:after="160"/>
      </w:pPr>
      <w:r>
        <w:rPr>
          <w:b/>
          <w:bCs/>
          <w:color w:val="2E75B6"/>
          <w:sz w:val="26"/>
          <w:szCs w:val="26"/>
          <w:rFonts w:ascii="Arial" w:cs="Arial" w:eastAsia="Arial" w:hAnsi="Arial"/>
        </w:rPr>
        <w:t xml:space="preserve">Covers: Liabilities of the parties to a negotiable instrument (Sec 30-44) · Forgery — of the drawer's signature, of an endorsement, material alteration (Sec 87-89) · Statutory protection of the paying banker (Sec 85, 85A, 89, 128) · Statutory protection of the collecting banker (Sec 131, 131A) · Conversion and negligence</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Bangalore, 1958 to 1961. Canara Sales Corporation kept a current account with Canara Bank. Its accountant, Sunder Raj, forged the managing partner's signature on forty-two cheques over three years and drew out more than three lakh rupees. The forgeries were discovered when the auditors compared the pass book with the counterfoils. The firm sued the bank for the amount wrongly debited. The bank's defence was the customer's negligence: the firm had let the accountant handle the cheque book and the pass book and had not checked the statements, and by its silence had led the bank to believe the cheques were genuine. In 1987 the Supreme Court decided the question of who bears the loss of a forged cheque in India, and answered it against the bank: a bank can debit a customer's account only on his mandate, and a forged signature is no mandate at all; the customer owes the bank no duty to examine his pass book and detect forgeries; his negligence in the conduct of his business is not a defence unless it is the proximate cause of the payment, and mere failure to detect is not; and estoppel requires knowledge of the forgery and a representation on which the bank acted — which the firm never made. The bank had to make good every forged cheque. This episode is the mirror image of the last: it is about what happens when the cheque is not what it seems — a forged signature, a forged endorsement, an altered amount — and about the two statutory shields the Act gives to bankers, one to the bank that pays and one to the bank that collects, and the conditions on which they may be raised.</w:t>
      </w:r>
    </w:p>
    <w:p>
      <w:pPr>
        <w:spacing w:before="240" w:after="120"/>
      </w:pPr>
      <w:r>
        <w:rPr>
          <w:b/>
          <w:bCs/>
          <w:color w:val="404040"/>
          <w:sz w:val="23"/>
          <w:szCs w:val="23"/>
          <w:rFonts w:ascii="Arial" w:cs="Arial" w:eastAsia="Arial" w:hAnsi="Arial"/>
        </w:rPr>
        <w:t xml:space="preserve">Liabilities of the parties — Sec 30-44</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30 — drawer:</w:t>
      </w:r>
      <w:r>
        <w:rPr>
          <w:sz w:val="22"/>
          <w:szCs w:val="22"/>
          <w:rFonts w:ascii="Arial" w:cs="Arial" w:eastAsia="Arial" w:hAnsi="Arial"/>
        </w:rPr>
        <w:t xml:space="preserve"> the drawer of a bill or cheque is bound, in case of dishonour by the drawee or acceptor, to compensate the holder, provided due notice of dishonour has been given to or received by him; the drawer's liability is secondary and conditional. </w:t>
      </w:r>
      <w:r>
        <w:rPr>
          <w:b/>
          <w:bCs/>
          <w:sz w:val="22"/>
          <w:szCs w:val="22"/>
          <w:rFonts w:ascii="Arial" w:cs="Arial" w:eastAsia="Arial" w:hAnsi="Arial"/>
        </w:rPr>
        <w:t xml:space="preserve">Sec 31 — drawee of a cheque:</w:t>
      </w:r>
      <w:r>
        <w:rPr>
          <w:sz w:val="22"/>
          <w:szCs w:val="22"/>
          <w:rFonts w:ascii="Arial" w:cs="Arial" w:eastAsia="Arial" w:hAnsi="Arial"/>
        </w:rPr>
        <w:t xml:space="preserve"> the banker having sufficient funds must pay, and in default compensates the drawer (not the holder) for loss — the holder has no remedy against the banker. </w:t>
      </w:r>
      <w:r>
        <w:rPr>
          <w:b/>
          <w:bCs/>
          <w:sz w:val="22"/>
          <w:szCs w:val="22"/>
          <w:rFonts w:ascii="Arial" w:cs="Arial" w:eastAsia="Arial" w:hAnsi="Arial"/>
        </w:rPr>
        <w:t xml:space="preserve">Sec 32 — maker and acceptor:</w:t>
      </w:r>
      <w:r>
        <w:rPr>
          <w:sz w:val="22"/>
          <w:szCs w:val="22"/>
          <w:rFonts w:ascii="Arial" w:cs="Arial" w:eastAsia="Arial" w:hAnsi="Arial"/>
        </w:rPr>
        <w:t xml:space="preserve"> the maker of a note and the acceptor of a bill are bound to pay at maturity according to the apparent tenor (or of the acceptance, if qualified), and in default to compensate any party who is compelled to pay — the primary liability; the acceptor is liable even though the bill was not presented to him? — presentment is not necessary to charge the acceptor except where the bill is payable at a specified place (Sec 64 proviso? — Sec 76-77 excuse presentment in several cases). </w:t>
      </w:r>
      <w:r>
        <w:rPr>
          <w:b/>
          <w:bCs/>
          <w:sz w:val="22"/>
          <w:szCs w:val="22"/>
          <w:rFonts w:ascii="Arial" w:cs="Arial" w:eastAsia="Arial" w:hAnsi="Arial"/>
        </w:rPr>
        <w:t xml:space="preserve">Sec 33-34:</w:t>
      </w:r>
      <w:r>
        <w:rPr>
          <w:sz w:val="22"/>
          <w:szCs w:val="22"/>
          <w:rFonts w:ascii="Arial" w:cs="Arial" w:eastAsia="Arial" w:hAnsi="Arial"/>
        </w:rPr>
        <w:t xml:space="preserve"> only the drawee can accept, or a person named as drawee in case of need, or an acceptor for honour. </w:t>
      </w:r>
      <w:r>
        <w:rPr>
          <w:b/>
          <w:bCs/>
          <w:sz w:val="22"/>
          <w:szCs w:val="22"/>
          <w:rFonts w:ascii="Arial" w:cs="Arial" w:eastAsia="Arial" w:hAnsi="Arial"/>
        </w:rPr>
        <w:t xml:space="preserve">Sec 35 — endorser:</w:t>
      </w:r>
      <w:r>
        <w:rPr>
          <w:sz w:val="22"/>
          <w:szCs w:val="22"/>
          <w:rFonts w:ascii="Arial" w:cs="Arial" w:eastAsia="Arial" w:hAnsi="Arial"/>
        </w:rPr>
        <w:t xml:space="preserve"> whoever endorses and delivers a negotiable instrument before maturity, without expressly excluding or making conditional his own liability, is bound thereby to every subsequent holder in case of dishonour by the drawee, acceptor or maker, to compensate such holder for any loss or damage caused to him by such dishonour, provided due notice of dishonour has been given to or received by the endorser; the endorser's liability is secondary, conditional on notice, and may be excluded by 'sans recourse' (Sec 52). </w:t>
      </w:r>
      <w:r>
        <w:rPr>
          <w:b/>
          <w:bCs/>
          <w:sz w:val="22"/>
          <w:szCs w:val="22"/>
          <w:rFonts w:ascii="Arial" w:cs="Arial" w:eastAsia="Arial" w:hAnsi="Arial"/>
        </w:rPr>
        <w:t xml:space="preserve">Sec 36:</w:t>
      </w:r>
      <w:r>
        <w:rPr>
          <w:sz w:val="22"/>
          <w:szCs w:val="22"/>
          <w:rFonts w:ascii="Arial" w:cs="Arial" w:eastAsia="Arial" w:hAnsi="Arial"/>
        </w:rPr>
        <w:t xml:space="preserve"> every prior party to a negotiable instrument is liable thereon to a holder in due course until the instrument is duly satisfied. </w:t>
      </w:r>
      <w:r>
        <w:rPr>
          <w:b/>
          <w:bCs/>
          <w:sz w:val="22"/>
          <w:szCs w:val="22"/>
          <w:rFonts w:ascii="Arial" w:cs="Arial" w:eastAsia="Arial" w:hAnsi="Arial"/>
        </w:rPr>
        <w:t xml:space="preserve">Sec 37:</w:t>
      </w:r>
      <w:r>
        <w:rPr>
          <w:sz w:val="22"/>
          <w:szCs w:val="22"/>
          <w:rFonts w:ascii="Arial" w:cs="Arial" w:eastAsia="Arial" w:hAnsi="Arial"/>
        </w:rPr>
        <w:t xml:space="preserve"> the maker of a note, the drawer of a bill or cheque until acceptance, and the acceptor are, in the absence of a contract to the contrary, liable as principal debtors, and the other parties as sureties for the maker, drawer or acceptor. </w:t>
      </w:r>
      <w:r>
        <w:rPr>
          <w:b/>
          <w:bCs/>
          <w:sz w:val="22"/>
          <w:szCs w:val="22"/>
          <w:rFonts w:ascii="Arial" w:cs="Arial" w:eastAsia="Arial" w:hAnsi="Arial"/>
        </w:rPr>
        <w:t xml:space="preserve">Sec 38:</w:t>
      </w:r>
      <w:r>
        <w:rPr>
          <w:sz w:val="22"/>
          <w:szCs w:val="22"/>
          <w:rFonts w:ascii="Arial" w:cs="Arial" w:eastAsia="Arial" w:hAnsi="Arial"/>
        </w:rPr>
        <w:t xml:space="preserve"> as between the parties so liable as sureties, each prior party is, in the absence of a contract to the contrary, also liable as a principal debtor in respect of each subsequent party — the chain of liability runs from the last endorser backwards. </w:t>
      </w:r>
      <w:r>
        <w:rPr>
          <w:b/>
          <w:bCs/>
          <w:sz w:val="22"/>
          <w:szCs w:val="22"/>
          <w:rFonts w:ascii="Arial" w:cs="Arial" w:eastAsia="Arial" w:hAnsi="Arial"/>
        </w:rPr>
        <w:t xml:space="preserve">Sec 39:</w:t>
      </w:r>
      <w:r>
        <w:rPr>
          <w:sz w:val="22"/>
          <w:szCs w:val="22"/>
          <w:rFonts w:ascii="Arial" w:cs="Arial" w:eastAsia="Arial" w:hAnsi="Arial"/>
        </w:rPr>
        <w:t xml:space="preserve"> when the holder, on dishonour, gives time or otherwise deals with the acceptor, the endorsers are discharged unless the holder expressly reserves his rights against them? — Sec 39 permits the holder to reserve rights; </w:t>
      </w:r>
      <w:r>
        <w:rPr>
          <w:b/>
          <w:bCs/>
          <w:sz w:val="22"/>
          <w:szCs w:val="22"/>
          <w:rFonts w:ascii="Arial" w:cs="Arial" w:eastAsia="Arial" w:hAnsi="Arial"/>
        </w:rPr>
        <w:t xml:space="preserve">Sec 40 — discharge of endorser's liability:</w:t>
      </w:r>
      <w:r>
        <w:rPr>
          <w:sz w:val="22"/>
          <w:szCs w:val="22"/>
          <w:rFonts w:ascii="Arial" w:cs="Arial" w:eastAsia="Arial" w:hAnsi="Arial"/>
        </w:rPr>
        <w:t xml:space="preserve"> where the holder, without the consent of the endorser, destroys or impairs the endorser's remedy against a prior party, the endorser is discharged to the extent of the loss; </w:t>
      </w:r>
      <w:r>
        <w:rPr>
          <w:b/>
          <w:bCs/>
          <w:sz w:val="22"/>
          <w:szCs w:val="22"/>
          <w:rFonts w:ascii="Arial" w:cs="Arial" w:eastAsia="Arial" w:hAnsi="Arial"/>
        </w:rPr>
        <w:t xml:space="preserve">Sec 41 — acceptor bound although endorsement forged:</w:t>
      </w:r>
      <w:r>
        <w:rPr>
          <w:sz w:val="22"/>
          <w:szCs w:val="22"/>
          <w:rFonts w:ascii="Arial" w:cs="Arial" w:eastAsia="Arial" w:hAnsi="Arial"/>
        </w:rPr>
        <w:t xml:space="preserve"> an acceptor who accepts a bill already endorsed is not relieved from liability by reason that such endorsement is forged, if he knew or had reason to believe it forged when he accepted; </w:t>
      </w:r>
      <w:r>
        <w:rPr>
          <w:b/>
          <w:bCs/>
          <w:sz w:val="22"/>
          <w:szCs w:val="22"/>
          <w:rFonts w:ascii="Arial" w:cs="Arial" w:eastAsia="Arial" w:hAnsi="Arial"/>
        </w:rPr>
        <w:t xml:space="preserve">Sec 42:</w:t>
      </w:r>
      <w:r>
        <w:rPr>
          <w:sz w:val="22"/>
          <w:szCs w:val="22"/>
          <w:rFonts w:ascii="Arial" w:cs="Arial" w:eastAsia="Arial" w:hAnsi="Arial"/>
        </w:rPr>
        <w:t xml:space="preserve"> an acceptor of a bill drawn in a fictitious name and payable to the drawer's order is not relieved from liability to a holder in due course by reason of the fictitious name if the holder claims under an endorsement in the same hand as the drawer's signature; </w:t>
      </w:r>
      <w:r>
        <w:rPr>
          <w:b/>
          <w:bCs/>
          <w:sz w:val="22"/>
          <w:szCs w:val="22"/>
          <w:rFonts w:ascii="Arial" w:cs="Arial" w:eastAsia="Arial" w:hAnsi="Arial"/>
        </w:rPr>
        <w:t xml:space="preserve">Sec 43 — instrument without consideration:</w:t>
      </w:r>
      <w:r>
        <w:rPr>
          <w:sz w:val="22"/>
          <w:szCs w:val="22"/>
          <w:rFonts w:ascii="Arial" w:cs="Arial" w:eastAsia="Arial" w:hAnsi="Arial"/>
        </w:rPr>
        <w:t xml:space="preserve"> creates no obligation between the parties to the transaction, but a holder for consideration, and every subsequent holder, may recover from the transferor for consideration or any prior party; </w:t>
      </w:r>
      <w:r>
        <w:rPr>
          <w:b/>
          <w:bCs/>
          <w:sz w:val="22"/>
          <w:szCs w:val="22"/>
          <w:rFonts w:ascii="Arial" w:cs="Arial" w:eastAsia="Arial" w:hAnsi="Arial"/>
        </w:rPr>
        <w:t xml:space="preserve">Sec 44-45:</w:t>
      </w:r>
      <w:r>
        <w:rPr>
          <w:sz w:val="22"/>
          <w:szCs w:val="22"/>
          <w:rFonts w:ascii="Arial" w:cs="Arial" w:eastAsia="Arial" w:hAnsi="Arial"/>
        </w:rPr>
        <w:t xml:space="preserve"> partial absence or failure of money consideration and of consideration not consisting of money. </w:t>
      </w:r>
      <w:r>
        <w:rPr>
          <w:b/>
          <w:bCs/>
          <w:sz w:val="22"/>
          <w:szCs w:val="22"/>
          <w:rFonts w:ascii="Arial" w:cs="Arial" w:eastAsia="Arial" w:hAnsi="Arial"/>
        </w:rPr>
        <w:t xml:space="preserve">Notice of dishonour (Sec 91-98):</w:t>
      </w:r>
      <w:r>
        <w:rPr>
          <w:sz w:val="22"/>
          <w:szCs w:val="22"/>
          <w:rFonts w:ascii="Arial" w:cs="Arial" w:eastAsia="Arial" w:hAnsi="Arial"/>
        </w:rPr>
        <w:t xml:space="preserve"> dishonour by non-acceptance (Sec 91) or non-payment (Sec 92); the holder must give notice to all parties whom he seeks to make liable (Sec 93), by any person, in any form, within a reasonable time (Sec 94-106); notice is unnecessary where dispensed with by the party, where the drawer has countermanded payment, where the party charged could not suffer damage, where the party entitled to notice cannot be found, where the drawer is also the acceptor, in the case of a note not negotiable, and where the party knowing the facts unconditionally promises to pay (Sec 98); the drawer of a cheque dishonoured for want of funds needs no notice (Sec 98(c)? — the party could not suffer damage), and the Sec 138 statutory notice is a separate requirement. </w:t>
      </w:r>
      <w:r>
        <w:rPr>
          <w:b/>
          <w:bCs/>
          <w:sz w:val="22"/>
          <w:szCs w:val="22"/>
          <w:rFonts w:ascii="Arial" w:cs="Arial" w:eastAsia="Arial" w:hAnsi="Arial"/>
        </w:rPr>
        <w:t xml:space="preserve">Noting and protest (Sec 99-104A):</w:t>
      </w:r>
      <w:r>
        <w:rPr>
          <w:sz w:val="22"/>
          <w:szCs w:val="22"/>
          <w:rFonts w:ascii="Arial" w:cs="Arial" w:eastAsia="Arial" w:hAnsi="Arial"/>
        </w:rPr>
        <w:t xml:space="preserve"> a dishonoured bill or note may be noted by a notary public on the instrument within a reasonable time; protest is the notary's certificate of dishonour; foreign bills must be protested where the law of the place of drawing requires it (Sec 104); protest for better security (Sec 100); Sec 119 presumes dishonour on proof of protest. </w:t>
      </w:r>
      <w:r>
        <w:rPr>
          <w:b/>
          <w:bCs/>
          <w:sz w:val="22"/>
          <w:szCs w:val="22"/>
          <w:rFonts w:ascii="Arial" w:cs="Arial" w:eastAsia="Arial" w:hAnsi="Arial"/>
        </w:rPr>
        <w:t xml:space="preserve">Discharge (Sec 82-90):</w:t>
      </w:r>
      <w:r>
        <w:rPr>
          <w:sz w:val="22"/>
          <w:szCs w:val="22"/>
          <w:rFonts w:ascii="Arial" w:cs="Arial" w:eastAsia="Arial" w:hAnsi="Arial"/>
        </w:rPr>
        <w:t xml:space="preserve"> the maker, acceptor or endorser is discharged by cancellation (Sec 82(a)), by release (82(b)), by payment in due course (82(c)); by the holder allowing the drawee more than forty-eight hours to consider acceptance (Sec 83); by the delay in presentment of a cheque where the bank fails (Sec 84); by qualified acceptance (Sec 86); by material alteration (Sec 87); by the acceptor of a materially altered bill? (Sec 88 — the acceptor or endorser is bound by an altered instrument if he accepted or endorsed after the alteration); by payment of an altered instrument not apparent (Sec 89); by the acceptor becoming the holder at maturity (Sec 90).</w:t>
      </w:r>
    </w:p>
    <w:p>
      <w:pPr>
        <w:spacing w:before="240" w:after="120"/>
      </w:pPr>
      <w:r>
        <w:rPr>
          <w:b/>
          <w:bCs/>
          <w:color w:val="404040"/>
          <w:sz w:val="23"/>
          <w:szCs w:val="23"/>
          <w:rFonts w:ascii="Arial" w:cs="Arial" w:eastAsia="Arial" w:hAnsi="Arial"/>
        </w:rPr>
        <w:t xml:space="preserve">Forgery and material alteration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Forgery of the drawer's signature:</w:t>
      </w:r>
      <w:r>
        <w:rPr>
          <w:sz w:val="22"/>
          <w:szCs w:val="22"/>
          <w:rFonts w:ascii="Arial" w:cs="Arial" w:eastAsia="Arial" w:hAnsi="Arial"/>
        </w:rPr>
        <w:t xml:space="preserve"> the instrument is a nullity as against the person whose signature is forged; no title passes; the bank has no mandate and cannot debit the customer (Canara Bank v. Canara Sales Corporation, 1987; Bihta Co-operative v. Bank of Bihar, 1967; the older cases Bank of Bihar v. Mahabir Lal? — the principle is that of the Contract Act: no consent, no contract); the customer's remedies are a suit for the wrongly debited amount, and the bank's remedy is against the forger (Sec 463-471 IPC / BNS 336-340 — forgery, and Sec 420 cheating). </w:t>
      </w:r>
      <w:r>
        <w:rPr>
          <w:b/>
          <w:bCs/>
          <w:sz w:val="22"/>
          <w:szCs w:val="22"/>
          <w:rFonts w:ascii="Arial" w:cs="Arial" w:eastAsia="Arial" w:hAnsi="Arial"/>
        </w:rPr>
        <w:t xml:space="preserve">Forgery of an endorsement:</w:t>
      </w:r>
      <w:r>
        <w:rPr>
          <w:sz w:val="22"/>
          <w:szCs w:val="22"/>
          <w:rFonts w:ascii="Arial" w:cs="Arial" w:eastAsia="Arial" w:hAnsi="Arial"/>
        </w:rPr>
        <w:t xml:space="preserve"> the endorsement is a nullity; the endorsee and every subsequent holder gets no title; the true owner may sue in conversion; the paying banker is protected by Sec 85 if he paid in due course an order cheque purporting to be endorsed by or on behalf of the payee, and the collecting banker by Sec 131 if he collected without negligence for a customer. </w:t>
      </w:r>
      <w:r>
        <w:rPr>
          <w:b/>
          <w:bCs/>
          <w:sz w:val="22"/>
          <w:szCs w:val="22"/>
          <w:rFonts w:ascii="Arial" w:cs="Arial" w:eastAsia="Arial" w:hAnsi="Arial"/>
        </w:rPr>
        <w:t xml:space="preserve">Material alteration — Sec 87:</w:t>
      </w:r>
      <w:r>
        <w:rPr>
          <w:sz w:val="22"/>
          <w:szCs w:val="22"/>
          <w:rFonts w:ascii="Arial" w:cs="Arial" w:eastAsia="Arial" w:hAnsi="Arial"/>
        </w:rPr>
        <w:t xml:space="preserve"> any material alteration of a negotiable instrument renders the same void as against any one who is a party thereto at the time of making such alteration and does not consent thereto, unless it was made in order to carry out the common intention of the original parties; an alteration made by an endorsee discharges his endorser from all liability to him in respect of the consideration; the provisions are subject to Sec 20, 49, 86 and 125 (inchoate instruments, conversion of blank endorsement, qualified acceptance, crossing — which are permitted). What is material: any change in the date, the sum, the time or place of payment, the parties, the rate of interest, the addition of a place of payment (Sec 87 Explanation? — English law: Suffell v. Bank of England, 1882), the conversion of an order cheque to bearer — but not the crossing of an uncrossed cheque (Sec 125), the filling of blanks (Sec 20), the correction of a clerical error to carry out the common intention, or the conversion of a blank endorsement (Sec 49). Effect: void as against non-consenting parties who were parties at the time; a holder in due course cannot enforce the altered instrument against them for the original amount — unlike English law (Sec 64 Bills of Exchange Act, which lets a holder in due course enforce the original tenor where the alteration is not apparent), the Indian Act has no such proviso, but </w:t>
      </w:r>
      <w:r>
        <w:rPr>
          <w:b/>
          <w:bCs/>
          <w:sz w:val="22"/>
          <w:szCs w:val="22"/>
          <w:rFonts w:ascii="Arial" w:cs="Arial" w:eastAsia="Arial" w:hAnsi="Arial"/>
        </w:rPr>
        <w:t xml:space="preserve">Sec 89</w:t>
      </w:r>
      <w:r>
        <w:rPr>
          <w:sz w:val="22"/>
          <w:szCs w:val="22"/>
          <w:rFonts w:ascii="Arial" w:cs="Arial" w:eastAsia="Arial" w:hAnsi="Arial"/>
        </w:rPr>
        <w:t xml:space="preserve"> protects the paying banker: where a note, bill or cheque has been materially altered but does not appear to have been altered, or where a cheque is presented for payment which does not at the time of presentation appear to be crossed or to have had a crossing which has been obliterated, payment thereof by a person or banker liable to pay, and paying the same according to the apparent tenor at the time of payment and otherwise in due course, shall discharge such person or banker from all liability thereon, and such payment shall not be questioned by reason of the instrument having been altered or the cheque crossed — the 2002 amendment adds that where a cheque is an electronic image of a truncated cheque, any difference in the apparent tenor of the electronic image and the truncated cheque shall be a material alteration, and the bank or clearing house must ensure the exactness of the image (Sec 89(2)-(3)). The customer's duty of care in drawing: London Joint Stock Bank v. Macmillan and Arthur (1918) — a customer who draws a cheque so carelessly that it facilitates fraudulent alteration bears the loss; Indian courts accept the Macmillan duty in the limited form of Sec 89 and estoppel, but not a general duty (Canara Bank).</w:t>
      </w:r>
    </w:p>
    <w:p>
      <w:pPr>
        <w:spacing w:before="240" w:after="120"/>
      </w:pPr>
      <w:r>
        <w:rPr>
          <w:b/>
          <w:bCs/>
          <w:color w:val="404040"/>
          <w:sz w:val="23"/>
          <w:szCs w:val="23"/>
          <w:rFonts w:ascii="Arial" w:cs="Arial" w:eastAsia="Arial" w:hAnsi="Arial"/>
        </w:rPr>
        <w:t xml:space="preserve">The paying banker's protection — Sec 85, 85A, 89, 128</w:t>
      </w:r>
    </w:p>
    <w:p>
      <w:pPr>
        <w:spacing w:after="120" w:line="300"/>
        <w:jc w:val="both"/>
      </w:pPr>
      <w:r>
        <w:rPr>
          <w:sz w:val="22"/>
          <w:szCs w:val="22"/>
          <w:rFonts w:ascii="Arial" w:cs="Arial" w:eastAsia="Arial" w:hAnsi="Arial"/>
        </w:rPr>
        <w:t xml:space="preserve">The paying banker's difficulty: he cannot know the payee's or endorsers' signatures, yet must pay order cheques. </w:t>
      </w:r>
      <w:r>
        <w:rPr>
          <w:b/>
          <w:bCs/>
          <w:sz w:val="22"/>
          <w:szCs w:val="22"/>
          <w:rFonts w:ascii="Arial" w:cs="Arial" w:eastAsia="Arial" w:hAnsi="Arial"/>
        </w:rPr>
        <w:t xml:space="preserve">Sec 85(1):</w:t>
      </w:r>
      <w:r>
        <w:rPr>
          <w:sz w:val="22"/>
          <w:szCs w:val="22"/>
          <w:rFonts w:ascii="Arial" w:cs="Arial" w:eastAsia="Arial" w:hAnsi="Arial"/>
        </w:rPr>
        <w:t xml:space="preserve"> where a cheque payable to order purports to be endorsed by or on behalf of the payee, the drawee is discharged by payment in due course — the bank is protected against a forged or unauthorised endorsement, provided (a) the cheque is payable to order, (b) it purports to be endorsed by or on behalf of the payee (the endorsement must be </w:t>
      </w:r>
      <w:r>
        <w:rPr>
          <w:b/>
          <w:bCs/>
          <w:sz w:val="22"/>
          <w:szCs w:val="22"/>
          <w:rFonts w:ascii="Arial" w:cs="Arial" w:eastAsia="Arial" w:hAnsi="Arial"/>
        </w:rPr>
        <w:t xml:space="preserve">regular</w:t>
      </w:r>
      <w:r>
        <w:rPr>
          <w:sz w:val="22"/>
          <w:szCs w:val="22"/>
          <w:rFonts w:ascii="Arial" w:cs="Arial" w:eastAsia="Arial" w:hAnsi="Arial"/>
        </w:rPr>
        <w:t xml:space="preserve"> on its face — the bank must check that the endorsement corresponds to the payee's name and, where it is by an agent, purports to be by or on behalf of the payee; irregularity is fatal), and (c) payment is in due course (Sec 10) — in good faith, without negligence, according to the apparent tenor. </w:t>
      </w:r>
      <w:r>
        <w:rPr>
          <w:b/>
          <w:bCs/>
          <w:sz w:val="22"/>
          <w:szCs w:val="22"/>
          <w:rFonts w:ascii="Arial" w:cs="Arial" w:eastAsia="Arial" w:hAnsi="Arial"/>
        </w:rPr>
        <w:t xml:space="preserve">Sec 85(2):</w:t>
      </w:r>
      <w:r>
        <w:rPr>
          <w:sz w:val="22"/>
          <w:szCs w:val="22"/>
          <w:rFonts w:ascii="Arial" w:cs="Arial" w:eastAsia="Arial" w:hAnsi="Arial"/>
        </w:rPr>
        <w:t xml:space="preserve"> where a cheque is originally expressed to be payable to bearer, the drawee is discharged by payment in due course to the bearer thereof, notwithstanding any endorsement whether in full or in blank appearing thereon, and notwithstanding that any such endorsement purports to restrict or exclude further negotiation — 'once a bearer always a bearer'. </w:t>
      </w:r>
      <w:r>
        <w:rPr>
          <w:b/>
          <w:bCs/>
          <w:sz w:val="22"/>
          <w:szCs w:val="22"/>
          <w:rFonts w:ascii="Arial" w:cs="Arial" w:eastAsia="Arial" w:hAnsi="Arial"/>
        </w:rPr>
        <w:t xml:space="preserve">Sec 85A:</w:t>
      </w:r>
      <w:r>
        <w:rPr>
          <w:sz w:val="22"/>
          <w:szCs w:val="22"/>
          <w:rFonts w:ascii="Arial" w:cs="Arial" w:eastAsia="Arial" w:hAnsi="Arial"/>
        </w:rPr>
        <w:t xml:space="preserve"> the same protection for bank drafts. </w:t>
      </w:r>
      <w:r>
        <w:rPr>
          <w:b/>
          <w:bCs/>
          <w:sz w:val="22"/>
          <w:szCs w:val="22"/>
          <w:rFonts w:ascii="Arial" w:cs="Arial" w:eastAsia="Arial" w:hAnsi="Arial"/>
        </w:rPr>
        <w:t xml:space="preserve">Sec 89:</w:t>
      </w:r>
      <w:r>
        <w:rPr>
          <w:sz w:val="22"/>
          <w:szCs w:val="22"/>
          <w:rFonts w:ascii="Arial" w:cs="Arial" w:eastAsia="Arial" w:hAnsi="Arial"/>
        </w:rPr>
        <w:t xml:space="preserve"> payment of a materially altered instrument not apparent, or of a cheque whose crossing has been obliterated, in due course discharges the banker. </w:t>
      </w:r>
      <w:r>
        <w:rPr>
          <w:b/>
          <w:bCs/>
          <w:sz w:val="22"/>
          <w:szCs w:val="22"/>
          <w:rFonts w:ascii="Arial" w:cs="Arial" w:eastAsia="Arial" w:hAnsi="Arial"/>
        </w:rPr>
        <w:t xml:space="preserve">Sec 128:</w:t>
      </w:r>
      <w:r>
        <w:rPr>
          <w:sz w:val="22"/>
          <w:szCs w:val="22"/>
          <w:rFonts w:ascii="Arial" w:cs="Arial" w:eastAsia="Arial" w:hAnsi="Arial"/>
        </w:rPr>
        <w:t xml:space="preserve"> where the banker on whom a crossed cheque is drawn has paid the same in due course (i.e. according to Sec 126 — to a banker, or to the specified banker), the banker paying and the drawer are placed in the same position as if the amount had been paid to the true owner. Together these protect the bank that pays a cheque bearing a forged endorsement, a non-apparent alteration, or an obliterated crossing — but never a forged drawer's signature (no mandate), never a payment out of due course (after countermand, before a post-date, on an apparent alteration, with negligence — e.g. paying a large order cheque over the counter to a stranger without inquiry), and never a crossed cheque paid over the counter (Sec 129 — liability to the true owner). Cases: Bank of Bihar v. Mahabir Lal? ; Brahma Shumshere Jung Bahadur v. Chartered Bank of India (1956, Calcutta) — Sec 85 does not apply where the endorsement is irregular; the Supreme Court in Bihta Co-operative (1967) — Sec 85 requires a regular endorsement purporting to be by the payee, and where the cheque was payable to the society and the endorsement was by an officer without indicating his authority, the bank was not protected; Kerala State Co-operative Marketing Federation v. State Bank of India (2004) — a bank paying a cheque with a forged endorsement in due course was protected.</w:t>
      </w:r>
    </w:p>
    <w:p>
      <w:pPr>
        <w:spacing w:before="240" w:after="120"/>
      </w:pPr>
      <w:r>
        <w:rPr>
          <w:b/>
          <w:bCs/>
          <w:color w:val="404040"/>
          <w:sz w:val="23"/>
          <w:szCs w:val="23"/>
          <w:rFonts w:ascii="Arial" w:cs="Arial" w:eastAsia="Arial" w:hAnsi="Arial"/>
        </w:rPr>
        <w:t xml:space="preserve">The collecting banker's protection — Sec 131, 131A</w:t>
      </w:r>
    </w:p>
    <w:p>
      <w:pPr>
        <w:spacing w:after="120" w:line="300"/>
        <w:jc w:val="both"/>
      </w:pPr>
      <w:r>
        <w:rPr>
          <w:sz w:val="22"/>
          <w:szCs w:val="22"/>
          <w:rFonts w:ascii="Arial" w:cs="Arial" w:eastAsia="Arial" w:hAnsi="Arial"/>
        </w:rPr>
        <w:t xml:space="preserve">A bank that collects a cheque for a customer who has no title (a thief, a fraudulent employee) commits </w:t>
      </w:r>
      <w:r>
        <w:rPr>
          <w:b/>
          <w:bCs/>
          <w:sz w:val="22"/>
          <w:szCs w:val="22"/>
          <w:rFonts w:ascii="Arial" w:cs="Arial" w:eastAsia="Arial" w:hAnsi="Arial"/>
        </w:rPr>
        <w:t xml:space="preserve">conversion</w:t>
      </w:r>
      <w:r>
        <w:rPr>
          <w:sz w:val="22"/>
          <w:szCs w:val="22"/>
          <w:rFonts w:ascii="Arial" w:cs="Arial" w:eastAsia="Arial" w:hAnsi="Arial"/>
        </w:rPr>
        <w:t xml:space="preserve"> of the true owner's property — a strict liability at common law regardless of good faith. </w:t>
      </w:r>
      <w:r>
        <w:rPr>
          <w:b/>
          <w:bCs/>
          <w:sz w:val="22"/>
          <w:szCs w:val="22"/>
          <w:rFonts w:ascii="Arial" w:cs="Arial" w:eastAsia="Arial" w:hAnsi="Arial"/>
        </w:rPr>
        <w:t xml:space="preserve">Sec 131:</w:t>
      </w:r>
      <w:r>
        <w:rPr>
          <w:sz w:val="22"/>
          <w:szCs w:val="22"/>
          <w:rFonts w:ascii="Arial" w:cs="Arial" w:eastAsia="Arial" w:hAnsi="Arial"/>
        </w:rPr>
        <w:t xml:space="preserve"> a banker who has in good faith and without negligence received payment for a customer of a cheque crossed generally or specially to himself shall not, in case the title to the cheque proves defective, incur any liability to the true owner of the cheque by reason only of having received such payment; the Explanation (1) — a banker receives payment of a crossed cheque for a customer within the meaning of the section notwithstanding that he credits his customer's account with the amount of the cheque before receiving payment thereof (2002 — the earlier view was that a bank that credits before collection collects for itself as a holder for value, not as agent; the amendment restores protection); Explanation II (2002) — it shall be the duty of the banker who receives payment based on an electronic image of a truncated cheque held with him to verify the prima facie genuineness of the cheque to be truncated and any fraud, forgery or tampering apparent on the face of the instrument that can be verified with due diligence and ordinary care; and the third Explanation? — the 2002 Explanation that a banker collecting an 'account payee' cheque for a person other than the payee named is deemed not to have acted without negligence? — the position under the RBI's 1992 directions and the Supreme Court's dicta is that collection of an account-payee cheque for a third party is negligence. </w:t>
      </w:r>
      <w:r>
        <w:rPr>
          <w:b/>
          <w:bCs/>
          <w:sz w:val="22"/>
          <w:szCs w:val="22"/>
          <w:rFonts w:ascii="Arial" w:cs="Arial" w:eastAsia="Arial" w:hAnsi="Arial"/>
        </w:rPr>
        <w:t xml:space="preserve">Sec 131A:</w:t>
      </w:r>
      <w:r>
        <w:rPr>
          <w:sz w:val="22"/>
          <w:szCs w:val="22"/>
          <w:rFonts w:ascii="Arial" w:cs="Arial" w:eastAsia="Arial" w:hAnsi="Arial"/>
        </w:rPr>
        <w:t xml:space="preserve"> the same for drafts. Conditions: (1) </w:t>
      </w:r>
      <w:r>
        <w:rPr>
          <w:b/>
          <w:bCs/>
          <w:sz w:val="22"/>
          <w:szCs w:val="22"/>
          <w:rFonts w:ascii="Arial" w:cs="Arial" w:eastAsia="Arial" w:hAnsi="Arial"/>
        </w:rPr>
        <w:t xml:space="preserve">for a customer</w:t>
      </w:r>
      <w:r>
        <w:rPr>
          <w:sz w:val="22"/>
          <w:szCs w:val="22"/>
          <w:rFonts w:ascii="Arial" w:cs="Arial" w:eastAsia="Arial" w:hAnsi="Arial"/>
        </w:rPr>
        <w:t xml:space="preserve"> — a person with an account (Great Western Railway; Ladbroke v. Todd; Commissioners of Taxation v. English, Scottish and Australian Bank); (2) the cheque is </w:t>
      </w:r>
      <w:r>
        <w:rPr>
          <w:b/>
          <w:bCs/>
          <w:sz w:val="22"/>
          <w:szCs w:val="22"/>
          <w:rFonts w:ascii="Arial" w:cs="Arial" w:eastAsia="Arial" w:hAnsi="Arial"/>
        </w:rPr>
        <w:t xml:space="preserve">crossed</w:t>
      </w:r>
      <w:r>
        <w:rPr>
          <w:sz w:val="22"/>
          <w:szCs w:val="22"/>
          <w:rFonts w:ascii="Arial" w:cs="Arial" w:eastAsia="Arial" w:hAnsi="Arial"/>
        </w:rPr>
        <w:t xml:space="preserve"> — generally or specially to the collecting bank — before it reaches the bank (an open cheque collected is not protected; a cheque crossed by the bank itself after receipt is not 'crossed' for this purpose? — the crossing must exist when the bank receives it, though a bank may cross a cheque it receives for collection under Sec 125 and the better view is that this is enough); (3) the bank acts as </w:t>
      </w:r>
      <w:r>
        <w:rPr>
          <w:b/>
          <w:bCs/>
          <w:sz w:val="22"/>
          <w:szCs w:val="22"/>
          <w:rFonts w:ascii="Arial" w:cs="Arial" w:eastAsia="Arial" w:hAnsi="Arial"/>
        </w:rPr>
        <w:t xml:space="preserve">agent for collection</w:t>
      </w:r>
      <w:r>
        <w:rPr>
          <w:sz w:val="22"/>
          <w:szCs w:val="22"/>
          <w:rFonts w:ascii="Arial" w:cs="Arial" w:eastAsia="Arial" w:hAnsi="Arial"/>
        </w:rPr>
        <w:t xml:space="preserve">, receiving payment for the customer — after the 2002 Explanation, crediting before collection does not destroy the agency, but a bank that takes the cheque as a holder for value (e.g. in satisfaction of an existing overdraft) collects for itself and must rely on holder-in-due-course status (Sec 9) instead; (4) </w:t>
      </w:r>
      <w:r>
        <w:rPr>
          <w:b/>
          <w:bCs/>
          <w:sz w:val="22"/>
          <w:szCs w:val="22"/>
          <w:rFonts w:ascii="Arial" w:cs="Arial" w:eastAsia="Arial" w:hAnsi="Arial"/>
        </w:rPr>
        <w:t xml:space="preserve">in good faith</w:t>
      </w:r>
      <w:r>
        <w:rPr>
          <w:sz w:val="22"/>
          <w:szCs w:val="22"/>
          <w:rFonts w:ascii="Arial" w:cs="Arial" w:eastAsia="Arial" w:hAnsi="Arial"/>
        </w:rPr>
        <w:t xml:space="preserve"> (Sec 3(22) General Clauses Act — honestly, whether or not negligently) </w:t>
      </w:r>
      <w:r>
        <w:rPr>
          <w:b/>
          <w:bCs/>
          <w:sz w:val="22"/>
          <w:szCs w:val="22"/>
          <w:rFonts w:ascii="Arial" w:cs="Arial" w:eastAsia="Arial" w:hAnsi="Arial"/>
        </w:rPr>
        <w:t xml:space="preserve">and without negligence</w:t>
      </w:r>
      <w:r>
        <w:rPr>
          <w:sz w:val="22"/>
          <w:szCs w:val="22"/>
          <w:rFonts w:ascii="Arial" w:cs="Arial" w:eastAsia="Arial" w:hAnsi="Arial"/>
        </w:rPr>
        <w:t xml:space="preserve"> — the crux: negligence is judged by the ordinary practice of bankers — negligence in opening the account (no introduction or KYC — Ladbroke v. Todd; Indian Overseas Bank v. Industrial Chain Concern, 1990 — the bank opened an account for a stranger on the introduction of an employee's relative and collected cheques stolen from the plaintiff; not protected), in collecting a cheque payable to a company, a firm, a trust or an official for the personal account of a director, partner, trustee or the official (A.L. Underwood v. Bank of Liverpool and Martins, 1924; Bapulal? — the Indian cases: Nirmala Bai v. Punjab National Bank? ; Syndicate Bank v. Jaishree Industries, 1994 Karnataka; Indian Overseas Bank v. Industrial Chain Concern), in collecting a cheque with an irregular endorsement or an account-payee cheque for a third party (the 1992 RBI direction), in collecting cheques inconsistent with the customer's known business or in large amounts through a newly opened account without inquiry, in ignoring 'not negotiable' crossings, and in failing to inquire when the circumstances are suspicious (the test in Lloyds Bank v. E.B. Savory and Co., 1933 — the bank must consider the account-holder's position and the cheque's origin; the burden of proving absence of negligence is on the bank). The protection is against the </w:t>
      </w:r>
      <w:r>
        <w:rPr>
          <w:b/>
          <w:bCs/>
          <w:sz w:val="22"/>
          <w:szCs w:val="22"/>
          <w:rFonts w:ascii="Arial" w:cs="Arial" w:eastAsia="Arial" w:hAnsi="Arial"/>
        </w:rPr>
        <w:t xml:space="preserve">true owner's</w:t>
      </w:r>
      <w:r>
        <w:rPr>
          <w:sz w:val="22"/>
          <w:szCs w:val="22"/>
          <w:rFonts w:ascii="Arial" w:cs="Arial" w:eastAsia="Arial" w:hAnsi="Arial"/>
        </w:rPr>
        <w:t xml:space="preserve"> claim in conversion or money had and received; it does not protect against the customer's own claims or against a forged drawer's signature (where there is no cheque at all — but the collecting bank that collects a wholly forged cheque is liable only if negligent, and the paying bank bears the primary loss). A collecting banker who is not protected is liable to the true owner for the face value (conversion), with a right of indemnity against the customer (Sec 222 Contract Act) and the prior endorsers (Sec 35). </w:t>
      </w:r>
      <w:r>
        <w:rPr>
          <w:b/>
          <w:bCs/>
          <w:sz w:val="22"/>
          <w:szCs w:val="22"/>
          <w:rFonts w:ascii="Arial" w:cs="Arial" w:eastAsia="Arial" w:hAnsi="Arial"/>
        </w:rPr>
        <w:t xml:space="preserve">Contributory negligence</w:t>
      </w:r>
      <w:r>
        <w:rPr>
          <w:sz w:val="22"/>
          <w:szCs w:val="22"/>
          <w:rFonts w:ascii="Arial" w:cs="Arial" w:eastAsia="Arial" w:hAnsi="Arial"/>
        </w:rPr>
        <w:t xml:space="preserve"> of the true owner is not a defence to conversion (Lumsden and Co. v. London Trustee Savings Bank, 1971, allowed apportionment under the English Act; Indian law has no statute, and the Supreme Court in Indian Overseas Bank hinted that the true owner's negligence may be considered under Sec 131's 'without negligence' balance). Difference between the two protections: Sec 85 protects payment of order cheques with forged endorsements (bearer cheques need no endorsement), and applies to open and crossed cheques; Sec 131 protects collection of crossed cheques only, for customers only, and turns on the absence of negligence; Sec 85 payment is 'in due course', Sec 131 collection is 'in good faith and without negligence' — the two standards overlap.</w:t>
      </w:r>
    </w:p>
    <w:p>
      <w:pPr>
        <w:pBdr>
          <w:left w:val="single" w:color="CC0000" w:sz="6" w:space="8"/>
        </w:pBdr>
        <w:spacing w:before="80" w:after="80"/>
        <w:ind w:left="300"/>
      </w:pPr>
      <w:r>
        <w:rPr>
          <w:b/>
          <w:bCs/>
          <w:color w:val="CC0000"/>
          <w:sz w:val="21"/>
          <w:szCs w:val="21"/>
          <w:rFonts w:ascii="Arial" w:cs="Arial" w:eastAsia="Arial" w:hAnsi="Arial"/>
        </w:rPr>
        <w:t xml:space="preserve">Canara Bank v. Canara Sales Corporation (1987) 2 SCC 666 — </w:t>
      </w:r>
      <w:r>
        <w:rPr>
          <w:sz w:val="21"/>
          <w:szCs w:val="21"/>
          <w:rFonts w:ascii="Arial" w:cs="Arial" w:eastAsia="Arial" w:hAnsi="Arial"/>
        </w:rPr>
        <w:t xml:space="preserve">A forged signature confers no mandate; the bank cannot debit the customer; the customer has no duty to check his pass book; negligence in the conduct of business is not a defence unless it is the proximate cause; estoppel requires knowledge and representation.</w:t>
      </w:r>
    </w:p>
    <w:p>
      <w:pPr>
        <w:pBdr>
          <w:left w:val="single" w:color="CC0000" w:sz="6" w:space="8"/>
        </w:pBdr>
        <w:spacing w:before="80" w:after="80"/>
        <w:ind w:left="300"/>
      </w:pPr>
      <w:r>
        <w:rPr>
          <w:b/>
          <w:bCs/>
          <w:color w:val="CC0000"/>
          <w:sz w:val="21"/>
          <w:szCs w:val="21"/>
          <w:rFonts w:ascii="Arial" w:cs="Arial" w:eastAsia="Arial" w:hAnsi="Arial"/>
        </w:rPr>
        <w:t xml:space="preserve">Bihta Co-operative Development and Cane Marketing Union Ltd. v. Bank of Bihar AIR 1967 SC 389 — </w:t>
      </w:r>
      <w:r>
        <w:rPr>
          <w:sz w:val="21"/>
          <w:szCs w:val="21"/>
          <w:rFonts w:ascii="Arial" w:cs="Arial" w:eastAsia="Arial" w:hAnsi="Arial"/>
        </w:rPr>
        <w:t xml:space="preserve">Sec 85 protects the paying banker only where the endorsement is regular and purports to be by or on behalf of the payee; an endorsement by an officer without indicating authority is irregular; the bank could not debit the society's account.</w:t>
      </w:r>
    </w:p>
    <w:p>
      <w:pPr>
        <w:pBdr>
          <w:left w:val="single" w:color="CC0000" w:sz="6" w:space="8"/>
        </w:pBdr>
        <w:spacing w:before="80" w:after="80"/>
        <w:ind w:left="300"/>
      </w:pPr>
      <w:r>
        <w:rPr>
          <w:b/>
          <w:bCs/>
          <w:color w:val="CC0000"/>
          <w:sz w:val="21"/>
          <w:szCs w:val="21"/>
          <w:rFonts w:ascii="Arial" w:cs="Arial" w:eastAsia="Arial" w:hAnsi="Arial"/>
        </w:rPr>
        <w:t xml:space="preserve">Indian Overseas Bank v. Industrial Chain Concern (1990) 1 SCC 484 — </w:t>
      </w:r>
      <w:r>
        <w:rPr>
          <w:sz w:val="21"/>
          <w:szCs w:val="21"/>
          <w:rFonts w:ascii="Arial" w:cs="Arial" w:eastAsia="Arial" w:hAnsi="Arial"/>
        </w:rPr>
        <w:t xml:space="preserve">The collecting banker loses Sec 131 protection where it opened the account without proper inquiry and collected cheques payable to a stranger; the burden of proving absence of negligence is on the bank; the test is the ordinary practice of bankers.</w:t>
      </w:r>
    </w:p>
    <w:p>
      <w:pPr>
        <w:pBdr>
          <w:left w:val="single" w:color="CC0000" w:sz="6" w:space="8"/>
        </w:pBdr>
        <w:spacing w:before="80" w:after="80"/>
        <w:ind w:left="300"/>
      </w:pPr>
      <w:r>
        <w:rPr>
          <w:b/>
          <w:bCs/>
          <w:color w:val="CC0000"/>
          <w:sz w:val="21"/>
          <w:szCs w:val="21"/>
          <w:rFonts w:ascii="Arial" w:cs="Arial" w:eastAsia="Arial" w:hAnsi="Arial"/>
        </w:rPr>
        <w:t xml:space="preserve">Kerala State Co-operative Marketing Federation Ltd. v. State Bank of India (2004) 2 SCC 425 — </w:t>
      </w:r>
      <w:r>
        <w:rPr>
          <w:sz w:val="21"/>
          <w:szCs w:val="21"/>
          <w:rFonts w:ascii="Arial" w:cs="Arial" w:eastAsia="Arial" w:hAnsi="Arial"/>
        </w:rPr>
        <w:t xml:space="preserve">A paying banker who pays an order cheque bearing a forged endorsement in due course is protected under Sec 85; the drawer's remedy is against the collecting bank or the wrongdoer.</w:t>
      </w:r>
    </w:p>
    <w:p>
      <w:pPr>
        <w:pBdr>
          <w:left w:val="single" w:color="CC0000" w:sz="6" w:space="8"/>
        </w:pBdr>
        <w:spacing w:before="80" w:after="80"/>
        <w:ind w:left="300"/>
      </w:pPr>
      <w:r>
        <w:rPr>
          <w:b/>
          <w:bCs/>
          <w:color w:val="CC0000"/>
          <w:sz w:val="21"/>
          <w:szCs w:val="21"/>
          <w:rFonts w:ascii="Arial" w:cs="Arial" w:eastAsia="Arial" w:hAnsi="Arial"/>
        </w:rPr>
        <w:t xml:space="preserve">London Joint Stock Bank v. Macmillan and Arthur [1918] AC 777 — </w:t>
      </w:r>
      <w:r>
        <w:rPr>
          <w:sz w:val="21"/>
          <w:szCs w:val="21"/>
          <w:rFonts w:ascii="Arial" w:cs="Arial" w:eastAsia="Arial" w:hAnsi="Arial"/>
        </w:rPr>
        <w:t xml:space="preserve">A customer who draws a cheque so negligently as to facilitate its fraudulent alteration must bear the loss; the duty of care in drawing cheques — accepted in India through Sec 89 and estoppel rather than as a general duty.</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Cheque forgery has migrated to the image: in the Cheque Truncation System the paying bank sees only the electronic image, so Sec 89(2)-(3) and Sec 131 Explanation II place the duty of verifying the physical instrument on the presenting bank, and the RBI's positive-pay confirmation shifts the drawer's Macmillan duty onto the customer's app. Signature verification is by software against the specimen image, and a court asks whether the bank's system met the 'ordinary practice of bankers'. The RBI's 2017 circular on unauthorised electronic transactions applies a parallel regime to net-banking and card fraud — zero liability for the customer where the bank is at fault or the fraud is a third party's and the customer reports within three days, limited liability for delayed reporting — which is the digital form of the Canara Bank allocation of loss.</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'Liability of drawer and endorser', 'Notice of dishonour', 'Noting and protest', 'Material alteration', 'Sec 85 protection', 'Sec 131 protection', 'Forged endorsement', 'Conversion'. Part B: 'Discuss the statutory protection available to a paying banker under the NI Act and its conditions' — Sec 85(1)-(2), 85A, 89, 128, the conditions (order cheque, regular endorsement, payment in due course), the exclusions (forged drawer's signature, countermand, apparent alteration), Bihta and Kerala Marketing; or 'Explain the protection given to a collecting banker under Sec 131 and what constitutes negligence' — the four conditions, the categories of negligence with Ladbroke, Underwood, Industrial Chain Concern, the 2002 Explanations; or 'Who bears the loss of a forged cheque? Discuss Canara Bank v Canara Sales Corporation'. Part C: an employee forges the employer's signature on twenty cheques over two years — bank bears the loss (Canara Bank) unless the customer knew and kept silent (Greenwood); a bank collects a cheque payable to 'XYZ Ltd' into the managing director's personal account — negligent, no Sec 131 protection; a cheque for Rs 1,000 is altered to Rs 10,000 skilfully and paid — Sec 89 protects the bank if the alteration was not apparent, and the drawer who left space bears the loss (Macmillan).</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08 — Cheque Bounce: Dashrath Rupsingh Rathod and Section 138</w:t>
      </w:r>
    </w:p>
    <w:p>
      <w:pPr>
        <w:pStyle w:val="Heading2"/>
        <w:spacing w:before="360" w:after="160"/>
      </w:pPr>
      <w:r>
        <w:rPr>
          <w:b/>
          <w:bCs/>
          <w:color w:val="2E75B6"/>
          <w:sz w:val="26"/>
          <w:szCs w:val="26"/>
          <w:rFonts w:ascii="Arial" w:cs="Arial" w:eastAsia="Arial" w:hAnsi="Arial"/>
        </w:rPr>
        <w:t xml:space="preserve">Covers: The dishonour of cheques offence (Sec 138) · The presumption (Sec 139) · Notice, cause of action and cognizance (Sec 138 provisos, 142) · Jurisdiction — the 2014 judgment and the 2015 amendment (Sec 142(2), 142A) · Companies (Sec 141) · Summary trial, compounding, interim compensation and appeal (Sec 143-148) · The Supreme Court's 2014 and 2021 guidelines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Maharashtra, 2014. Dashrath Rupsingh Rathod had issued cheques that bounced, and the payee filed complaints under Section 138 not where Rathod's bank was, but where the payee's own bank returned the cheque and where the payee sat when he received the dishonour memo — a choice the law then allowed, because the Supreme Court in Bhaskaran's case in 1999 had held that the offence had five ingredients and a complaint could be filed wherever any one of them occurred: the drawing, the presentation, the return, the notice, or the failure to pay. Payees used that freedom to file cases in cities far from the drawer, and drawers spent years travelling. In August 2014 a three-judge bench overruled Bhaskaran: the offence is committed only where the drawee bank — the drawer's bank — dishonours the cheque, and the complaint must be filed there; the Court ordered thousands of pending cases to be returned for filing in the correct court. Within a year Parliament reversed the reversal: the Negotiable Instruments (Amendment) Act 2015 inserted Section 142(2), which fixes jurisdiction in the court within whose local limits the branch of the bank where the payee maintains his account is situated, if the cheque was delivered for collection through an account, or, if presented otherwise, where the drawer's bank branch is — and Section 142A transferred the returned cases back. The story of Section 138 is the story of a civil debt turned into a criminal offence in 1988 to make cheques credible, and of thirty years of courts and Parliament adjusting the machine: what must be proved, what is presumed, where the case lies, how a company is prosecuted, how the trial is shortened, and how the accused can still settle.</w:t>
      </w:r>
    </w:p>
    <w:p>
      <w:pPr>
        <w:spacing w:before="240" w:after="120"/>
      </w:pPr>
      <w:r>
        <w:rPr>
          <w:b/>
          <w:bCs/>
          <w:color w:val="404040"/>
          <w:sz w:val="23"/>
          <w:szCs w:val="23"/>
          <w:rFonts w:ascii="Arial" w:cs="Arial" w:eastAsia="Arial" w:hAnsi="Arial"/>
        </w:rPr>
        <w:t xml:space="preserve">The offence — Sec 138</w:t>
      </w:r>
    </w:p>
    <w:p>
      <w:pPr>
        <w:spacing w:after="120" w:line="300"/>
        <w:jc w:val="both"/>
      </w:pPr>
      <w:r>
        <w:rPr>
          <w:sz w:val="22"/>
          <w:szCs w:val="22"/>
          <w:rFonts w:ascii="Arial" w:cs="Arial" w:eastAsia="Arial" w:hAnsi="Arial"/>
        </w:rPr>
        <w:t xml:space="preserve">Where any cheque drawn by a person on an account maintained by him with a banker </w:t>
      </w:r>
      <w:r>
        <w:rPr>
          <w:b/>
          <w:bCs/>
          <w:sz w:val="22"/>
          <w:szCs w:val="22"/>
          <w:rFonts w:ascii="Arial" w:cs="Arial" w:eastAsia="Arial" w:hAnsi="Arial"/>
        </w:rPr>
        <w:t xml:space="preserve">for payment of any amount of money to another person from out of that account for the discharge, in whole or in part, of any debt or other liability</w:t>
      </w:r>
      <w:r>
        <w:rPr>
          <w:sz w:val="22"/>
          <w:szCs w:val="22"/>
          <w:rFonts w:ascii="Arial" w:cs="Arial" w:eastAsia="Arial" w:hAnsi="Arial"/>
        </w:rPr>
        <w:t xml:space="preserve">, is returned by the bank unpaid, either because of the amount of money standing to the credit of that account being </w:t>
      </w:r>
      <w:r>
        <w:rPr>
          <w:b/>
          <w:bCs/>
          <w:sz w:val="22"/>
          <w:szCs w:val="22"/>
          <w:rFonts w:ascii="Arial" w:cs="Arial" w:eastAsia="Arial" w:hAnsi="Arial"/>
        </w:rPr>
        <w:t xml:space="preserve">insufficient</w:t>
      </w:r>
      <w:r>
        <w:rPr>
          <w:sz w:val="22"/>
          <w:szCs w:val="22"/>
          <w:rFonts w:ascii="Arial" w:cs="Arial" w:eastAsia="Arial" w:hAnsi="Arial"/>
        </w:rPr>
        <w:t xml:space="preserve"> to honour the cheque or that it </w:t>
      </w:r>
      <w:r>
        <w:rPr>
          <w:b/>
          <w:bCs/>
          <w:sz w:val="22"/>
          <w:szCs w:val="22"/>
          <w:rFonts w:ascii="Arial" w:cs="Arial" w:eastAsia="Arial" w:hAnsi="Arial"/>
        </w:rPr>
        <w:t xml:space="preserve">exceeds the amount arranged</w:t>
      </w:r>
      <w:r>
        <w:rPr>
          <w:sz w:val="22"/>
          <w:szCs w:val="22"/>
          <w:rFonts w:ascii="Arial" w:cs="Arial" w:eastAsia="Arial" w:hAnsi="Arial"/>
        </w:rPr>
        <w:t xml:space="preserve"> to be paid from that account by an agreement made with that bank, such person shall be deemed to have committed an offence and shall, without prejudice to any other provision of this Act, be punished with imprisonment for a term which may extend to </w:t>
      </w:r>
      <w:r>
        <w:rPr>
          <w:b/>
          <w:bCs/>
          <w:sz w:val="22"/>
          <w:szCs w:val="22"/>
          <w:rFonts w:ascii="Arial" w:cs="Arial" w:eastAsia="Arial" w:hAnsi="Arial"/>
        </w:rPr>
        <w:t xml:space="preserve">two years</w:t>
      </w:r>
      <w:r>
        <w:rPr>
          <w:sz w:val="22"/>
          <w:szCs w:val="22"/>
          <w:rFonts w:ascii="Arial" w:cs="Arial" w:eastAsia="Arial" w:hAnsi="Arial"/>
        </w:rPr>
        <w:t xml:space="preserve"> (raised from one year in 2002), or with fine which may extend to </w:t>
      </w:r>
      <w:r>
        <w:rPr>
          <w:b/>
          <w:bCs/>
          <w:sz w:val="22"/>
          <w:szCs w:val="22"/>
          <w:rFonts w:ascii="Arial" w:cs="Arial" w:eastAsia="Arial" w:hAnsi="Arial"/>
        </w:rPr>
        <w:t xml:space="preserve">twice the amount of the cheque</w:t>
      </w:r>
      <w:r>
        <w:rPr>
          <w:sz w:val="22"/>
          <w:szCs w:val="22"/>
          <w:rFonts w:ascii="Arial" w:cs="Arial" w:eastAsia="Arial" w:hAnsi="Arial"/>
        </w:rPr>
        <w:t xml:space="preserve">, or with both — </w:t>
      </w:r>
      <w:r>
        <w:rPr>
          <w:b/>
          <w:bCs/>
          <w:sz w:val="22"/>
          <w:szCs w:val="22"/>
          <w:rFonts w:ascii="Arial" w:cs="Arial" w:eastAsia="Arial" w:hAnsi="Arial"/>
        </w:rPr>
        <w:t xml:space="preserve">provided that</w:t>
      </w:r>
      <w:r>
        <w:rPr>
          <w:sz w:val="22"/>
          <w:szCs w:val="22"/>
          <w:rFonts w:ascii="Arial" w:cs="Arial" w:eastAsia="Arial" w:hAnsi="Arial"/>
        </w:rPr>
        <w:t xml:space="preserve"> nothing in this section applies unless (a) the cheque has been presented to the bank </w:t>
      </w:r>
      <w:r>
        <w:rPr>
          <w:b/>
          <w:bCs/>
          <w:sz w:val="22"/>
          <w:szCs w:val="22"/>
          <w:rFonts w:ascii="Arial" w:cs="Arial" w:eastAsia="Arial" w:hAnsi="Arial"/>
        </w:rPr>
        <w:t xml:space="preserve">within a period of six months</w:t>
      </w:r>
      <w:r>
        <w:rPr>
          <w:sz w:val="22"/>
          <w:szCs w:val="22"/>
          <w:rFonts w:ascii="Arial" w:cs="Arial" w:eastAsia="Arial" w:hAnsi="Arial"/>
        </w:rPr>
        <w:t xml:space="preserve"> from the date on which it is drawn or within the period of its validity, whichever is earlier (the RBI's three-month validity now controls); (b) the payee or the holder in due course makes a </w:t>
      </w:r>
      <w:r>
        <w:rPr>
          <w:b/>
          <w:bCs/>
          <w:sz w:val="22"/>
          <w:szCs w:val="22"/>
          <w:rFonts w:ascii="Arial" w:cs="Arial" w:eastAsia="Arial" w:hAnsi="Arial"/>
        </w:rPr>
        <w:t xml:space="preserve">demand for payment by giving a notice in writing to the drawer within thirty days</w:t>
      </w:r>
      <w:r>
        <w:rPr>
          <w:sz w:val="22"/>
          <w:szCs w:val="22"/>
          <w:rFonts w:ascii="Arial" w:cs="Arial" w:eastAsia="Arial" w:hAnsi="Arial"/>
        </w:rPr>
        <w:t xml:space="preserve"> of the receipt of information from the bank regarding the return of the cheque as unpaid (fifteen days before 2002); and (c) the drawer </w:t>
      </w:r>
      <w:r>
        <w:rPr>
          <w:b/>
          <w:bCs/>
          <w:sz w:val="22"/>
          <w:szCs w:val="22"/>
          <w:rFonts w:ascii="Arial" w:cs="Arial" w:eastAsia="Arial" w:hAnsi="Arial"/>
        </w:rPr>
        <w:t xml:space="preserve">fails to make the payment within fifteen days</w:t>
      </w:r>
      <w:r>
        <w:rPr>
          <w:sz w:val="22"/>
          <w:szCs w:val="22"/>
          <w:rFonts w:ascii="Arial" w:cs="Arial" w:eastAsia="Arial" w:hAnsi="Arial"/>
        </w:rPr>
        <w:t xml:space="preserve"> of the receipt of the said notice; the Explanation: 'debt or other liability' means a </w:t>
      </w:r>
      <w:r>
        <w:rPr>
          <w:b/>
          <w:bCs/>
          <w:sz w:val="22"/>
          <w:szCs w:val="22"/>
          <w:rFonts w:ascii="Arial" w:cs="Arial" w:eastAsia="Arial" w:hAnsi="Arial"/>
        </w:rPr>
        <w:t xml:space="preserve">legally enforceable</w:t>
      </w:r>
      <w:r>
        <w:rPr>
          <w:sz w:val="22"/>
          <w:szCs w:val="22"/>
          <w:rFonts w:ascii="Arial" w:cs="Arial" w:eastAsia="Arial" w:hAnsi="Arial"/>
        </w:rPr>
        <w:t xml:space="preserve"> debt or other liability. Ingredients: (1) a cheque drawn on an account maintained by the drawer; (2) for the discharge of a legally enforceable debt or liability (not a gift, not a time-barred debt, not a security cheque for a liability not yet arisen? — but a cheque issued as security for a loan attracts Sec 138 once the loan is due — Sampelly Satyanarayana Rao v. Indian Renewable Energy Development Agency, 2016; and a post-dated cheque for an instalment likewise; a cheque for a debt of a third party may be a 'liability' of the drawer if he undertook it); (3) presentation within validity; (4) return unpaid for insufficiency or exceeding arrangement — read widely to include 'account closed' (NEPC Micon), 'stop payment' (Modi Cements — the presumption is that a stop instruction is because of insufficient funds unless the drawer proves a valid reason and sufficient funds), 'refer to drawer', 'signature differs' (Laxmi Dyechem v. State of Gujarat, 2012 — dishonour for a mismatch of signature is within Sec 138 where the drawer deliberately changed his signature; the earlier view in Vinod Tanna, 2003, was disapproved), 'payment stopped by drawer', and 'drawer's signature incomplete'; (5) notice in writing within thirty days of information of dishonour — the notice must demand the cheque amount (a demand of a larger or smaller sum with the cheque amount identifiable is enough — Suman Sethi v. Ajay K. Churiwal, 2000; Rahul Builders v. Arihant Fertilizers, 2008 — an omnibus demand without specifying the cheque amount is bad); notice sent by registered post to the correct address is presumed served (Sec 27 General Clauses Act; C.C. Alavi Haji v. Palapetty Muhammed, 2007 — a drawer who does not pay within fifteen days of receiving the summons cannot plead non-receipt of notice); a second notice after a fresh presentation is permitted (MSR Leathers v. S. Palaniappan, 2012 — overruling Sadanandan Bhadran, 1998: a payee may present the cheque any number of times within its validity and a cause of action arises on each dishonour followed by notice and non-payment, though he may prosecute only once); (6) failure to pay within fifteen days of receipt — the cause of action arises on the sixteenth day. Nature of the offence: a strict-liability, deemed offence created to promote the credibility of cheques (Goa Plast v. Chico Ursula D'Souza, 2003), 'a civil sheep in a criminal wolf's clothing' (Kaushalya Devi Massand v. Roopkishore Khore, 2011 — the compensatory element predominates over the punitive), compoundable (Sec 147), triable summarily (Sec 143), and now with interim compensation (Sec 143A). Mens rea is not required (Sec 140 — it is no defence that the drawer had no reason to believe the cheque would be dishonoured). Punishment practice: fine of twice the cheque amount with compensation under Sec 357 CrPC is the norm; imprisonment for repeat offenders.</w:t>
      </w:r>
    </w:p>
    <w:p>
      <w:pPr>
        <w:spacing w:before="240" w:after="120"/>
      </w:pPr>
      <w:r>
        <w:rPr>
          <w:b/>
          <w:bCs/>
          <w:color w:val="404040"/>
          <w:sz w:val="23"/>
          <w:szCs w:val="23"/>
          <w:rFonts w:ascii="Arial" w:cs="Arial" w:eastAsia="Arial" w:hAnsi="Arial"/>
        </w:rPr>
        <w:t xml:space="preserve">The presumption — Sec 139, and the defences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139:</w:t>
      </w:r>
      <w:r>
        <w:rPr>
          <w:sz w:val="22"/>
          <w:szCs w:val="22"/>
          <w:rFonts w:ascii="Arial" w:cs="Arial" w:eastAsia="Arial" w:hAnsi="Arial"/>
        </w:rPr>
        <w:t xml:space="preserve"> it shall be presumed, unless the contrary is proved, that the holder of a cheque received the cheque of the nature referred to in Sec 138 for the discharge, in whole or in part, of any debt or other liability. Read with Sec 118(a), the presumption is that the cheque was issued for consideration and for a legally enforceable debt (Rangappa v. Sri Mohan, 2010 — a three-judge bench held that the presumption includes the existence of a legally enforceable debt and is rebuttable on a preponderance of probabilities; the accused need not enter the witness box but may rely on the complainant's evidence; Hiten P. Dalal v. Bratindranath Banerjee, 2001; Krishna Janardhan Bhat v. Dattatraya G. Hegde, 2008 — the earlier narrower view — was overruled on this point; Kumar Exports v. Sharma Carpets, 2009 — how the presumption is rebutted; Basalingappa v. Mudibasappa, 2019 — the complainant's financial capacity to lend the sum may be questioned to rebut the presumption; Bir Singh v. Mukesh Kumar, 2019 — a blank signed cheque attracts the presumption; Kalamani Tex v. P. Balasubramanian, 2021; Rajesh Jain v. Ajay Singh, 2023 — a restatement: once the signature is admitted the burden shifts and the accused must raise a probable defence). Defences that succeed: the debt was not legally enforceable (time-barred — Sec 25(3) Contract Act aside — or illegal, or a gambling debt); the cheque was given as security for a liability that never arose (Indus Airways v. Magnum Aviation, 2014 — a cheque for an advance payment against a purchase order that was cancelled is not for a debt; contrast Sampelly for loans); the complainant had no financial capacity; the cheque was stolen or misused (the accused must prove); the notice was not served or was defective; the complaint was premature (filed before the fifteen-day period ended — Yogendra Pratap Singh v. Savitri Pandey, 2014 — a complaint filed before the cause of action arose is not maintainable, though a fresh complaint may be filed within the period) or barred by limitation (Sec 142(b) — one month from the cause of action, extendable for sufficient cause under the 2002 proviso); the cheque was presented after validity; the account was not maintained by the accused (a cheque on a joint account signed by one holder — Aparna A. Shah v. Sheth Developers, 2013 — only the signatory is liable); the signatory signed as an authorised signatory for a company without the company being prosecuted (Sec 141 — Aneeta Hada v. Godfather Travels and Tours, 2012 — the company must be arraigned for the directors to be liable, except where the company has been wound up or cannot be prosecuted); and the dishonour was for a reason outside Sec 138 (e.g. a genuine technical defect the drawer promptly rectified).</w:t>
      </w:r>
    </w:p>
    <w:p>
      <w:pPr>
        <w:spacing w:before="240" w:after="120"/>
      </w:pPr>
      <w:r>
        <w:rPr>
          <w:b/>
          <w:bCs/>
          <w:color w:val="404040"/>
          <w:sz w:val="23"/>
          <w:szCs w:val="23"/>
          <w:rFonts w:ascii="Arial" w:cs="Arial" w:eastAsia="Arial" w:hAnsi="Arial"/>
        </w:rPr>
        <w:t xml:space="preserve">Cognizance, jurisdiction and companies — Sec 141-142A</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142(1):</w:t>
      </w:r>
      <w:r>
        <w:rPr>
          <w:sz w:val="22"/>
          <w:szCs w:val="22"/>
          <w:rFonts w:ascii="Arial" w:cs="Arial" w:eastAsia="Arial" w:hAnsi="Arial"/>
        </w:rPr>
        <w:t xml:space="preserve"> no court shall take cognizance of an offence under Sec 138 except upon a </w:t>
      </w:r>
      <w:r>
        <w:rPr>
          <w:b/>
          <w:bCs/>
          <w:sz w:val="22"/>
          <w:szCs w:val="22"/>
          <w:rFonts w:ascii="Arial" w:cs="Arial" w:eastAsia="Arial" w:hAnsi="Arial"/>
        </w:rPr>
        <w:t xml:space="preserve">complaint in writing</w:t>
      </w:r>
      <w:r>
        <w:rPr>
          <w:sz w:val="22"/>
          <w:szCs w:val="22"/>
          <w:rFonts w:ascii="Arial" w:cs="Arial" w:eastAsia="Arial" w:hAnsi="Arial"/>
        </w:rPr>
        <w:t xml:space="preserve"> made by the payee or the holder in due course (not on a police report — a Sec 138 case is a complaint case tried by a Magistrate, and the police cannot investigate); made </w:t>
      </w:r>
      <w:r>
        <w:rPr>
          <w:b/>
          <w:bCs/>
          <w:sz w:val="22"/>
          <w:szCs w:val="22"/>
          <w:rFonts w:ascii="Arial" w:cs="Arial" w:eastAsia="Arial" w:hAnsi="Arial"/>
        </w:rPr>
        <w:t xml:space="preserve">within one month</w:t>
      </w:r>
      <w:r>
        <w:rPr>
          <w:sz w:val="22"/>
          <w:szCs w:val="22"/>
          <w:rFonts w:ascii="Arial" w:cs="Arial" w:eastAsia="Arial" w:hAnsi="Arial"/>
        </w:rPr>
        <w:t xml:space="preserve"> of the date on which the cause of action arises (the 2002 proviso allows cognizance after the period if the complainant satisfies the court that he had sufficient cause); and no court inferior to that of a </w:t>
      </w:r>
      <w:r>
        <w:rPr>
          <w:b/>
          <w:bCs/>
          <w:sz w:val="22"/>
          <w:szCs w:val="22"/>
          <w:rFonts w:ascii="Arial" w:cs="Arial" w:eastAsia="Arial" w:hAnsi="Arial"/>
        </w:rPr>
        <w:t xml:space="preserve">Metropolitan Magistrate or a Judicial Magistrate of the first class</w:t>
      </w:r>
      <w:r>
        <w:rPr>
          <w:sz w:val="22"/>
          <w:szCs w:val="22"/>
          <w:rFonts w:ascii="Arial" w:cs="Arial" w:eastAsia="Arial" w:hAnsi="Arial"/>
        </w:rPr>
        <w:t xml:space="preserve"> shall try the offence. </w:t>
      </w:r>
      <w:r>
        <w:rPr>
          <w:b/>
          <w:bCs/>
          <w:sz w:val="22"/>
          <w:szCs w:val="22"/>
          <w:rFonts w:ascii="Arial" w:cs="Arial" w:eastAsia="Arial" w:hAnsi="Arial"/>
        </w:rPr>
        <w:t xml:space="preserve">Sec 142(2) (2015):</w:t>
      </w:r>
      <w:r>
        <w:rPr>
          <w:sz w:val="22"/>
          <w:szCs w:val="22"/>
          <w:rFonts w:ascii="Arial" w:cs="Arial" w:eastAsia="Arial" w:hAnsi="Arial"/>
        </w:rPr>
        <w:t xml:space="preserve"> the offence shall be inquired into and tried only by a court within whose local jurisdiction (a) if the cheque is delivered for collection through an account, the branch of the bank where the payee or holder in due course maintains the account is situated; or (b) if the cheque is presented for payment by the payee or holder otherwise through an account, the branch of the drawee bank where the drawer maintains the account is situated; the Explanation: 'delivered for collection through an account' includes a cheque delivered for collection at any branch of the payee's bank (the home-branch rule — Bridgestone India v. Inderpal Singh, 2016 — the payee may file where his home branch is, wherever the cheque was actually deposited). </w:t>
      </w:r>
      <w:r>
        <w:rPr>
          <w:b/>
          <w:bCs/>
          <w:sz w:val="22"/>
          <w:szCs w:val="22"/>
          <w:rFonts w:ascii="Arial" w:cs="Arial" w:eastAsia="Arial" w:hAnsi="Arial"/>
        </w:rPr>
        <w:t xml:space="preserve">Sec 142A (2015):</w:t>
      </w:r>
      <w:r>
        <w:rPr>
          <w:sz w:val="22"/>
          <w:szCs w:val="22"/>
          <w:rFonts w:ascii="Arial" w:cs="Arial" w:eastAsia="Arial" w:hAnsi="Arial"/>
        </w:rPr>
        <w:t xml:space="preserve"> all cases transferred under Dashrath Rupsingh were to be transferred to the court having jurisdiction under Sec 142(2); and where a person has filed a complaint against a drawer in one court, all subsequent complaints against the same drawer by the same payee are to be filed in the same court (Sec 142A(2)) — the 'first court' rule to prevent multiplicity. </w:t>
      </w:r>
      <w:r>
        <w:rPr>
          <w:b/>
          <w:bCs/>
          <w:sz w:val="22"/>
          <w:szCs w:val="22"/>
          <w:rFonts w:ascii="Arial" w:cs="Arial" w:eastAsia="Arial" w:hAnsi="Arial"/>
        </w:rPr>
        <w:t xml:space="preserve">Sec 141 — offences by companies:</w:t>
      </w:r>
      <w:r>
        <w:rPr>
          <w:sz w:val="22"/>
          <w:szCs w:val="22"/>
          <w:rFonts w:ascii="Arial" w:cs="Arial" w:eastAsia="Arial" w:hAnsi="Arial"/>
        </w:rPr>
        <w:t xml:space="preserve"> where the offence is committed by a company, every person who at the time was in charge of, and was responsible to, the company for the conduct of its business, as well as the company, shall be deemed guilty — with the proviso that a person is not liable if he proves that the offence was committed without his knowledge or that he exercised due diligence; Sec 141(2): where the offence was committed with the consent or connivance of, or is attributable to neglect on the part of, any director, manager, secretary or other officer, he too is deemed guilty; the Explanation includes firms and associations, and 'director' includes a partner. Case law: S.M.S. Pharmaceuticals v. Neeta Bhalla (2005, three judges) — the complaint must contain specific averments that the accused was in charge of and responsible for the conduct of the company's business; a director is not liable merely by virtue of being a director, but the managing director and the joint managing director are liable by virtue of their office, and the signatory of the cheque is liable; N.K. Wahi v. Shekhar Singh (2007); K.K. Ahuja v. V.K. Vora (2009) — a summary of who is liable; Gunmala Sales v. Anu Mehta (2015) — the High Court may quash against a director only where the averment is patently false; Aneeta Hada (2012) — the company is a necessary accused; Sunil Todi v. State of Gujarat (2021) — Sec 141 requires averments, and a non-executive director's role must be shown; Rathish Babu Unnikrishnan v. State (2022); Ashok Shewakramani v. State of A.P. (2023) — the averment must show how the accused was in charge; Siby Thomas v. Somany Ceramics (2023). Partners: a firm is a 'company' and partners are liable on the same principles (Sec 141 Explanation; a sleeping partner is not — Standard Chartered Bank v. State of Maharashtra, 2016).</w:t>
      </w:r>
    </w:p>
    <w:p>
      <w:pPr>
        <w:spacing w:before="240" w:after="120"/>
      </w:pPr>
      <w:r>
        <w:rPr>
          <w:b/>
          <w:bCs/>
          <w:color w:val="404040"/>
          <w:sz w:val="23"/>
          <w:szCs w:val="23"/>
          <w:rFonts w:ascii="Arial" w:cs="Arial" w:eastAsia="Arial" w:hAnsi="Arial"/>
        </w:rPr>
        <w:t xml:space="preserve">Trial, compounding, compensation and appeal — Sec 143-148</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143 (2002):</w:t>
      </w:r>
      <w:r>
        <w:rPr>
          <w:sz w:val="22"/>
          <w:szCs w:val="22"/>
          <w:rFonts w:ascii="Arial" w:cs="Arial" w:eastAsia="Arial" w:hAnsi="Arial"/>
        </w:rPr>
        <w:t xml:space="preserve"> the offence is tried summarily under Sec 262-265 CrPC (BNSS 283-288), with the Magistrate empowered to pass a sentence of imprisonment up to one year and a fine exceeding five thousand rupees; the trial is to be held day-to-day and concluded within six months from the filing of the complaint as far as practicable; the Magistrate may convert it into a summons trial where a sentence of more than one year may be necessary. </w:t>
      </w:r>
      <w:r>
        <w:rPr>
          <w:b/>
          <w:bCs/>
          <w:sz w:val="22"/>
          <w:szCs w:val="22"/>
          <w:rFonts w:ascii="Arial" w:cs="Arial" w:eastAsia="Arial" w:hAnsi="Arial"/>
        </w:rPr>
        <w:t xml:space="preserve">Sec 143A (2018):</w:t>
      </w:r>
      <w:r>
        <w:rPr>
          <w:sz w:val="22"/>
          <w:szCs w:val="22"/>
          <w:rFonts w:ascii="Arial" w:cs="Arial" w:eastAsia="Arial" w:hAnsi="Arial"/>
        </w:rPr>
        <w:t xml:space="preserve"> the court may order the drawer to pay </w:t>
      </w:r>
      <w:r>
        <w:rPr>
          <w:b/>
          <w:bCs/>
          <w:sz w:val="22"/>
          <w:szCs w:val="22"/>
          <w:rFonts w:ascii="Arial" w:cs="Arial" w:eastAsia="Arial" w:hAnsi="Arial"/>
        </w:rPr>
        <w:t xml:space="preserve">interim compensation</w:t>
      </w:r>
      <w:r>
        <w:rPr>
          <w:sz w:val="22"/>
          <w:szCs w:val="22"/>
          <w:rFonts w:ascii="Arial" w:cs="Arial" w:eastAsia="Arial" w:hAnsi="Arial"/>
        </w:rPr>
        <w:t xml:space="preserve"> up to twenty per cent of the cheque amount, in a summary trial on the accused's plea of not guilty, or in any other case on the framing of charge, within sixty days (extendable by thirty), recoverable as a fine, and refundable with interest if he is acquitted; the Supreme Court in Rakesh Ranjan Shrivastava v. State of Jharkhand (2024) held that the power is discretionary, not mandatory, requiring a prima facie evaluation. </w:t>
      </w:r>
      <w:r>
        <w:rPr>
          <w:b/>
          <w:bCs/>
          <w:sz w:val="22"/>
          <w:szCs w:val="22"/>
          <w:rFonts w:ascii="Arial" w:cs="Arial" w:eastAsia="Arial" w:hAnsi="Arial"/>
        </w:rPr>
        <w:t xml:space="preserve">Sec 144:</w:t>
      </w:r>
      <w:r>
        <w:rPr>
          <w:sz w:val="22"/>
          <w:szCs w:val="22"/>
          <w:rFonts w:ascii="Arial" w:cs="Arial" w:eastAsia="Arial" w:hAnsi="Arial"/>
        </w:rPr>
        <w:t xml:space="preserve"> service of summons by speed post or courier, with the acknowledgment as proof, and refusal deemed service. </w:t>
      </w:r>
      <w:r>
        <w:rPr>
          <w:b/>
          <w:bCs/>
          <w:sz w:val="22"/>
          <w:szCs w:val="22"/>
          <w:rFonts w:ascii="Arial" w:cs="Arial" w:eastAsia="Arial" w:hAnsi="Arial"/>
        </w:rPr>
        <w:t xml:space="preserve">Sec 145:</w:t>
      </w:r>
      <w:r>
        <w:rPr>
          <w:sz w:val="22"/>
          <w:szCs w:val="22"/>
          <w:rFonts w:ascii="Arial" w:cs="Arial" w:eastAsia="Arial" w:hAnsi="Arial"/>
        </w:rPr>
        <w:t xml:space="preserve"> the complainant's evidence may be given on </w:t>
      </w:r>
      <w:r>
        <w:rPr>
          <w:b/>
          <w:bCs/>
          <w:sz w:val="22"/>
          <w:szCs w:val="22"/>
          <w:rFonts w:ascii="Arial" w:cs="Arial" w:eastAsia="Arial" w:hAnsi="Arial"/>
        </w:rPr>
        <w:t xml:space="preserve">affidavit</w:t>
      </w:r>
      <w:r>
        <w:rPr>
          <w:sz w:val="22"/>
          <w:szCs w:val="22"/>
          <w:rFonts w:ascii="Arial" w:cs="Arial" w:eastAsia="Arial" w:hAnsi="Arial"/>
        </w:rPr>
        <w:t xml:space="preserve">, and the court may summon him for examination on the accused's application (Mandvi Co-operative Bank v. Nimesh B. Thakore, 2010 — the affidavit of the complainant is examination-in-chief; the accused may cross-examine; the accused's evidence cannot be on affidavit). </w:t>
      </w:r>
      <w:r>
        <w:rPr>
          <w:b/>
          <w:bCs/>
          <w:sz w:val="22"/>
          <w:szCs w:val="22"/>
          <w:rFonts w:ascii="Arial" w:cs="Arial" w:eastAsia="Arial" w:hAnsi="Arial"/>
        </w:rPr>
        <w:t xml:space="preserve">Sec 146:</w:t>
      </w:r>
      <w:r>
        <w:rPr>
          <w:sz w:val="22"/>
          <w:szCs w:val="22"/>
          <w:rFonts w:ascii="Arial" w:cs="Arial" w:eastAsia="Arial" w:hAnsi="Arial"/>
        </w:rPr>
        <w:t xml:space="preserve"> the bank's slip or memo of dishonour is prima facie evidence of the dishonour. </w:t>
      </w:r>
      <w:r>
        <w:rPr>
          <w:b/>
          <w:bCs/>
          <w:sz w:val="22"/>
          <w:szCs w:val="22"/>
          <w:rFonts w:ascii="Arial" w:cs="Arial" w:eastAsia="Arial" w:hAnsi="Arial"/>
        </w:rPr>
        <w:t xml:space="preserve">Sec 147 (2002):</w:t>
      </w:r>
      <w:r>
        <w:rPr>
          <w:sz w:val="22"/>
          <w:szCs w:val="22"/>
          <w:rFonts w:ascii="Arial" w:cs="Arial" w:eastAsia="Arial" w:hAnsi="Arial"/>
        </w:rPr>
        <w:t xml:space="preserve"> every offence under the Act is </w:t>
      </w:r>
      <w:r>
        <w:rPr>
          <w:b/>
          <w:bCs/>
          <w:sz w:val="22"/>
          <w:szCs w:val="22"/>
          <w:rFonts w:ascii="Arial" w:cs="Arial" w:eastAsia="Arial" w:hAnsi="Arial"/>
        </w:rPr>
        <w:t xml:space="preserve">compoundable</w:t>
      </w:r>
      <w:r>
        <w:rPr>
          <w:sz w:val="22"/>
          <w:szCs w:val="22"/>
          <w:rFonts w:ascii="Arial" w:cs="Arial" w:eastAsia="Arial" w:hAnsi="Arial"/>
        </w:rPr>
        <w:t xml:space="preserve">, notwithstanding the CrPC — Damodar S. Prabhu v. Sayed Babalal H. (2010) laid down graded costs for late compounding (nil at the first hearing, ten per cent of the cheque amount at a later stage of the trial, fifteen per cent in the Sessions or High Court, twenty per cent in the Supreme Court) to encourage early settlement; Meters and Instruments v. Kanchan Mehta (2017) held that the court may close the proceedings if the accused has paid the cheque amount with interest and costs even without the complainant's consent — a view the five-judge bench in In re: Expeditious Trial of Cases under Sec 138 (2021) disapproved to the extent it allowed compounding without the complainant's consent, while the 2021 bench framed directions: Magistrates should record reasons before converting a summary trial to a summons trial, service of summons in one complaint is deemed service in all complaints on the same transaction, courts may treat Sec 138 complaints as suits for the purpose of settlement, and Sec 258 CrPC does not apply; the Court also asked Parliament to provide for a single trial of multiple complaints on the same transaction and for special courts. </w:t>
      </w:r>
      <w:r>
        <w:rPr>
          <w:b/>
          <w:bCs/>
          <w:sz w:val="22"/>
          <w:szCs w:val="22"/>
          <w:rFonts w:ascii="Arial" w:cs="Arial" w:eastAsia="Arial" w:hAnsi="Arial"/>
        </w:rPr>
        <w:t xml:space="preserve">Sec 148 (2018):</w:t>
      </w:r>
      <w:r>
        <w:rPr>
          <w:sz w:val="22"/>
          <w:szCs w:val="22"/>
          <w:rFonts w:ascii="Arial" w:cs="Arial" w:eastAsia="Arial" w:hAnsi="Arial"/>
        </w:rPr>
        <w:t xml:space="preserve"> in an appeal by the drawer against conviction, the appellate court may order him to </w:t>
      </w:r>
      <w:r>
        <w:rPr>
          <w:b/>
          <w:bCs/>
          <w:sz w:val="22"/>
          <w:szCs w:val="22"/>
          <w:rFonts w:ascii="Arial" w:cs="Arial" w:eastAsia="Arial" w:hAnsi="Arial"/>
        </w:rPr>
        <w:t xml:space="preserve">deposit a minimum of twenty per cent</w:t>
      </w:r>
      <w:r>
        <w:rPr>
          <w:sz w:val="22"/>
          <w:szCs w:val="22"/>
          <w:rFonts w:ascii="Arial" w:cs="Arial" w:eastAsia="Arial" w:hAnsi="Arial"/>
        </w:rPr>
        <w:t xml:space="preserve"> of the fine or compensation awarded by the trial court within sixty days (Surinder Singh Deswal v. Virender Gandhi, 2019 — the provision is retrospective in application to appeals filed after the amendment, and the deposit is the rule; Jamboo Bhandari v. M.P. State Industrial Development Corporation, 2023 — the appellate court may exempt in exceptional cases with reasons). The Indian Bank Association v. Union of India (2014) directions: the Magistrate should scrutinise the complaint and affidavit and issue process on the same day; summons by post and e-mail; if the accused appears, the plea should be recorded and the trial fixed; the court should encourage compounding. Pendency of Sec 138 cases — around thirty per cent of the criminal pendency in Magistrates' courts — drove the 2021 directions, the pilot of dedicated courts in five States (2022), and the proposal to decriminalise? — the 2020 draft of the Ministry of Finance to decriminalise minor offences was withdrawn as to Sec 138 after protests.</w:t>
      </w:r>
    </w:p>
    <w:p>
      <w:pPr>
        <w:pBdr>
          <w:left w:val="single" w:color="CC0000" w:sz="6" w:space="8"/>
        </w:pBdr>
        <w:spacing w:before="80" w:after="80"/>
        <w:ind w:left="300"/>
      </w:pPr>
      <w:r>
        <w:rPr>
          <w:b/>
          <w:bCs/>
          <w:color w:val="CC0000"/>
          <w:sz w:val="21"/>
          <w:szCs w:val="21"/>
          <w:rFonts w:ascii="Arial" w:cs="Arial" w:eastAsia="Arial" w:hAnsi="Arial"/>
        </w:rPr>
        <w:t xml:space="preserve">Dashrath Rupsingh Rathod v. State of Maharashtra (2014) 9 SCC 129 — </w:t>
      </w:r>
      <w:r>
        <w:rPr>
          <w:sz w:val="21"/>
          <w:szCs w:val="21"/>
          <w:rFonts w:ascii="Arial" w:cs="Arial" w:eastAsia="Arial" w:hAnsi="Arial"/>
        </w:rPr>
        <w:t xml:space="preserve">The offence under Sec 138 is committed where the drawee bank dishonours the cheque and the complaint lies only there (overruling K. Bhaskaran) — a rule reversed by the 2015 amendment inserting Sec 142(2).</w:t>
      </w:r>
    </w:p>
    <w:p>
      <w:pPr>
        <w:pBdr>
          <w:left w:val="single" w:color="CC0000" w:sz="6" w:space="8"/>
        </w:pBdr>
        <w:spacing w:before="80" w:after="80"/>
        <w:ind w:left="300"/>
      </w:pPr>
      <w:r>
        <w:rPr>
          <w:b/>
          <w:bCs/>
          <w:color w:val="CC0000"/>
          <w:sz w:val="21"/>
          <w:szCs w:val="21"/>
          <w:rFonts w:ascii="Arial" w:cs="Arial" w:eastAsia="Arial" w:hAnsi="Arial"/>
        </w:rPr>
        <w:t xml:space="preserve">Rangappa v. Sri Mohan (2010) 11 SCC 441 — </w:t>
      </w:r>
      <w:r>
        <w:rPr>
          <w:sz w:val="21"/>
          <w:szCs w:val="21"/>
          <w:rFonts w:ascii="Arial" w:cs="Arial" w:eastAsia="Arial" w:hAnsi="Arial"/>
        </w:rPr>
        <w:t xml:space="preserve">The presumption under Sec 139 includes the existence of a legally enforceable debt; it is rebuttable on a preponderance of probabilities, and the accused may rely on the complainant's evidence without entering the box.</w:t>
      </w:r>
    </w:p>
    <w:p>
      <w:pPr>
        <w:pBdr>
          <w:left w:val="single" w:color="CC0000" w:sz="6" w:space="8"/>
        </w:pBdr>
        <w:spacing w:before="80" w:after="80"/>
        <w:ind w:left="300"/>
      </w:pPr>
      <w:r>
        <w:rPr>
          <w:b/>
          <w:bCs/>
          <w:color w:val="CC0000"/>
          <w:sz w:val="21"/>
          <w:szCs w:val="21"/>
          <w:rFonts w:ascii="Arial" w:cs="Arial" w:eastAsia="Arial" w:hAnsi="Arial"/>
        </w:rPr>
        <w:t xml:space="preserve">MSR Leathers v. S. Palaniappan (2013) 1 SCC 177 — </w:t>
      </w:r>
      <w:r>
        <w:rPr>
          <w:sz w:val="21"/>
          <w:szCs w:val="21"/>
          <w:rFonts w:ascii="Arial" w:cs="Arial" w:eastAsia="Arial" w:hAnsi="Arial"/>
        </w:rPr>
        <w:t xml:space="preserve">A cheque may be presented more than once within its validity; each dishonour followed by a fresh notice and non-payment gives a fresh cause of action; Sadanandan Bhadran overruled.</w:t>
      </w:r>
    </w:p>
    <w:p>
      <w:pPr>
        <w:pBdr>
          <w:left w:val="single" w:color="CC0000" w:sz="6" w:space="8"/>
        </w:pBdr>
        <w:spacing w:before="80" w:after="80"/>
        <w:ind w:left="300"/>
      </w:pPr>
      <w:r>
        <w:rPr>
          <w:b/>
          <w:bCs/>
          <w:color w:val="CC0000"/>
          <w:sz w:val="21"/>
          <w:szCs w:val="21"/>
          <w:rFonts w:ascii="Arial" w:cs="Arial" w:eastAsia="Arial" w:hAnsi="Arial"/>
        </w:rPr>
        <w:t xml:space="preserve">Aneeta Hada v. Godfather Travels and Tours (P) Ltd. (2012) 5 SCC 661 — </w:t>
      </w:r>
      <w:r>
        <w:rPr>
          <w:sz w:val="21"/>
          <w:szCs w:val="21"/>
          <w:rFonts w:ascii="Arial" w:cs="Arial" w:eastAsia="Arial" w:hAnsi="Arial"/>
        </w:rPr>
        <w:t xml:space="preserve">Under Sec 141 the company must be prosecuted for its directors to be vicariously liable; a complaint against the director alone without the company is not maintainable, except where the company cannot be prosecuted.</w:t>
      </w:r>
    </w:p>
    <w:p>
      <w:pPr>
        <w:pBdr>
          <w:left w:val="single" w:color="CC0000" w:sz="6" w:space="8"/>
        </w:pBdr>
        <w:spacing w:before="80" w:after="80"/>
        <w:ind w:left="300"/>
      </w:pPr>
      <w:r>
        <w:rPr>
          <w:b/>
          <w:bCs/>
          <w:color w:val="CC0000"/>
          <w:sz w:val="21"/>
          <w:szCs w:val="21"/>
          <w:rFonts w:ascii="Arial" w:cs="Arial" w:eastAsia="Arial" w:hAnsi="Arial"/>
        </w:rPr>
        <w:t xml:space="preserve">In re: Expeditious Trial of Cases under Sec 138 of the N.I. Act (2021) 16 SCC 116 — </w:t>
      </w:r>
      <w:r>
        <w:rPr>
          <w:sz w:val="21"/>
          <w:szCs w:val="21"/>
          <w:rFonts w:ascii="Arial" w:cs="Arial" w:eastAsia="Arial" w:hAnsi="Arial"/>
        </w:rPr>
        <w:t xml:space="preserve">A Constitution Bench's directions to speed up cheque cases: summary trial as the rule, deemed service of summons across complaints on the same transaction, no Sec 258 CrPC, treating complaints as suits for settlement, and a recommendation for special courts and joinder of complaints.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Sec 138 notices are validly sent by e-mail and WhatsApp where the drawer's address is known (the Supreme Court's 2020 orders and the Bombay High Court's practice), with the delivery report as proof; dishonour memos are electronic CTS return memos with reason codes (Sec 146 treats them as prima facie evidence); the 2021 directions and the e-Courts system allow e-summons and video-conference recording of the complainant's Sec 145 affidavit; and the 2022 pilot special courts run on the e-filing platform. A failed UPI or NEFT transfer is not a Sec 138 offence, and the Supreme Court in the Expeditious Trial matter noted the anomaly; Parliament has considered extending Sec 138 to electronic fund transfers ('e-cheque bounce') but has not done so. Positive pay and CTS have reduced forged-cheque dishonours, so the typical Sec 138 case is now a genuine insufficiency.</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138 ingredients', 'Legally enforceable debt', 'Sec 139 presumption', 'Notice under Sec 138', 'Jurisdiction under Sec 142(2)', 'Sec 141 company', 'Compounding under Sec 147', 'Interim compensation'. Part B: 'Discuss the offence of dishonour of cheques under Sec 138 with its ingredients, the presumptions, and the procedure for prosecution' — text, six ingredients with cases (NEPC Micon, Modi Cements, Laxmi Dyechem, MSR Leathers, Alavi Haji), Sec 139 with Rangappa, Sec 142 (complaint, limitation, jurisdiction after 2015), Sec 141 with Aneeta Hada and SMS Pharmaceuticals, Sec 143-148; or 'Trace the law on jurisdiction in cheque-bounce cases from Bhaskaran to the 2015 amendment'. Part C: a cheque bounces, the payee sends notice on the thirty-fifth day — barred (thirty days); a cheque given as security for a loan repayable next year bounces after the loan falls due — Sec 138 applies (Sampelly); a complaint against a director without the company — not maintainable (Aneeta Hada); the drawer offers the cheque amount at the appellate stage — compounding with fifteen per cent costs (Damodar Prabhu), consent of the complainant required (2021 bench).</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09 — The Bank That Was Frozen: Yes Bank and the Banking Regulation Act</w:t>
      </w:r>
    </w:p>
    <w:p>
      <w:pPr>
        <w:pStyle w:val="Heading2"/>
        <w:spacing w:before="360" w:after="160"/>
      </w:pPr>
      <w:r>
        <w:rPr>
          <w:b/>
          <w:bCs/>
          <w:color w:val="2E75B6"/>
          <w:sz w:val="26"/>
          <w:szCs w:val="26"/>
          <w:rFonts w:ascii="Arial" w:cs="Arial" w:eastAsia="Arial" w:hAnsi="Arial"/>
        </w:rPr>
        <w:t xml:space="preserve">Covers: The Banking Regulation Act 1949 — scheme and definitions · Licensing, branches, capital and reserves (Sec 11-24) · Restrictions on loans and advances (Sec 20-21) · Accounts, audit and returns (Sec 29-31) · The Reserve Bank's general and specific powers — inspection, directions, control of management (Sec 35-36AA, 36ACA) · Moratorium, amalgamation and winding up (Sec 44A-45) · The Central Government's powers · Penalties · Co-operative banks after 2020</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Mumbai, 5 March 2020. Yes Bank, the fourth-largest private bank in the country, has lost its founder to a Reserve Bank order, its stressed loans have ballooned, deposits are fleeing and its capital is below the regulatory floor. In the evening the Reserve Bank applies to the Central Government under Section 45 of the Banking Regulation Act and the Government imposes a moratorium: for thirty days no depositor may withdraw more than fifty thousand rupees, and the board is superseded and an administrator appointed. Within a week the Reserve Bank publishes a draft scheme of reconstruction, the State Bank of India and other banks inject ten thousand crore rupees of capital, and on 13 March the Yes Bank Limited Reconstruction Scheme 2020 is notified — the moratorium is lifted on 18 March, thirteen days after it began. The scheme also wrote off eight thousand four hundred crore rupees of Additional Tier-1 bonds, a decision the Bombay High Court set aside in 2023 and the Supreme Court stayed. The episode showed the Act working as its authors in 1949 intended: a regulator that can inspect, direct, remove management, freeze and reconstruct a bank without letting it collapse, backed by a Central Government that can act in days. It also showed the Act's limits — the depositors' lock-out, the bondholders' loss, the litigation. This episode walks through the Act that governs every bank in India: what a bank may do, how it is licensed and capitalised, what it may not lend, how the Reserve Bank watches it, and what happens when it fails.</w:t>
      </w:r>
    </w:p>
    <w:p>
      <w:pPr>
        <w:spacing w:before="240" w:after="120"/>
      </w:pPr>
      <w:r>
        <w:rPr>
          <w:b/>
          <w:bCs/>
          <w:color w:val="404040"/>
          <w:sz w:val="23"/>
          <w:szCs w:val="23"/>
          <w:rFonts w:ascii="Arial" w:cs="Arial" w:eastAsia="Arial" w:hAnsi="Arial"/>
        </w:rPr>
        <w:t xml:space="preserve">Scheme and definitions</w:t>
      </w:r>
    </w:p>
    <w:p>
      <w:pPr>
        <w:spacing w:after="120" w:line="300"/>
        <w:jc w:val="both"/>
      </w:pPr>
      <w:r>
        <w:rPr>
          <w:sz w:val="22"/>
          <w:szCs w:val="22"/>
          <w:rFonts w:ascii="Arial" w:cs="Arial" w:eastAsia="Arial" w:hAnsi="Arial"/>
        </w:rPr>
        <w:t xml:space="preserve">The Banking Companies Act, 1949 (renamed the Banking Regulation Act in 1966 when it was extended to co-operative banks) has five Parts: Part I preliminary (Sec 1-5A), Part II business of banking companies (Sec 6-36A), Part IIA control over management (Sec 36AA-36AC), Part IIAB power to supersede boards (Sec 36ACA), Part IIB prohibition of certain activities (Sec 36AD), Part IIC acquisition of undertakings (Sec 36AE-36AJ), Part III suspension of business and winding up (Sec 36B-45), Part IIIA special provisions for speedy disposal of winding-up proceedings (Sec 45A-45X), Part IIIB nomination (Sec 45Y-45ZF), Part IV miscellaneous (Sec 46-55A), and Part V application to co-operative banks (Sec 56). It applies to banking companies (Sec 5(c)), to the State Bank and nationalised banks with modifications (Sec 51), to regional rural banks, and, since 1966, to co-operative banks through Sec 56 with the modifications in that section (amended comprehensively in 2020 after the PMC Bank collapse to bring urban co-operative banks under the RBI's full control). </w:t>
      </w:r>
      <w:r>
        <w:rPr>
          <w:b/>
          <w:bCs/>
          <w:sz w:val="22"/>
          <w:szCs w:val="22"/>
          <w:rFonts w:ascii="Arial" w:cs="Arial" w:eastAsia="Arial" w:hAnsi="Arial"/>
        </w:rPr>
        <w:t xml:space="preserve">Sec 5</w:t>
      </w:r>
      <w:r>
        <w:rPr>
          <w:sz w:val="22"/>
          <w:szCs w:val="22"/>
          <w:rFonts w:ascii="Arial" w:cs="Arial" w:eastAsia="Arial" w:hAnsi="Arial"/>
        </w:rPr>
        <w:t xml:space="preserve"> definitions: 'banking' (5(b)), 'banking company' (5(c)), 'banking policy' (5(ca) — a policy specified by the RBI in the interest of the banking system, monetary stability or sound economic growth, having due regard to the interests of depositors, the volume of deposits and other resources and the need for equitable allocation and efficient use), 'demand liabilities' and 'time liabilities' (5(f)-(g)), 'secured loan' (5(n)), 'substantial interest' (5(ne)), 'managing director', 'approved securities' (5(a)). </w:t>
      </w:r>
      <w:r>
        <w:rPr>
          <w:b/>
          <w:bCs/>
          <w:sz w:val="22"/>
          <w:szCs w:val="22"/>
          <w:rFonts w:ascii="Arial" w:cs="Arial" w:eastAsia="Arial" w:hAnsi="Arial"/>
        </w:rPr>
        <w:t xml:space="preserve">Sec 6:</w:t>
      </w:r>
      <w:r>
        <w:rPr>
          <w:sz w:val="22"/>
          <w:szCs w:val="22"/>
          <w:rFonts w:ascii="Arial" w:cs="Arial" w:eastAsia="Arial" w:hAnsi="Arial"/>
        </w:rPr>
        <w:t xml:space="preserve"> forms of business — besides banking, borrowing and lending, dealing in bills and drafts, letters of credit, foreign exchange, bullion, shares, securities, safe custody, agency business, guarantees, trustee and executor business, acquiring property for its own use, and any other form of business the Central Government notifies; </w:t>
      </w:r>
      <w:r>
        <w:rPr>
          <w:b/>
          <w:bCs/>
          <w:sz w:val="22"/>
          <w:szCs w:val="22"/>
          <w:rFonts w:ascii="Arial" w:cs="Arial" w:eastAsia="Arial" w:hAnsi="Arial"/>
        </w:rPr>
        <w:t xml:space="preserve">Sec 7:</w:t>
      </w:r>
      <w:r>
        <w:rPr>
          <w:sz w:val="22"/>
          <w:szCs w:val="22"/>
          <w:rFonts w:ascii="Arial" w:cs="Arial" w:eastAsia="Arial" w:hAnsi="Arial"/>
        </w:rPr>
        <w:t xml:space="preserve"> use of the words 'bank', 'banker', 'banking'; </w:t>
      </w:r>
      <w:r>
        <w:rPr>
          <w:b/>
          <w:bCs/>
          <w:sz w:val="22"/>
          <w:szCs w:val="22"/>
          <w:rFonts w:ascii="Arial" w:cs="Arial" w:eastAsia="Arial" w:hAnsi="Arial"/>
        </w:rPr>
        <w:t xml:space="preserve">Sec 8:</w:t>
      </w:r>
      <w:r>
        <w:rPr>
          <w:sz w:val="22"/>
          <w:szCs w:val="22"/>
          <w:rFonts w:ascii="Arial" w:cs="Arial" w:eastAsia="Arial" w:hAnsi="Arial"/>
        </w:rPr>
        <w:t xml:space="preserve"> prohibition of trading (no buying, selling or bartering of goods except in connection with the realisation of security or in the course of bill business); </w:t>
      </w:r>
      <w:r>
        <w:rPr>
          <w:b/>
          <w:bCs/>
          <w:sz w:val="22"/>
          <w:szCs w:val="22"/>
          <w:rFonts w:ascii="Arial" w:cs="Arial" w:eastAsia="Arial" w:hAnsi="Arial"/>
        </w:rPr>
        <w:t xml:space="preserve">Sec 9:</w:t>
      </w:r>
      <w:r>
        <w:rPr>
          <w:sz w:val="22"/>
          <w:szCs w:val="22"/>
          <w:rFonts w:ascii="Arial" w:cs="Arial" w:eastAsia="Arial" w:hAnsi="Arial"/>
        </w:rPr>
        <w:t xml:space="preserve"> disposal of non-banking assets within seven years (extended by the RBI up to five more); </w:t>
      </w:r>
      <w:r>
        <w:rPr>
          <w:b/>
          <w:bCs/>
          <w:sz w:val="22"/>
          <w:szCs w:val="22"/>
          <w:rFonts w:ascii="Arial" w:cs="Arial" w:eastAsia="Arial" w:hAnsi="Arial"/>
        </w:rPr>
        <w:t xml:space="preserve">Sec 10:</w:t>
      </w:r>
      <w:r>
        <w:rPr>
          <w:sz w:val="22"/>
          <w:szCs w:val="22"/>
          <w:rFonts w:ascii="Arial" w:cs="Arial" w:eastAsia="Arial" w:hAnsi="Arial"/>
        </w:rPr>
        <w:t xml:space="preserve"> prohibition of employment of managing agents and restrictions on the terms of employment of chairmen and directors; </w:t>
      </w:r>
      <w:r>
        <w:rPr>
          <w:b/>
          <w:bCs/>
          <w:sz w:val="22"/>
          <w:szCs w:val="22"/>
          <w:rFonts w:ascii="Arial" w:cs="Arial" w:eastAsia="Arial" w:hAnsi="Arial"/>
        </w:rPr>
        <w:t xml:space="preserve">Sec 10A:</w:t>
      </w:r>
      <w:r>
        <w:rPr>
          <w:sz w:val="22"/>
          <w:szCs w:val="22"/>
          <w:rFonts w:ascii="Arial" w:cs="Arial" w:eastAsia="Arial" w:hAnsi="Arial"/>
        </w:rPr>
        <w:t xml:space="preserve"> board composition — not less than fifty-one per cent of the directors to have special knowledge or practical experience of accountancy, agriculture, banking, co-operation, economics, finance, law, small-scale industry or other useful matters, and no director may hold office beyond eight years; </w:t>
      </w:r>
      <w:r>
        <w:rPr>
          <w:b/>
          <w:bCs/>
          <w:sz w:val="22"/>
          <w:szCs w:val="22"/>
          <w:rFonts w:ascii="Arial" w:cs="Arial" w:eastAsia="Arial" w:hAnsi="Arial"/>
        </w:rPr>
        <w:t xml:space="preserve">Sec 10B:</w:t>
      </w:r>
      <w:r>
        <w:rPr>
          <w:sz w:val="22"/>
          <w:szCs w:val="22"/>
          <w:rFonts w:ascii="Arial" w:cs="Arial" w:eastAsia="Arial" w:hAnsi="Arial"/>
        </w:rPr>
        <w:t xml:space="preserve"> a whole-time chairman or managing director; </w:t>
      </w:r>
      <w:r>
        <w:rPr>
          <w:b/>
          <w:bCs/>
          <w:sz w:val="22"/>
          <w:szCs w:val="22"/>
          <w:rFonts w:ascii="Arial" w:cs="Arial" w:eastAsia="Arial" w:hAnsi="Arial"/>
        </w:rPr>
        <w:t xml:space="preserve">Sec 10BB:</w:t>
      </w:r>
      <w:r>
        <w:rPr>
          <w:sz w:val="22"/>
          <w:szCs w:val="22"/>
          <w:rFonts w:ascii="Arial" w:cs="Arial" w:eastAsia="Arial" w:hAnsi="Arial"/>
        </w:rPr>
        <w:t xml:space="preserve"> the RBI may appoint the chairman if the bank fails to; </w:t>
      </w:r>
      <w:r>
        <w:rPr>
          <w:b/>
          <w:bCs/>
          <w:sz w:val="22"/>
          <w:szCs w:val="22"/>
          <w:rFonts w:ascii="Arial" w:cs="Arial" w:eastAsia="Arial" w:hAnsi="Arial"/>
        </w:rPr>
        <w:t xml:space="preserve">Sec 10C-10D:</w:t>
      </w:r>
      <w:r>
        <w:rPr>
          <w:sz w:val="22"/>
          <w:szCs w:val="22"/>
          <w:rFonts w:ascii="Arial" w:cs="Arial" w:eastAsia="Arial" w:hAnsi="Arial"/>
        </w:rPr>
        <w:t xml:space="preserve"> disqualifications of directors.</w:t>
      </w:r>
    </w:p>
    <w:p>
      <w:pPr>
        <w:spacing w:before="240" w:after="120"/>
      </w:pPr>
      <w:r>
        <w:rPr>
          <w:b/>
          <w:bCs/>
          <w:color w:val="404040"/>
          <w:sz w:val="23"/>
          <w:szCs w:val="23"/>
          <w:rFonts w:ascii="Arial" w:cs="Arial" w:eastAsia="Arial" w:hAnsi="Arial"/>
        </w:rPr>
        <w:t xml:space="preserve">Licensing, branches, capital and reserves</w:t>
      </w:r>
    </w:p>
    <w:p>
      <w:pPr>
        <w:spacing w:before="60" w:after="60"/>
        <w:ind w:left="200"/>
      </w:pPr>
      <w:r>
        <w:rPr>
          <w:b/>
          <w:bCs/>
          <w:color w:val="1F4E79"/>
          <w:sz w:val="22"/>
          <w:szCs w:val="22"/>
          <w:rFonts w:ascii="Arial" w:cs="Arial" w:eastAsia="Arial" w:hAnsi="Arial"/>
        </w:rPr>
        <w:t xml:space="preserve">Sec 11-13: </w:t>
      </w:r>
      <w:r>
        <w:rPr>
          <w:sz w:val="22"/>
          <w:szCs w:val="22"/>
          <w:rFonts w:ascii="Arial" w:cs="Arial" w:eastAsia="Arial" w:hAnsi="Arial"/>
        </w:rPr>
        <w:t xml:space="preserve">Minimum paid-up capital and reserves — the statutory figures (five lakh rupees for a domestic bank) are obsolete; the RBI's licensing guidelines require five hundred crore rupees for new universal banks (2016 on-tap guidelines: one thousand crore) and two hundred crore for small finance banks; Sec 12: the subscribed capital to be not less than half the authorised capital and the paid-up capital not less than half the subscribed; voting rights — no shareholder may exercise voting rights in excess of twenty-six per cent (raised from ten per cent in 2012, with the RBI's approval for holdings above five per cent, Sec 12(2), 12B); Sec 13: restriction on commission and brokerage on shares.</w:t>
      </w:r>
    </w:p>
    <w:p>
      <w:pPr>
        <w:spacing w:before="60" w:after="60"/>
        <w:ind w:left="200"/>
      </w:pPr>
      <w:r>
        <w:rPr>
          <w:b/>
          <w:bCs/>
          <w:color w:val="1F4E79"/>
          <w:sz w:val="22"/>
          <w:szCs w:val="22"/>
          <w:rFonts w:ascii="Arial" w:cs="Arial" w:eastAsia="Arial" w:hAnsi="Arial"/>
        </w:rPr>
        <w:t xml:space="preserve">Sec 17-18: </w:t>
      </w:r>
      <w:r>
        <w:rPr>
          <w:sz w:val="22"/>
          <w:szCs w:val="22"/>
          <w:rFonts w:ascii="Arial" w:cs="Arial" w:eastAsia="Arial" w:hAnsi="Arial"/>
        </w:rPr>
        <w:t xml:space="preserve">**Reserve fund:** every banking company must transfer not less than twenty per cent of its annual profits to a reserve fund before declaring a dividend (Sec 17 — the RBI requires twenty-five per cent); **cash reserve:** a non-scheduled bank must maintain a cash reserve of three per cent of its demand and time liabilities (Sec 18; scheduled banks under Sec 42 of the RBI Act — Episode 10).</w:t>
      </w:r>
    </w:p>
    <w:p>
      <w:pPr>
        <w:spacing w:before="60" w:after="60"/>
        <w:ind w:left="200"/>
      </w:pPr>
      <w:r>
        <w:rPr>
          <w:b/>
          <w:bCs/>
          <w:color w:val="1F4E79"/>
          <w:sz w:val="22"/>
          <w:szCs w:val="22"/>
          <w:rFonts w:ascii="Arial" w:cs="Arial" w:eastAsia="Arial" w:hAnsi="Arial"/>
        </w:rPr>
        <w:t xml:space="preserve">Sec 19: </w:t>
      </w:r>
      <w:r>
        <w:rPr>
          <w:sz w:val="22"/>
          <w:szCs w:val="22"/>
          <w:rFonts w:ascii="Arial" w:cs="Arial" w:eastAsia="Arial" w:hAnsi="Arial"/>
        </w:rPr>
        <w:t xml:space="preserve">Restrictions on the nature of subsidiaries and on holding shares in other companies — a bank may not hold shares in a company exceeding thirty per cent of the company's paid-up capital or thirty per cent of the bank's own paid-up capital and reserves, whichever is less.</w:t>
      </w:r>
    </w:p>
    <w:p>
      <w:pPr>
        <w:spacing w:before="60" w:after="60"/>
        <w:ind w:left="200"/>
      </w:pPr>
      <w:r>
        <w:rPr>
          <w:b/>
          <w:bCs/>
          <w:color w:val="1F4E79"/>
          <w:sz w:val="22"/>
          <w:szCs w:val="22"/>
          <w:rFonts w:ascii="Arial" w:cs="Arial" w:eastAsia="Arial" w:hAnsi="Arial"/>
        </w:rPr>
        <w:t xml:space="preserve">Sec 22 — licensing: </w:t>
      </w:r>
      <w:r>
        <w:rPr>
          <w:sz w:val="22"/>
          <w:szCs w:val="22"/>
          <w:rFonts w:ascii="Arial" w:cs="Arial" w:eastAsia="Arial" w:hAnsi="Arial"/>
        </w:rPr>
        <w:t xml:space="preserve">No company shall carry on banking business in India unless it holds a licence issued by the RBI; the RBI may impose conditions; before granting a licence the RBI must be satisfied that the company is or will be in a position to pay its present and future depositors in full as their claims accrue, that its affairs are not conducted in a manner detrimental to depositors, that its management is not prejudicial to the public interest, that it has adequate capital and earning prospects, that the public interest will be served, that the licence would not be prejudicial to the banking system or monetary stability, and any other condition the RBI thinks necessary; for foreign banks, that the government of their country does not discriminate against Indian banks; the RBI may cancel a licence for non-compliance after a hearing; an appeal lies to the Central Government within thirty days. Licensing is the gate through which the RBI's 1993, 2001, 2013 and 2016 'on-tap' guidelines for private banks, the 2014 guidelines for payments banks and small finance banks, and the 2020 discussion on corporate ownership have passed.</w:t>
      </w:r>
    </w:p>
    <w:p>
      <w:pPr>
        <w:spacing w:before="60" w:after="60"/>
        <w:ind w:left="200"/>
      </w:pPr>
      <w:r>
        <w:rPr>
          <w:b/>
          <w:bCs/>
          <w:color w:val="1F4E79"/>
          <w:sz w:val="22"/>
          <w:szCs w:val="22"/>
          <w:rFonts w:ascii="Arial" w:cs="Arial" w:eastAsia="Arial" w:hAnsi="Arial"/>
        </w:rPr>
        <w:t xml:space="preserve">Sec 23 — branches: </w:t>
      </w:r>
      <w:r>
        <w:rPr>
          <w:sz w:val="22"/>
          <w:szCs w:val="22"/>
          <w:rFonts w:ascii="Arial" w:cs="Arial" w:eastAsia="Arial" w:hAnsi="Arial"/>
        </w:rPr>
        <w:t xml:space="preserve">No banking company shall open a new place of business or change the location of an existing one, otherwise than within the same city, town or village, without the RBI's prior permission; the RBI considers the financial condition, management, capital, and the public interest; Sec 23(4A) exempts regional rural banks in certain cases; the branch authorisation policy was liberalised in 2017 (banking outlets may be opened without prior permission subject to a twenty-five per cent unbanked-rural-centre rule).</w:t>
      </w:r>
    </w:p>
    <w:p>
      <w:pPr>
        <w:spacing w:before="60" w:after="60"/>
        <w:ind w:left="200"/>
      </w:pPr>
      <w:r>
        <w:rPr>
          <w:b/>
          <w:bCs/>
          <w:color w:val="1F4E79"/>
          <w:sz w:val="22"/>
          <w:szCs w:val="22"/>
          <w:rFonts w:ascii="Arial" w:cs="Arial" w:eastAsia="Arial" w:hAnsi="Arial"/>
        </w:rPr>
        <w:t xml:space="preserve">Sec 24 — statutory liquidity ratio: </w:t>
      </w:r>
      <w:r>
        <w:rPr>
          <w:sz w:val="22"/>
          <w:szCs w:val="22"/>
          <w:rFonts w:ascii="Arial" w:cs="Arial" w:eastAsia="Arial" w:hAnsi="Arial"/>
        </w:rPr>
        <w:t xml:space="preserve">Every banking company must maintain in India, in cash, gold or unencumbered approved securities, an amount not less than the percentage the RBI specifies (not exceeding forty per cent) of its demand and time liabilities — the SLR, currently eighteen per cent; the 2007 amendment removed the statutory floor of twenty-five per cent so the RBI may fix any rate; failure attracts penal interest (Sec 24(4)).</w:t>
      </w:r>
    </w:p>
    <w:p>
      <w:pPr>
        <w:spacing w:before="60" w:after="60"/>
        <w:ind w:left="200"/>
      </w:pPr>
      <w:r>
        <w:rPr>
          <w:b/>
          <w:bCs/>
          <w:color w:val="1F4E79"/>
          <w:sz w:val="22"/>
          <w:szCs w:val="22"/>
          <w:rFonts w:ascii="Arial" w:cs="Arial" w:eastAsia="Arial" w:hAnsi="Arial"/>
        </w:rPr>
        <w:t xml:space="preserve">Sec 25-27: </w:t>
      </w:r>
      <w:r>
        <w:rPr>
          <w:sz w:val="22"/>
          <w:szCs w:val="22"/>
          <w:rFonts w:ascii="Arial" w:cs="Arial" w:eastAsia="Arial" w:hAnsi="Arial"/>
        </w:rPr>
        <w:t xml:space="preserve">Assets in India to be not less than seventy-five per cent of demand and time liabilities; return of unclaimed deposits (Sec 26 — and Sec 26A, 2014, the Depositor Education and Awareness Fund for deposits unclaimed for ten years); monthly returns.</w:t>
      </w:r>
    </w:p>
    <w:p>
      <w:pPr>
        <w:spacing w:before="240" w:after="120"/>
      </w:pPr>
      <w:r>
        <w:rPr>
          <w:b/>
          <w:bCs/>
          <w:color w:val="404040"/>
          <w:sz w:val="23"/>
          <w:szCs w:val="23"/>
          <w:rFonts w:ascii="Arial" w:cs="Arial" w:eastAsia="Arial" w:hAnsi="Arial"/>
        </w:rPr>
        <w:t xml:space="preserve">Restrictions on loans and advances — Sec 20-21</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20:</w:t>
      </w:r>
      <w:r>
        <w:rPr>
          <w:sz w:val="22"/>
          <w:szCs w:val="22"/>
          <w:rFonts w:ascii="Arial" w:cs="Arial" w:eastAsia="Arial" w:hAnsi="Arial"/>
        </w:rPr>
        <w:t xml:space="preserve"> no banking company shall (a) grant any loans or advances on the security of its own shares, or (b) enter into any commitment for granting any loan or advance to or on behalf of any of its directors, any firm in which a director is interested as partner, manager, employee or guarantor, any company (other than a subsidiary of the bank, or a Sec 25 company, or a Government company) of which a director is a director, managing agent, manager, employee or guarantor or in which he holds a substantial interest, or any individual in respect of whom a director is a partner or guarantor — a prohibition on connected lending that the 1968 amendment made absolute; where a loan already exists it must be recovered within the period the RBI fixes, and a director in default must vacate office (Sec 20(3)-(4)); the 2020 amendment of Sec 56 extends the prohibition to co-operative banks; the RBI's Master Direction on loans to directors and relatives (2016, 2021) adds relatives and senior officers. </w:t>
      </w:r>
      <w:r>
        <w:rPr>
          <w:b/>
          <w:bCs/>
          <w:sz w:val="22"/>
          <w:szCs w:val="22"/>
          <w:rFonts w:ascii="Arial" w:cs="Arial" w:eastAsia="Arial" w:hAnsi="Arial"/>
        </w:rPr>
        <w:t xml:space="preserve">Sec 20A:</w:t>
      </w:r>
      <w:r>
        <w:rPr>
          <w:sz w:val="22"/>
          <w:szCs w:val="22"/>
          <w:rFonts w:ascii="Arial" w:cs="Arial" w:eastAsia="Arial" w:hAnsi="Arial"/>
        </w:rPr>
        <w:t xml:space="preserve"> a banking company shall not remit any debt due from a director or a firm or company in which he is interested without the RBI's prior approval — a remission in contravention is void. </w:t>
      </w:r>
      <w:r>
        <w:rPr>
          <w:b/>
          <w:bCs/>
          <w:sz w:val="22"/>
          <w:szCs w:val="22"/>
          <w:rFonts w:ascii="Arial" w:cs="Arial" w:eastAsia="Arial" w:hAnsi="Arial"/>
        </w:rPr>
        <w:t xml:space="preserve">Sec 21 — the RBI's power to control advances:</w:t>
      </w:r>
      <w:r>
        <w:rPr>
          <w:sz w:val="22"/>
          <w:szCs w:val="22"/>
          <w:rFonts w:ascii="Arial" w:cs="Arial" w:eastAsia="Arial" w:hAnsi="Arial"/>
        </w:rPr>
        <w:t xml:space="preserve"> where the RBI is satisfied that it is necessary or expedient in the public interest or in the interests of depositors or banking policy so to do, it may determine the policy in relation to advances to be followed by banking companies generally or by any banking company in particular, and banks are bound to follow it; the RBI may give directions as to the purposes for which advances may or may not be made, the margins to be maintained in respect of secured advances, the maximum amount of advances to any one company, firm, association or individual (exposure norms — the Large Exposures Framework, twenty per cent of Tier-1 capital to a single borrower and twenty-five per cent to a group), the maximum guarantees on behalf of any one party, and the rate of interest and other terms — the statutory basis of </w:t>
      </w:r>
      <w:r>
        <w:rPr>
          <w:b/>
          <w:bCs/>
          <w:sz w:val="22"/>
          <w:szCs w:val="22"/>
          <w:rFonts w:ascii="Arial" w:cs="Arial" w:eastAsia="Arial" w:hAnsi="Arial"/>
        </w:rPr>
        <w:t xml:space="preserve">selective credit control</w:t>
      </w:r>
      <w:r>
        <w:rPr>
          <w:sz w:val="22"/>
          <w:szCs w:val="22"/>
          <w:rFonts w:ascii="Arial" w:cs="Arial" w:eastAsia="Arial" w:hAnsi="Arial"/>
        </w:rPr>
        <w:t xml:space="preserve"> (margins on advances against sensitive commodities), of priority-sector lending targets (forty per cent of adjusted net bank credit, with sub-targets for agriculture, micro enterprises and weaker sections), of the interest-rate regime (deregulated in 1994 and 2010 with the base rate, MCLR and external benchmark systems), and of the prudential norms on income recognition, asset classification and provisioning (the 'IRAC' norms since 1992 under the Narasimham Committee — a loan is a non-performing asset when interest or principal is overdue for ninety days). </w:t>
      </w:r>
      <w:r>
        <w:rPr>
          <w:b/>
          <w:bCs/>
          <w:sz w:val="22"/>
          <w:szCs w:val="22"/>
          <w:rFonts w:ascii="Arial" w:cs="Arial" w:eastAsia="Arial" w:hAnsi="Arial"/>
        </w:rPr>
        <w:t xml:space="preserve">Sec 21A (1984):</w:t>
      </w:r>
      <w:r>
        <w:rPr>
          <w:sz w:val="22"/>
          <w:szCs w:val="22"/>
          <w:rFonts w:ascii="Arial" w:cs="Arial" w:eastAsia="Arial" w:hAnsi="Arial"/>
        </w:rPr>
        <w:t xml:space="preserve"> rates of interest charged by banking companies are not subject to scrutiny by courts on the ground that they are excessive — the Usurious Loans Act and the State money-lending laws do not apply to banks (Central Bank of India v. Ravindra, 2001, upheld the section; the Supreme Court in Corporation Bank v. D.S. Gowda, 1994, held that a bank's rate contrary to the RBI's directive is not protected).</w:t>
      </w:r>
    </w:p>
    <w:p>
      <w:pPr>
        <w:spacing w:before="240" w:after="120"/>
      </w:pPr>
      <w:r>
        <w:rPr>
          <w:b/>
          <w:bCs/>
          <w:color w:val="404040"/>
          <w:sz w:val="23"/>
          <w:szCs w:val="23"/>
          <w:rFonts w:ascii="Arial" w:cs="Arial" w:eastAsia="Arial" w:hAnsi="Arial"/>
        </w:rPr>
        <w:t xml:space="preserve">Accounts, audit and the RBI's powers of supervision — Sec 29-36</w:t>
      </w:r>
    </w:p>
    <w:p>
      <w:pPr>
        <w:spacing w:after="120" w:line="300"/>
        <w:jc w:val="both"/>
      </w:pPr>
      <w:r>
        <w:rPr>
          <w:sz w:val="22"/>
          <w:szCs w:val="22"/>
          <w:rFonts w:ascii="Arial" w:cs="Arial" w:eastAsia="Arial" w:hAnsi="Arial"/>
        </w:rPr>
        <w:t xml:space="preserve">Every banking company must prepare a balance sheet and profit and loss account in the forms of the Third Schedule (Sec 29), audited by a person qualified under the Companies Act with the RBI's prior approval (Sec 30 — the RBI may also order a special audit, Sec 30(1B)), published and filed with the RBI (Sec 31-32); Sec 34A: production of documents of confidential nature not compellable before industrial tribunals. </w:t>
      </w:r>
      <w:r>
        <w:rPr>
          <w:b/>
          <w:bCs/>
          <w:sz w:val="22"/>
          <w:szCs w:val="22"/>
          <w:rFonts w:ascii="Arial" w:cs="Arial" w:eastAsia="Arial" w:hAnsi="Arial"/>
        </w:rPr>
        <w:t xml:space="preserve">Sec 35 — inspection:</w:t>
      </w:r>
      <w:r>
        <w:rPr>
          <w:sz w:val="22"/>
          <w:szCs w:val="22"/>
          <w:rFonts w:ascii="Arial" w:cs="Arial" w:eastAsia="Arial" w:hAnsi="Arial"/>
        </w:rPr>
        <w:t xml:space="preserve"> the RBI may at any time, and shall on the Central Government's direction, cause an inspection of any banking company and its books by its officers and report to the Central Government; the bank must produce books and furnish information; the Central Government, on considering the report, may prohibit the bank from receiving fresh deposits or direct the RBI to apply for winding up; the RBI's inspection is also a 'scrutiny' under Sec 35(1A); the Annual Financial Inspection and the Risk-Based Supervision framework rest on this section. </w:t>
      </w:r>
      <w:r>
        <w:rPr>
          <w:b/>
          <w:bCs/>
          <w:sz w:val="22"/>
          <w:szCs w:val="22"/>
          <w:rFonts w:ascii="Arial" w:cs="Arial" w:eastAsia="Arial" w:hAnsi="Arial"/>
        </w:rPr>
        <w:t xml:space="preserve">Sec 35A — power to give directions:</w:t>
      </w:r>
      <w:r>
        <w:rPr>
          <w:sz w:val="22"/>
          <w:szCs w:val="22"/>
          <w:rFonts w:ascii="Arial" w:cs="Arial" w:eastAsia="Arial" w:hAnsi="Arial"/>
        </w:rPr>
        <w:t xml:space="preserve"> where the RBI is satisfied that in the public interest, or in the interest of banking policy, or to prevent the affairs of any banking company being conducted in a manner detrimental to the interests of depositors or prejudicial to the interests of the banking company, or to secure the proper management of any banking company, it is necessary to issue directions, it may issue such directions as it deems fit and the banking companies are bound to comply — the widest power in the Act, the source of nearly every RBI circular and Master Direction, and of the 'prompt corrective action' framework (restrictions on branch expansion, dividends and lending for banks breaching capital, asset-quality or profitability thresholds) and of the PMC Bank and other 'all-inclusive directions' restricting withdrawals (Sec 35A directions may restrict a bank's business but cannot themselves impose a moratorium on depositors' claims — that needs Sec 45; the PMC directions in 2019 were upheld). </w:t>
      </w:r>
      <w:r>
        <w:rPr>
          <w:b/>
          <w:bCs/>
          <w:sz w:val="22"/>
          <w:szCs w:val="22"/>
          <w:rFonts w:ascii="Arial" w:cs="Arial" w:eastAsia="Arial" w:hAnsi="Arial"/>
        </w:rPr>
        <w:t xml:space="preserve">Sec 35AA-35AB (2017):</w:t>
      </w:r>
      <w:r>
        <w:rPr>
          <w:sz w:val="22"/>
          <w:szCs w:val="22"/>
          <w:rFonts w:ascii="Arial" w:cs="Arial" w:eastAsia="Arial" w:hAnsi="Arial"/>
        </w:rPr>
        <w:t xml:space="preserve"> the Central Government may authorise the RBI to issue directions to any banking company to initiate the insolvency resolution process under the Insolvency and Bankruptcy Code in respect of a default, and the RBI may issue directions for resolution of stressed assets and specify authorities or committees to advise banks — the basis of the 2017 'twelve large accounts' referrals and of the 12 February 2018 circular on resolution of stressed assets, which the Supreme Court struck down in Dharani Sugars and Chemicals v. Union of India (2019) as ultra vires Sec 35AA because it was a generic direction not specific to a default — replaced by the June 2019 Prudential Framework. </w:t>
      </w:r>
      <w:r>
        <w:rPr>
          <w:b/>
          <w:bCs/>
          <w:sz w:val="22"/>
          <w:szCs w:val="22"/>
          <w:rFonts w:ascii="Arial" w:cs="Arial" w:eastAsia="Arial" w:hAnsi="Arial"/>
        </w:rPr>
        <w:t xml:space="preserve">Sec 35B:</w:t>
      </w:r>
      <w:r>
        <w:rPr>
          <w:sz w:val="22"/>
          <w:szCs w:val="22"/>
          <w:rFonts w:ascii="Arial" w:cs="Arial" w:eastAsia="Arial" w:hAnsi="Arial"/>
        </w:rPr>
        <w:t xml:space="preserve"> amendments to the terms of appointment of chairmen, managing directors and directors require the RBI's approval. </w:t>
      </w:r>
      <w:r>
        <w:rPr>
          <w:b/>
          <w:bCs/>
          <w:sz w:val="22"/>
          <w:szCs w:val="22"/>
          <w:rFonts w:ascii="Arial" w:cs="Arial" w:eastAsia="Arial" w:hAnsi="Arial"/>
        </w:rPr>
        <w:t xml:space="preserve">Sec 36:</w:t>
      </w:r>
      <w:r>
        <w:rPr>
          <w:sz w:val="22"/>
          <w:szCs w:val="22"/>
          <w:rFonts w:ascii="Arial" w:cs="Arial" w:eastAsia="Arial" w:hAnsi="Arial"/>
        </w:rPr>
        <w:t xml:space="preserve"> further powers — to caution or prohibit banks against particular transactions, to assist in amalgamation, to give assistance by loans, to call for a meeting of the directors, to depute officers to watch the proceedings of the board, to appoint observers, to require the bank to make changes in management. </w:t>
      </w:r>
      <w:r>
        <w:rPr>
          <w:b/>
          <w:bCs/>
          <w:sz w:val="22"/>
          <w:szCs w:val="22"/>
          <w:rFonts w:ascii="Arial" w:cs="Arial" w:eastAsia="Arial" w:hAnsi="Arial"/>
        </w:rPr>
        <w:t xml:space="preserve">Sec 36AA — removal of managerial and other persons:</w:t>
      </w:r>
      <w:r>
        <w:rPr>
          <w:sz w:val="22"/>
          <w:szCs w:val="22"/>
          <w:rFonts w:ascii="Arial" w:cs="Arial" w:eastAsia="Arial" w:hAnsi="Arial"/>
        </w:rPr>
        <w:t xml:space="preserve"> where the RBI is satisfied that in the public interest or for preventing the affairs of a banking company being conducted in a manner detrimental to the interests of the depositors or for securing the proper management of any banking company it is necessary so to do, it may, for reasons recorded in writing, by order, remove from office any chairman, director, chief executive officer or other officer or employee, after a hearing (the removal of Yes Bank's Rana Kapoor in 2018 was by refusing to extend his term under Sec 35B; Sec 36AA was used against the chairman of Global Trust Bank); Sec 36AB: the RBI may appoint additional directors; Sec 36AC: these Parts override other laws. </w:t>
      </w:r>
      <w:r>
        <w:rPr>
          <w:b/>
          <w:bCs/>
          <w:sz w:val="22"/>
          <w:szCs w:val="22"/>
          <w:rFonts w:ascii="Arial" w:cs="Arial" w:eastAsia="Arial" w:hAnsi="Arial"/>
        </w:rPr>
        <w:t xml:space="preserve">Sec 36ACA (2007) — supersession of the board:</w:t>
      </w:r>
      <w:r>
        <w:rPr>
          <w:sz w:val="22"/>
          <w:szCs w:val="22"/>
          <w:rFonts w:ascii="Arial" w:cs="Arial" w:eastAsia="Arial" w:hAnsi="Arial"/>
        </w:rPr>
        <w:t xml:space="preserve"> where the RBI is satisfied, in consultation with the Central Government, that in the public interest or for preventing the affairs of any banking company being conducted in a manner detrimental to the interest of the depositors or any banking company or for securing the proper management of any banking company it is necessary so to do, it may supersede the board for up to six months (extendable to twelve) and appoint an administrator — used for Yes Bank (2020), Lakshmi Vilas Bank (2020, with Sec 45), and, under Sec 56, for numerous urban co-operative banks. </w:t>
      </w:r>
      <w:r>
        <w:rPr>
          <w:b/>
          <w:bCs/>
          <w:sz w:val="22"/>
          <w:szCs w:val="22"/>
          <w:rFonts w:ascii="Arial" w:cs="Arial" w:eastAsia="Arial" w:hAnsi="Arial"/>
        </w:rPr>
        <w:t xml:space="preserve">Sec 36AD:</w:t>
      </w:r>
      <w:r>
        <w:rPr>
          <w:sz w:val="22"/>
          <w:szCs w:val="22"/>
          <w:rFonts w:ascii="Arial" w:cs="Arial" w:eastAsia="Arial" w:hAnsi="Arial"/>
        </w:rPr>
        <w:t xml:space="preserve"> punishment for obstructing a person from entering a bank or holding a demonstration in it. </w:t>
      </w:r>
      <w:r>
        <w:rPr>
          <w:b/>
          <w:bCs/>
          <w:sz w:val="22"/>
          <w:szCs w:val="22"/>
          <w:rFonts w:ascii="Arial" w:cs="Arial" w:eastAsia="Arial" w:hAnsi="Arial"/>
        </w:rPr>
        <w:t xml:space="preserve">Sec 36AE-36AJ:</w:t>
      </w:r>
      <w:r>
        <w:rPr>
          <w:sz w:val="22"/>
          <w:szCs w:val="22"/>
          <w:rFonts w:ascii="Arial" w:cs="Arial" w:eastAsia="Arial" w:hAnsi="Arial"/>
        </w:rPr>
        <w:t xml:space="preserve"> the Central Government may acquire the undertakings of banking companies on the RBI's report — the mechanism used before the 1969 nationalisation.</w:t>
      </w:r>
    </w:p>
    <w:p>
      <w:pPr>
        <w:spacing w:before="240" w:after="120"/>
      </w:pPr>
      <w:r>
        <w:rPr>
          <w:b/>
          <w:bCs/>
          <w:color w:val="404040"/>
          <w:sz w:val="23"/>
          <w:szCs w:val="23"/>
          <w:rFonts w:ascii="Arial" w:cs="Arial" w:eastAsia="Arial" w:hAnsi="Arial"/>
        </w:rPr>
        <w:t xml:space="preserve">Moratorium, amalgamation and winding up — Sec 36B-45</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44A — voluntary amalgamation:</w:t>
      </w:r>
      <w:r>
        <w:rPr>
          <w:sz w:val="22"/>
          <w:szCs w:val="22"/>
          <w:rFonts w:ascii="Arial" w:cs="Arial" w:eastAsia="Arial" w:hAnsi="Arial"/>
        </w:rPr>
        <w:t xml:space="preserve"> a scheme of amalgamation of two banking companies must be approved by two-thirds in value of the shareholders of each, and sanctioned by the RBI, whose sanction is conclusive; dissenting shareholders get the value determined by the RBI; the 2004 HDFC Bank-Centurion and later mergers used this route. </w:t>
      </w:r>
      <w:r>
        <w:rPr>
          <w:b/>
          <w:bCs/>
          <w:sz w:val="22"/>
          <w:szCs w:val="22"/>
          <w:rFonts w:ascii="Arial" w:cs="Arial" w:eastAsia="Arial" w:hAnsi="Arial"/>
        </w:rPr>
        <w:t xml:space="preserve">Sec 45 — power of the RBI to apply to the Central Government for suspension of business and to prepare a scheme of reconstruction or amalgamation:</w:t>
      </w:r>
      <w:r>
        <w:rPr>
          <w:sz w:val="22"/>
          <w:szCs w:val="22"/>
          <w:rFonts w:ascii="Arial" w:cs="Arial" w:eastAsia="Arial" w:hAnsi="Arial"/>
        </w:rPr>
        <w:t xml:space="preserve"> where it appears to the RBI that there is good reason so to do, it may apply to the Central Government for an order of </w:t>
      </w:r>
      <w:r>
        <w:rPr>
          <w:b/>
          <w:bCs/>
          <w:sz w:val="22"/>
          <w:szCs w:val="22"/>
          <w:rFonts w:ascii="Arial" w:cs="Arial" w:eastAsia="Arial" w:hAnsi="Arial"/>
        </w:rPr>
        <w:t xml:space="preserve">moratorium</w:t>
      </w:r>
      <w:r>
        <w:rPr>
          <w:sz w:val="22"/>
          <w:szCs w:val="22"/>
          <w:rFonts w:ascii="Arial" w:cs="Arial" w:eastAsia="Arial" w:hAnsi="Arial"/>
        </w:rPr>
        <w:t xml:space="preserve"> in respect of a banking company; the Central Government, after considering the application, may make an order staying the commencement or continuance of all actions and proceedings against the company for a period up to six months (Sec 45(2)-(3)); during the moratorium the RBI may, if satisfied that in the public interest, or in the interests of the depositors, or to secure the proper management of the company, or in the interests of the banking system, it is necessary, prepare a </w:t>
      </w:r>
      <w:r>
        <w:rPr>
          <w:b/>
          <w:bCs/>
          <w:sz w:val="22"/>
          <w:szCs w:val="22"/>
          <w:rFonts w:ascii="Arial" w:cs="Arial" w:eastAsia="Arial" w:hAnsi="Arial"/>
        </w:rPr>
        <w:t xml:space="preserve">scheme</w:t>
      </w:r>
      <w:r>
        <w:rPr>
          <w:sz w:val="22"/>
          <w:szCs w:val="22"/>
          <w:rFonts w:ascii="Arial" w:cs="Arial" w:eastAsia="Arial" w:hAnsi="Arial"/>
        </w:rPr>
        <w:t xml:space="preserve"> for the reconstruction of the company or for its amalgamation with any other banking institution (the 'transferee bank'); the scheme may provide for the constitution, name, capital, board and business of the reconstructed or transferee bank, the alteration of the memorandum and articles, the continuation of contracts and proceedings, the reduction of the interest or rights of members, depositors and creditors, the allotment of shares, the continuance of employees, and 'such incidental, consequential and supplemental matters as are necessary to secure that the reconstruction or amalgamation shall be fully and effectively carried out' (Sec 45(5)); the scheme is sent to the company, the transferee bank and any other affected bank for suggestions within a period the RBI fixes, and then to the Central Government, which may sanction it with or without modifications; the sanctioned scheme is binding on the company, the transferee bank, their members, depositors and creditors and employees (Sec 45(7)-(8)); the Central Government may add to, amend or vary the scheme (Sec 45(11)); and a copy is laid before Parliament. The moratorium under Sec 45 is the only lawful way to stop depositors' withdrawals; the Yes Bank moratorium (5-18 March 2020), the Lakshmi Vilas Bank moratorium and amalgamation with DBS Bank India (November 2020), the Global Trust Bank amalgamation with Oriental Bank of Commerce (2004), the United Western Bank with IDBI (2006), and the Bank of Rajasthan? — that was Sec 44A — are examples; the Supreme Court in Bank of Baroda? — the Bombay High Court in the Yes Bank AT-1 case (Axis Trustee Services v. Union of India, 2023) held that the write-off of AT-1 bonds was not part of the final scheme as sanctioned and set it aside, an appeal being pending. </w:t>
      </w:r>
      <w:r>
        <w:rPr>
          <w:b/>
          <w:bCs/>
          <w:sz w:val="22"/>
          <w:szCs w:val="22"/>
          <w:rFonts w:ascii="Arial" w:cs="Arial" w:eastAsia="Arial" w:hAnsi="Arial"/>
        </w:rPr>
        <w:t xml:space="preserve">Sec 36B-36D:</w:t>
      </w:r>
      <w:r>
        <w:rPr>
          <w:sz w:val="22"/>
          <w:szCs w:val="22"/>
          <w:rFonts w:ascii="Arial" w:cs="Arial" w:eastAsia="Arial" w:hAnsi="Arial"/>
        </w:rPr>
        <w:t xml:space="preserve"> suspension of business and winding up by the High Court on the RBI's application where the company cannot pay its debts or its continuance is prejudicial to depositors; </w:t>
      </w:r>
      <w:r>
        <w:rPr>
          <w:b/>
          <w:bCs/>
          <w:sz w:val="22"/>
          <w:szCs w:val="22"/>
          <w:rFonts w:ascii="Arial" w:cs="Arial" w:eastAsia="Arial" w:hAnsi="Arial"/>
        </w:rPr>
        <w:t xml:space="preserve">Sec 38:</w:t>
      </w:r>
      <w:r>
        <w:rPr>
          <w:sz w:val="22"/>
          <w:szCs w:val="22"/>
          <w:rFonts w:ascii="Arial" w:cs="Arial" w:eastAsia="Arial" w:hAnsi="Arial"/>
        </w:rPr>
        <w:t xml:space="preserve"> the High Court shall order the winding up of a banking company if it is unable to pay its debts or if the RBI applies on the ground that the company has failed to comply with Sec 11 requirements, has become disentitled to carry on business, has been prohibited from receiving fresh deposits, or its continuance is prejudicial to depositors; </w:t>
      </w:r>
      <w:r>
        <w:rPr>
          <w:b/>
          <w:bCs/>
          <w:sz w:val="22"/>
          <w:szCs w:val="22"/>
          <w:rFonts w:ascii="Arial" w:cs="Arial" w:eastAsia="Arial" w:hAnsi="Arial"/>
        </w:rPr>
        <w:t xml:space="preserve">Sec 39:</w:t>
      </w:r>
      <w:r>
        <w:rPr>
          <w:sz w:val="22"/>
          <w:szCs w:val="22"/>
          <w:rFonts w:ascii="Arial" w:cs="Arial" w:eastAsia="Arial" w:hAnsi="Arial"/>
        </w:rPr>
        <w:t xml:space="preserve"> the RBI is the official liquidator; </w:t>
      </w:r>
      <w:r>
        <w:rPr>
          <w:b/>
          <w:bCs/>
          <w:sz w:val="22"/>
          <w:szCs w:val="22"/>
          <w:rFonts w:ascii="Arial" w:cs="Arial" w:eastAsia="Arial" w:hAnsi="Arial"/>
        </w:rPr>
        <w:t xml:space="preserve">Sec 43A:</w:t>
      </w:r>
      <w:r>
        <w:rPr>
          <w:sz w:val="22"/>
          <w:szCs w:val="22"/>
          <w:rFonts w:ascii="Arial" w:cs="Arial" w:eastAsia="Arial" w:hAnsi="Arial"/>
        </w:rPr>
        <w:t xml:space="preserve"> preferential payments to small depositors (now overtaken by DICGC insurance); </w:t>
      </w:r>
      <w:r>
        <w:rPr>
          <w:b/>
          <w:bCs/>
          <w:sz w:val="22"/>
          <w:szCs w:val="22"/>
          <w:rFonts w:ascii="Arial" w:cs="Arial" w:eastAsia="Arial" w:hAnsi="Arial"/>
        </w:rPr>
        <w:t xml:space="preserve">Sec 44:</w:t>
      </w:r>
      <w:r>
        <w:rPr>
          <w:sz w:val="22"/>
          <w:szCs w:val="22"/>
          <w:rFonts w:ascii="Arial" w:cs="Arial" w:eastAsia="Arial" w:hAnsi="Arial"/>
        </w:rPr>
        <w:t xml:space="preserve"> voluntary winding up only with the RBI's certificate; Part IIIA gives the High Court special powers for speedy disposal, and the DICGC pays insured deposits within ninety days of the RBI's directions (the 2021 DICGC amendment). Failed banks in India are almost always resolved by amalgamation, not liquidation — the depositors are protected but the shareholders lose; the Financial Resolution and Deposit Insurance Bill 2017, with its 'bail-in' clause, was withdrawn in 2018 after public alarm.</w:t>
      </w:r>
    </w:p>
    <w:p>
      <w:pPr>
        <w:spacing w:before="240" w:after="120"/>
      </w:pPr>
      <w:r>
        <w:rPr>
          <w:b/>
          <w:bCs/>
          <w:color w:val="404040"/>
          <w:sz w:val="23"/>
          <w:szCs w:val="23"/>
          <w:rFonts w:ascii="Arial" w:cs="Arial" w:eastAsia="Arial" w:hAnsi="Arial"/>
        </w:rPr>
        <w:t xml:space="preserve">The Central Government's powers, penalties and co-operative banks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Central Government:</w:t>
      </w:r>
      <w:r>
        <w:rPr>
          <w:sz w:val="22"/>
          <w:szCs w:val="22"/>
          <w:rFonts w:ascii="Arial" w:cs="Arial" w:eastAsia="Arial" w:hAnsi="Arial"/>
        </w:rPr>
        <w:t xml:space="preserve"> hears appeals from the RBI's refusal or cancellation of licences (Sec 22(5)) and branch permissions; directs inspections and acts on inspection reports (Sec 35(4)); orders moratoria and sanctions schemes (Sec 45); approves amalgamations of nationalised banks under the 1970 and 1980 Acts (the 2019-2020 consolidation of ten public sector banks into four); frames rules (Sec 52); may exempt any banking company from any provision on the RBI's recommendation (Sec 53); may acquire undertakings (Sec 36AE); and appoints the directors of nationalised banks and the RBI's Governor (RBI Act Sec 8). The RBI has recommended that the Sec 45 moratorium power be transferred to itself and that its powers over public sector banks be brought level with those over private banks (the Sec 51 modifications exempt nationalised banks from Sec 10, 10A, 10B, 12, 13, 36AA and 36ACA — the RBI cannot remove or supersede the board of a public sector bank, whose directors are appointed by the Government; the Supreme Court has taken note of this asymmetry). </w:t>
      </w:r>
      <w:r>
        <w:rPr>
          <w:b/>
          <w:bCs/>
          <w:sz w:val="22"/>
          <w:szCs w:val="22"/>
          <w:rFonts w:ascii="Arial" w:cs="Arial" w:eastAsia="Arial" w:hAnsi="Arial"/>
        </w:rPr>
        <w:t xml:space="preserve">Penalties:</w:t>
      </w:r>
      <w:r>
        <w:rPr>
          <w:sz w:val="22"/>
          <w:szCs w:val="22"/>
          <w:rFonts w:ascii="Arial" w:cs="Arial" w:eastAsia="Arial" w:hAnsi="Arial"/>
        </w:rPr>
        <w:t xml:space="preserve"> Sec 46 — false statements, non-compliance with the RBI's directions, accepting deposits in contravention, with imprisonment up to three years and fines; Sec 47A — the RBI may impose penalties on banks (up to one crore rupees or twice the amount involved) for contraventions, after a hearing, and publishes the orders — the source of the periodic penalty orders against banks for KYC and other lapses; Sec 48 — application of fines; Sec 49 — special provisions for private banking companies; Sec 49A — restriction on acceptance of deposits withdrawable by cheque (only banking companies, the RBI, the SBI and other notified institutions may accept such deposits — the section that separates banks from NBFCs). </w:t>
      </w:r>
      <w:r>
        <w:rPr>
          <w:b/>
          <w:bCs/>
          <w:sz w:val="22"/>
          <w:szCs w:val="22"/>
          <w:rFonts w:ascii="Arial" w:cs="Arial" w:eastAsia="Arial" w:hAnsi="Arial"/>
        </w:rPr>
        <w:t xml:space="preserve">Co-operative banks — Sec 56 as amended in 2020:</w:t>
      </w:r>
      <w:r>
        <w:rPr>
          <w:sz w:val="22"/>
          <w:szCs w:val="22"/>
          <w:rFonts w:ascii="Arial" w:cs="Arial" w:eastAsia="Arial" w:hAnsi="Arial"/>
        </w:rPr>
        <w:t xml:space="preserve"> the Banking Regulation (Amendment) Act 2020 (after the Punjab and Maharashtra Co-operative Bank fraud of 2019 in which depositors were locked out for years) extends to co-operative banks the provisions on management (Sec 10, 10A, 10B, 10C), the RBI's power to supersede boards (Sec 36AAA), the RBI's approval for the appointment of chief executives, the power to issue capital, and the reconstruction and amalgamation powers under Sec 45 without a moratorium — while preserving the State Registrars' powers over the co-operative aspects; the amendment does not apply to primary agricultural credit societies. The Supreme Court in Pandurang Ganpati Chaugule v. Vishwasrao Patil Murgud Sahakari Bank (2020) held that co-operative banks are 'banks' for the SARFAESI Act.</w:t>
      </w:r>
    </w:p>
    <w:p>
      <w:pPr>
        <w:pBdr>
          <w:left w:val="single" w:color="CC0000" w:sz="6" w:space="8"/>
        </w:pBdr>
        <w:spacing w:before="80" w:after="80"/>
        <w:ind w:left="300"/>
      </w:pPr>
      <w:r>
        <w:rPr>
          <w:b/>
          <w:bCs/>
          <w:color w:val="CC0000"/>
          <w:sz w:val="21"/>
          <w:szCs w:val="21"/>
          <w:rFonts w:ascii="Arial" w:cs="Arial" w:eastAsia="Arial" w:hAnsi="Arial"/>
        </w:rPr>
        <w:t xml:space="preserve">Dharani Sugars and Chemicals Ltd. v. Union of India (2019) 5 SCC 480 — </w:t>
      </w:r>
      <w:r>
        <w:rPr>
          <w:sz w:val="21"/>
          <w:szCs w:val="21"/>
          <w:rFonts w:ascii="Arial" w:cs="Arial" w:eastAsia="Arial" w:hAnsi="Arial"/>
        </w:rPr>
        <w:t xml:space="preserve">The RBI's 12 February 2018 circular directing banks to refer all large defaulters to insolvency was ultra vires Sec 35AA because the section permits directions only in respect of specific defaults with the Central Government's authorisation; the RBI reframed the framework in June 2019.</w:t>
      </w:r>
    </w:p>
    <w:p>
      <w:pPr>
        <w:pBdr>
          <w:left w:val="single" w:color="CC0000" w:sz="6" w:space="8"/>
        </w:pBdr>
        <w:spacing w:before="80" w:after="80"/>
        <w:ind w:left="300"/>
      </w:pPr>
      <w:r>
        <w:rPr>
          <w:b/>
          <w:bCs/>
          <w:color w:val="CC0000"/>
          <w:sz w:val="21"/>
          <w:szCs w:val="21"/>
          <w:rFonts w:ascii="Arial" w:cs="Arial" w:eastAsia="Arial" w:hAnsi="Arial"/>
        </w:rPr>
        <w:t xml:space="preserve">Central Bank of India v. Ravindra (2002) 1 SCC 367 — </w:t>
      </w:r>
      <w:r>
        <w:rPr>
          <w:sz w:val="21"/>
          <w:szCs w:val="21"/>
          <w:rFonts w:ascii="Arial" w:cs="Arial" w:eastAsia="Arial" w:hAnsi="Arial"/>
        </w:rPr>
        <w:t xml:space="preserve">Sec 21A of the Banking Regulation Act bars courts from reopening interest rates charged by banks as excessive; capitalisation of interest at rests is permissible by agreement or usage, but a court awarding interest pendente lite under Sec 34 CPC cannot award interest on the capitalised amount beyond what the contract allows.</w:t>
      </w:r>
    </w:p>
    <w:p>
      <w:pPr>
        <w:pBdr>
          <w:left w:val="single" w:color="CC0000" w:sz="6" w:space="8"/>
        </w:pBdr>
        <w:spacing w:before="80" w:after="80"/>
        <w:ind w:left="300"/>
      </w:pPr>
      <w:r>
        <w:rPr>
          <w:b/>
          <w:bCs/>
          <w:color w:val="CC0000"/>
          <w:sz w:val="21"/>
          <w:szCs w:val="21"/>
          <w:rFonts w:ascii="Arial" w:cs="Arial" w:eastAsia="Arial" w:hAnsi="Arial"/>
        </w:rPr>
        <w:t xml:space="preserve">Corporation Bank v. D.S. Gowda (1994) 5 SCC 213 — </w:t>
      </w:r>
      <w:r>
        <w:rPr>
          <w:sz w:val="21"/>
          <w:szCs w:val="21"/>
          <w:rFonts w:ascii="Arial" w:cs="Arial" w:eastAsia="Arial" w:hAnsi="Arial"/>
        </w:rPr>
        <w:t xml:space="preserve">A bank charging interest above the RBI's directives under Sec 21 acts contrary to the statutory policy and is not protected by Sec 21A; the RBI's directions on interest are binding and enforceable.</w:t>
      </w:r>
    </w:p>
    <w:p>
      <w:pPr>
        <w:pBdr>
          <w:left w:val="single" w:color="CC0000" w:sz="6" w:space="8"/>
        </w:pBdr>
        <w:spacing w:before="80" w:after="80"/>
        <w:ind w:left="300"/>
      </w:pPr>
      <w:r>
        <w:rPr>
          <w:b/>
          <w:bCs/>
          <w:color w:val="CC0000"/>
          <w:sz w:val="21"/>
          <w:szCs w:val="21"/>
          <w:rFonts w:ascii="Arial" w:cs="Arial" w:eastAsia="Arial" w:hAnsi="Arial"/>
        </w:rPr>
        <w:t xml:space="preserve">Pandurang Ganpati Chaugule v. Vishwasrao Patil Murgud Sahakari Bank Ltd. (2020) 9 SCC 215 — </w:t>
      </w:r>
      <w:r>
        <w:rPr>
          <w:sz w:val="21"/>
          <w:szCs w:val="21"/>
          <w:rFonts w:ascii="Arial" w:cs="Arial" w:eastAsia="Arial" w:hAnsi="Arial"/>
        </w:rPr>
        <w:t xml:space="preserve">Co-operative banks carrying on banking are 'banks' within the SARFAESI Act and Parliament has legislative competence over their banking activity under Entry 45 of the Union List; the State's competence is confined to their incorporation and management as co-operatives.</w:t>
      </w:r>
    </w:p>
    <w:p>
      <w:pPr>
        <w:pBdr>
          <w:left w:val="single" w:color="CC0000" w:sz="6" w:space="8"/>
        </w:pBdr>
        <w:spacing w:before="80" w:after="80"/>
        <w:ind w:left="300"/>
      </w:pPr>
      <w:r>
        <w:rPr>
          <w:b/>
          <w:bCs/>
          <w:color w:val="CC0000"/>
          <w:sz w:val="21"/>
          <w:szCs w:val="21"/>
          <w:rFonts w:ascii="Arial" w:cs="Arial" w:eastAsia="Arial" w:hAnsi="Arial"/>
        </w:rPr>
        <w:t xml:space="preserve">Axis Trustee Services Ltd. v. Union of India (Bombay HC, 2023) — </w:t>
      </w:r>
      <w:r>
        <w:rPr>
          <w:sz w:val="21"/>
          <w:szCs w:val="21"/>
          <w:rFonts w:ascii="Arial" w:cs="Arial" w:eastAsia="Arial" w:hAnsi="Arial"/>
        </w:rPr>
        <w:t xml:space="preserve">The write-off of Yes Bank's AT-1 bonds by the administrator was not part of the final reconstruction scheme sanctioned under Sec 45 and was set aside; the Supreme Court has stayed the order pending appeal — the case on the limits of scheme-making power.</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Supervision is now data-driven: banks file returns electronically through the RBI's CIMS and DAKSH portals under Sec 27 and 35, the RBI's 2023 direction requires banks to report cyber incidents within six hours, and the Sec 35A power has produced the Master Directions on digital lending (2022), on outsourcing of IT services (2023), and on customer-protection for electronic transactions (2017). Payments banks and small finance banks licensed under Sec 22 in 2015 are 'differentiated' banks that operate largely through apps and agents. The Sec 45 moratorium on Yes Bank was announced after market hours and lifted by a scheme notified within eight days — a timeline possible only with electronic transfer of accounts and core banking systems. Co-operative banks brought under Sec 56 in 2020 are being connected to the RBI's supervisory data systems, which is the practical meaning of the amendment.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'Banking company', 'Sec 22 licence', 'SLR under Sec 24', 'Sec 20 restrictions on loans to directors', 'Sec 35A directions', 'Sec 36AA', 'Moratorium under Sec 45', 'Sec 45ZA nomination', 'Sec 21A'. Part B: 'Discuss the general and specific powers of the RBI and the Central Government under the Banking Regulation Act to control banking companies' — licensing (22-23), capital and reserves (11-24), advances (20-21), inspection and directions (35-35A), management (35B, 36, 36AA, 36ACA), moratorium and scheme (45), penalties (46-47A), with Yes Bank and Dharani Sugars; or 'What restrictions does the Act impose on loans and advances by banking companies?'. Part C: a bank lends to a firm in which its director is a partner — Sec 20(1)(b), prohibited, director must vacate on default; the RBI directs a bank to stop withdrawals above one lakh rupees under Sec 35A — restriction on business is permissible but a moratorium on deposits needs Sec 45 (the PMC controversy); a co-operative bank's chairman refuses to obey an RBI direction citing the State Co-operative Act — after the 2020 amendment the RBI's direction under Sec 56 prevails.</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10 — The Bank of Banks: Demonetisation and the Reserve Bank of India Act</w:t>
      </w:r>
    </w:p>
    <w:p>
      <w:pPr>
        <w:pStyle w:val="Heading2"/>
        <w:spacing w:before="360" w:after="160"/>
      </w:pPr>
      <w:r>
        <w:rPr>
          <w:b/>
          <w:bCs/>
          <w:color w:val="2E75B6"/>
          <w:sz w:val="26"/>
          <w:szCs w:val="26"/>
          <w:rFonts w:ascii="Arial" w:cs="Arial" w:eastAsia="Arial" w:hAnsi="Arial"/>
        </w:rPr>
        <w:t xml:space="preserve">Covers: The Reserve Bank of India Act 1934 — constitution and management · Issue of currency (Sec 22-28) and the demonetisation case · Banker to the Government (Sec 20-21A) · Bankers' bank and lender of last resort (Sec 17, 42) · Monetary policy and the Monetary Policy Committee (Sec 45ZA-45ZO) · Regulation of NBFCs and credit information (Sec 45I-45MC, 45N) · The promotional and developmental role (Sec 54) · RBI and commercial banks</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New Delhi, 8 November 2016, eight o'clock in the evening. The Prime Minister announces on television that from midnight the five-hundred and one-thousand rupee notes — eighty-six per cent of the currency in circulation by value — will cease to be legal tender. The legal instrument is a notification issued that afternoon by the Central Government under Section 26(2) of the Reserve Bank of India Act, on the recommendation of the Reserve Bank's Central Board, which had met the same day. For fifty-two days people queued outside banks to exchange and deposit fifteen lakh crore rupees of notes; the Reserve Bank issued a hundred circulars. Fifty-eight petitions reached the Supreme Court. In January 2023 a Constitution Bench, by four to one, upheld the exercise: Section 26(2) permits the Government to demonetise 'any series' of notes, which includes all series of a denomination; the recommendation of the Central Board was a sufficient safeguard, and the Board had been consulted for six months; the decision satisfied the test of proportionality because it pursued the legitimate objects of curbing black money, counterfeiting and terror financing; and the fifty-two-day window was not unreasonable. Justice Nagarathna dissented: the power to demonetise all notes of a denomination lay with Parliament by legislation, as in 1946 and 1978, and the process had been initiated by the Government, not the Bank. The case put the Reserve Bank's oldest function — the issue of currency — under the constitutional microscope, and it is the door to the Act that created the Bank in 1934: its constitution, its monopoly of note issue, its role as the Government's banker and the bankers' bank, its command of monetary policy, its regulation of non-bank finance, and the developmental role it took on after Independence.</w:t>
      </w:r>
    </w:p>
    <w:p>
      <w:pPr>
        <w:spacing w:before="240" w:after="120"/>
      </w:pPr>
      <w:r>
        <w:rPr>
          <w:b/>
          <w:bCs/>
          <w:color w:val="404040"/>
          <w:sz w:val="23"/>
          <w:szCs w:val="23"/>
          <w:rFonts w:ascii="Arial" w:cs="Arial" w:eastAsia="Arial" w:hAnsi="Arial"/>
        </w:rPr>
        <w:t xml:space="preserve">Constitution and management</w:t>
      </w:r>
    </w:p>
    <w:p>
      <w:pPr>
        <w:spacing w:after="120" w:line="300"/>
        <w:jc w:val="both"/>
      </w:pPr>
      <w:r>
        <w:rPr>
          <w:sz w:val="22"/>
          <w:szCs w:val="22"/>
          <w:rFonts w:ascii="Arial" w:cs="Arial" w:eastAsia="Arial" w:hAnsi="Arial"/>
        </w:rPr>
        <w:t xml:space="preserve">The Reserve Bank of India was established under the Reserve Bank of India Act, 1934 (Act II of 1934), on the recommendation of the Hilton Young Commission (1926), and began operations on 1 April 1935 as a shareholders' bank; it was </w:t>
      </w:r>
      <w:r>
        <w:rPr>
          <w:b/>
          <w:bCs/>
          <w:sz w:val="22"/>
          <w:szCs w:val="22"/>
          <w:rFonts w:ascii="Arial" w:cs="Arial" w:eastAsia="Arial" w:hAnsi="Arial"/>
        </w:rPr>
        <w:t xml:space="preserve">nationalised</w:t>
      </w:r>
      <w:r>
        <w:rPr>
          <w:sz w:val="22"/>
          <w:szCs w:val="22"/>
          <w:rFonts w:ascii="Arial" w:cs="Arial" w:eastAsia="Arial" w:hAnsi="Arial"/>
        </w:rPr>
        <w:t xml:space="preserve"> by the Reserve Bank (Transfer to Public Ownership) Act 1948 with effect from 1 January 1949. </w:t>
      </w:r>
      <w:r>
        <w:rPr>
          <w:b/>
          <w:bCs/>
          <w:sz w:val="22"/>
          <w:szCs w:val="22"/>
          <w:rFonts w:ascii="Arial" w:cs="Arial" w:eastAsia="Arial" w:hAnsi="Arial"/>
        </w:rPr>
        <w:t xml:space="preserve">Sec 3:</w:t>
      </w:r>
      <w:r>
        <w:rPr>
          <w:sz w:val="22"/>
          <w:szCs w:val="22"/>
          <w:rFonts w:ascii="Arial" w:cs="Arial" w:eastAsia="Arial" w:hAnsi="Arial"/>
        </w:rPr>
        <w:t xml:space="preserve"> the Bank is a body corporate with perpetual succession; </w:t>
      </w:r>
      <w:r>
        <w:rPr>
          <w:b/>
          <w:bCs/>
          <w:sz w:val="22"/>
          <w:szCs w:val="22"/>
          <w:rFonts w:ascii="Arial" w:cs="Arial" w:eastAsia="Arial" w:hAnsi="Arial"/>
        </w:rPr>
        <w:t xml:space="preserve">Sec 4:</w:t>
      </w:r>
      <w:r>
        <w:rPr>
          <w:sz w:val="22"/>
          <w:szCs w:val="22"/>
          <w:rFonts w:ascii="Arial" w:cs="Arial" w:eastAsia="Arial" w:hAnsi="Arial"/>
        </w:rPr>
        <w:t xml:space="preserve"> capital of five crore rupees, wholly held by the Central Government; </w:t>
      </w:r>
      <w:r>
        <w:rPr>
          <w:b/>
          <w:bCs/>
          <w:sz w:val="22"/>
          <w:szCs w:val="22"/>
          <w:rFonts w:ascii="Arial" w:cs="Arial" w:eastAsia="Arial" w:hAnsi="Arial"/>
        </w:rPr>
        <w:t xml:space="preserve">Sec 6-7:</w:t>
      </w:r>
      <w:r>
        <w:rPr>
          <w:sz w:val="22"/>
          <w:szCs w:val="22"/>
          <w:rFonts w:ascii="Arial" w:cs="Arial" w:eastAsia="Arial" w:hAnsi="Arial"/>
        </w:rPr>
        <w:t xml:space="preserve"> offices and branches; the Central Government may give directions to the Bank in the public interest after consultation with the Governor (Sec 7(1)) — a power never formally used, though its invocation was threatened in 2018 during the dispute over the Bank's reserves and its prompt corrective action framework, which ended with the Governor's resignation and the Jalan Committee on the economic capital framework; </w:t>
      </w:r>
      <w:r>
        <w:rPr>
          <w:b/>
          <w:bCs/>
          <w:sz w:val="22"/>
          <w:szCs w:val="22"/>
          <w:rFonts w:ascii="Arial" w:cs="Arial" w:eastAsia="Arial" w:hAnsi="Arial"/>
        </w:rPr>
        <w:t xml:space="preserve">Sec 8 — the Central Board:</w:t>
      </w:r>
      <w:r>
        <w:rPr>
          <w:sz w:val="22"/>
          <w:szCs w:val="22"/>
          <w:rFonts w:ascii="Arial" w:cs="Arial" w:eastAsia="Arial" w:hAnsi="Arial"/>
        </w:rPr>
        <w:t xml:space="preserve"> a Governor and up to four Deputy Governors appointed by the Central Government (Sec 8(1)(a)), four directors nominated from the four Local Boards (Sec 8(1)(b)), ten directors nominated by the Central Government (8(1)(c)), and two Government officials (8(1)(d)); the Governor and Deputy Governors hold office for up to five years and are eligible for reappointment; </w:t>
      </w:r>
      <w:r>
        <w:rPr>
          <w:b/>
          <w:bCs/>
          <w:sz w:val="22"/>
          <w:szCs w:val="22"/>
          <w:rFonts w:ascii="Arial" w:cs="Arial" w:eastAsia="Arial" w:hAnsi="Arial"/>
        </w:rPr>
        <w:t xml:space="preserve">Sec 9:</w:t>
      </w:r>
      <w:r>
        <w:rPr>
          <w:sz w:val="22"/>
          <w:szCs w:val="22"/>
          <w:rFonts w:ascii="Arial" w:cs="Arial" w:eastAsia="Arial" w:hAnsi="Arial"/>
        </w:rPr>
        <w:t xml:space="preserve"> Local Boards for the Western, Eastern, Northern and Southern areas; </w:t>
      </w:r>
      <w:r>
        <w:rPr>
          <w:b/>
          <w:bCs/>
          <w:sz w:val="22"/>
          <w:szCs w:val="22"/>
          <w:rFonts w:ascii="Arial" w:cs="Arial" w:eastAsia="Arial" w:hAnsi="Arial"/>
        </w:rPr>
        <w:t xml:space="preserve">Sec 10-13:</w:t>
      </w:r>
      <w:r>
        <w:rPr>
          <w:sz w:val="22"/>
          <w:szCs w:val="22"/>
          <w:rFonts w:ascii="Arial" w:cs="Arial" w:eastAsia="Arial" w:hAnsi="Arial"/>
        </w:rPr>
        <w:t xml:space="preserve"> disqualifications, removal, and the Governor's obligation to devote whole time; </w:t>
      </w:r>
      <w:r>
        <w:rPr>
          <w:b/>
          <w:bCs/>
          <w:sz w:val="22"/>
          <w:szCs w:val="22"/>
          <w:rFonts w:ascii="Arial" w:cs="Arial" w:eastAsia="Arial" w:hAnsi="Arial"/>
        </w:rPr>
        <w:t xml:space="preserve">Sec 17 — business the Bank may transact:</w:t>
      </w:r>
      <w:r>
        <w:rPr>
          <w:sz w:val="22"/>
          <w:szCs w:val="22"/>
          <w:rFonts w:ascii="Arial" w:cs="Arial" w:eastAsia="Arial" w:hAnsi="Arial"/>
        </w:rPr>
        <w:t xml:space="preserve"> accepting deposits without interest from the Central and State Governments, banks and others; buying, selling and rediscounting bills of exchange and promissory notes arising out of bona fide commercial or trade transactions, and of agricultural operations (Sec 17(2)); purchase and sale of foreign exchange (17(3)); making loans and advances to scheduled banks, State co-operative banks, financial institutions and State Governments, repayable within ninety days, against the security of stamped bills, government securities, gold, and other approved securities (17(4)) — the </w:t>
      </w:r>
      <w:r>
        <w:rPr>
          <w:b/>
          <w:bCs/>
          <w:sz w:val="22"/>
          <w:szCs w:val="22"/>
          <w:rFonts w:ascii="Arial" w:cs="Arial" w:eastAsia="Arial" w:hAnsi="Arial"/>
        </w:rPr>
        <w:t xml:space="preserve">lender of last resort</w:t>
      </w:r>
      <w:r>
        <w:rPr>
          <w:sz w:val="22"/>
          <w:szCs w:val="22"/>
          <w:rFonts w:ascii="Arial" w:cs="Arial" w:eastAsia="Arial" w:hAnsi="Arial"/>
        </w:rPr>
        <w:t xml:space="preserve"> function, now exercised through the Liquidity Adjustment Facility (repo and reverse repo), the Marginal Standing Facility, and special refinance windows; loans to the Government (17(5)); purchase and sale of Government securities (17(8)) — </w:t>
      </w:r>
      <w:r>
        <w:rPr>
          <w:b/>
          <w:bCs/>
          <w:sz w:val="22"/>
          <w:szCs w:val="22"/>
          <w:rFonts w:ascii="Arial" w:cs="Arial" w:eastAsia="Arial" w:hAnsi="Arial"/>
        </w:rPr>
        <w:t xml:space="preserve">open market operations</w:t>
      </w:r>
      <w:r>
        <w:rPr>
          <w:sz w:val="22"/>
          <w:szCs w:val="22"/>
          <w:rFonts w:ascii="Arial" w:cs="Arial" w:eastAsia="Arial" w:hAnsi="Arial"/>
        </w:rPr>
        <w:t xml:space="preserve">; custody of money, securities and valuables (17(9)); acting as agent for the Government and for banks (17(11)); the issue of bank drafts; and, since 2016, the business incidental to the Monetary Policy Committee; </w:t>
      </w:r>
      <w:r>
        <w:rPr>
          <w:b/>
          <w:bCs/>
          <w:sz w:val="22"/>
          <w:szCs w:val="22"/>
          <w:rFonts w:ascii="Arial" w:cs="Arial" w:eastAsia="Arial" w:hAnsi="Arial"/>
        </w:rPr>
        <w:t xml:space="preserve">Sec 18:</w:t>
      </w:r>
      <w:r>
        <w:rPr>
          <w:sz w:val="22"/>
          <w:szCs w:val="22"/>
          <w:rFonts w:ascii="Arial" w:cs="Arial" w:eastAsia="Arial" w:hAnsi="Arial"/>
        </w:rPr>
        <w:t xml:space="preserve"> emergency powers to lend against any security when the Governor is satisfied a special occasion has arisen; </w:t>
      </w:r>
      <w:r>
        <w:rPr>
          <w:b/>
          <w:bCs/>
          <w:sz w:val="22"/>
          <w:szCs w:val="22"/>
          <w:rFonts w:ascii="Arial" w:cs="Arial" w:eastAsia="Arial" w:hAnsi="Arial"/>
        </w:rPr>
        <w:t xml:space="preserve">Sec 19:</w:t>
      </w:r>
      <w:r>
        <w:rPr>
          <w:sz w:val="22"/>
          <w:szCs w:val="22"/>
          <w:rFonts w:ascii="Arial" w:cs="Arial" w:eastAsia="Arial" w:hAnsi="Arial"/>
        </w:rPr>
        <w:t xml:space="preserve"> business the Bank may not transact — it may not engage in trade, purchase its own shares or the shares of any other bank or company, lend on the security of shares, or make unsecured loans except to the Government.</w:t>
      </w:r>
    </w:p>
    <w:p>
      <w:pPr>
        <w:spacing w:before="240" w:after="120"/>
      </w:pPr>
      <w:r>
        <w:rPr>
          <w:b/>
          <w:bCs/>
          <w:color w:val="404040"/>
          <w:sz w:val="23"/>
          <w:szCs w:val="23"/>
          <w:rFonts w:ascii="Arial" w:cs="Arial" w:eastAsia="Arial" w:hAnsi="Arial"/>
        </w:rPr>
        <w:t xml:space="preserve">Issue of currency — Sec 22-28</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22:</w:t>
      </w:r>
      <w:r>
        <w:rPr>
          <w:sz w:val="22"/>
          <w:szCs w:val="22"/>
          <w:rFonts w:ascii="Arial" w:cs="Arial" w:eastAsia="Arial" w:hAnsi="Arial"/>
        </w:rPr>
        <w:t xml:space="preserve"> the Bank has the sole right to issue bank notes in India; the Central Government retains the one-rupee note and coins (the Coinage Act 2011). </w:t>
      </w:r>
      <w:r>
        <w:rPr>
          <w:b/>
          <w:bCs/>
          <w:sz w:val="22"/>
          <w:szCs w:val="22"/>
          <w:rFonts w:ascii="Arial" w:cs="Arial" w:eastAsia="Arial" w:hAnsi="Arial"/>
        </w:rPr>
        <w:t xml:space="preserve">Sec 23:</w:t>
      </w:r>
      <w:r>
        <w:rPr>
          <w:sz w:val="22"/>
          <w:szCs w:val="22"/>
          <w:rFonts w:ascii="Arial" w:cs="Arial" w:eastAsia="Arial" w:hAnsi="Arial"/>
        </w:rPr>
        <w:t xml:space="preserve"> the Issue Department is separate from the Banking Department; </w:t>
      </w:r>
      <w:r>
        <w:rPr>
          <w:b/>
          <w:bCs/>
          <w:sz w:val="22"/>
          <w:szCs w:val="22"/>
          <w:rFonts w:ascii="Arial" w:cs="Arial" w:eastAsia="Arial" w:hAnsi="Arial"/>
        </w:rPr>
        <w:t xml:space="preserve">Sec 24:</w:t>
      </w:r>
      <w:r>
        <w:rPr>
          <w:sz w:val="22"/>
          <w:szCs w:val="22"/>
          <w:rFonts w:ascii="Arial" w:cs="Arial" w:eastAsia="Arial" w:hAnsi="Arial"/>
        </w:rPr>
        <w:t xml:space="preserve"> denominations — two, five, ten, twenty, fifty, one hundred, five hundred, one thousand, two thousand, five thousand and ten thousand rupees, or such other denomination not exceeding ten thousand rupees as the Central Government specifies on the Bank's recommendation (the two-thousand-rupee note was introduced in 2016 and withdrawn from circulation in 2023, remaining legal tender); </w:t>
      </w:r>
      <w:r>
        <w:rPr>
          <w:b/>
          <w:bCs/>
          <w:sz w:val="22"/>
          <w:szCs w:val="22"/>
          <w:rFonts w:ascii="Arial" w:cs="Arial" w:eastAsia="Arial" w:hAnsi="Arial"/>
        </w:rPr>
        <w:t xml:space="preserve">Sec 25:</w:t>
      </w:r>
      <w:r>
        <w:rPr>
          <w:sz w:val="22"/>
          <w:szCs w:val="22"/>
          <w:rFonts w:ascii="Arial" w:cs="Arial" w:eastAsia="Arial" w:hAnsi="Arial"/>
        </w:rPr>
        <w:t xml:space="preserve"> the design, form and material are approved by the Central Government on the Board's recommendation; </w:t>
      </w:r>
      <w:r>
        <w:rPr>
          <w:b/>
          <w:bCs/>
          <w:sz w:val="22"/>
          <w:szCs w:val="22"/>
          <w:rFonts w:ascii="Arial" w:cs="Arial" w:eastAsia="Arial" w:hAnsi="Arial"/>
        </w:rPr>
        <w:t xml:space="preserve">Sec 26:</w:t>
      </w:r>
      <w:r>
        <w:rPr>
          <w:sz w:val="22"/>
          <w:szCs w:val="22"/>
          <w:rFonts w:ascii="Arial" w:cs="Arial" w:eastAsia="Arial" w:hAnsi="Arial"/>
        </w:rPr>
        <w:t xml:space="preserve"> every bank note is legal tender at any place in India for the amount expressed and is guaranteed by the Central Government (26(1)); </w:t>
      </w:r>
      <w:r>
        <w:rPr>
          <w:b/>
          <w:bCs/>
          <w:sz w:val="22"/>
          <w:szCs w:val="22"/>
          <w:rFonts w:ascii="Arial" w:cs="Arial" w:eastAsia="Arial" w:hAnsi="Arial"/>
        </w:rPr>
        <w:t xml:space="preserve">Sec 26(2):</w:t>
      </w:r>
      <w:r>
        <w:rPr>
          <w:sz w:val="22"/>
          <w:szCs w:val="22"/>
          <w:rFonts w:ascii="Arial" w:cs="Arial" w:eastAsia="Arial" w:hAnsi="Arial"/>
        </w:rPr>
        <w:t xml:space="preserve"> on the recommendation of the Central Board the Central Government may, by notification, declare that with effect from a specified date any series of bank notes of any denomination shall cease to be legal tender except at such offices of the Bank and to such extent as specified — the demonetisation power, used in 1946 (by Ordinance), 1978 (by the High Denomination Bank Notes (Demonetisation) Act) and 2016 (by notification, followed by the Specified Bank Notes (Cessation of Liabilities) Act 2017, which extinguished the Bank's liability on the old notes and made it an offence to hold more than ten of them); </w:t>
      </w:r>
      <w:r>
        <w:rPr>
          <w:b/>
          <w:bCs/>
          <w:sz w:val="22"/>
          <w:szCs w:val="22"/>
          <w:rFonts w:ascii="Arial" w:cs="Arial" w:eastAsia="Arial" w:hAnsi="Arial"/>
        </w:rPr>
        <w:t xml:space="preserve">Sec 27:</w:t>
      </w:r>
      <w:r>
        <w:rPr>
          <w:sz w:val="22"/>
          <w:szCs w:val="22"/>
          <w:rFonts w:ascii="Arial" w:cs="Arial" w:eastAsia="Arial" w:hAnsi="Arial"/>
        </w:rPr>
        <w:t xml:space="preserve"> the Bank shall not reissue notes that are torn, defaced or excessively soiled; </w:t>
      </w:r>
      <w:r>
        <w:rPr>
          <w:b/>
          <w:bCs/>
          <w:sz w:val="22"/>
          <w:szCs w:val="22"/>
          <w:rFonts w:ascii="Arial" w:cs="Arial" w:eastAsia="Arial" w:hAnsi="Arial"/>
        </w:rPr>
        <w:t xml:space="preserve">Sec 28:</w:t>
      </w:r>
      <w:r>
        <w:rPr>
          <w:sz w:val="22"/>
          <w:szCs w:val="22"/>
          <w:rFonts w:ascii="Arial" w:cs="Arial" w:eastAsia="Arial" w:hAnsi="Arial"/>
        </w:rPr>
        <w:t xml:space="preserve"> no person is entitled as of right to recover the value of a lost, stolen, mutilated or imperfect note — refunds are a matter of the Bank's rules (the Note Refund Rules 2009); </w:t>
      </w:r>
      <w:r>
        <w:rPr>
          <w:b/>
          <w:bCs/>
          <w:sz w:val="22"/>
          <w:szCs w:val="22"/>
          <w:rFonts w:ascii="Arial" w:cs="Arial" w:eastAsia="Arial" w:hAnsi="Arial"/>
        </w:rPr>
        <w:t xml:space="preserve">Sec 33-37:</w:t>
      </w:r>
      <w:r>
        <w:rPr>
          <w:sz w:val="22"/>
          <w:szCs w:val="22"/>
          <w:rFonts w:ascii="Arial" w:cs="Arial" w:eastAsia="Arial" w:hAnsi="Arial"/>
        </w:rPr>
        <w:t xml:space="preserve"> the assets of the Issue Department — gold coin and bullion of not less than two hundred crore rupees, of which one hundred and fifteen crore in gold (the minimum reserve system, replacing the proportional reserve system in 1956-57), foreign securities, rupee coin, Government securities and bills; </w:t>
      </w:r>
      <w:r>
        <w:rPr>
          <w:b/>
          <w:bCs/>
          <w:sz w:val="22"/>
          <w:szCs w:val="22"/>
          <w:rFonts w:ascii="Arial" w:cs="Arial" w:eastAsia="Arial" w:hAnsi="Arial"/>
        </w:rPr>
        <w:t xml:space="preserve">Sec 38:</w:t>
      </w:r>
      <w:r>
        <w:rPr>
          <w:sz w:val="22"/>
          <w:szCs w:val="22"/>
          <w:rFonts w:ascii="Arial" w:cs="Arial" w:eastAsia="Arial" w:hAnsi="Arial"/>
        </w:rPr>
        <w:t xml:space="preserve"> the Bank issues rupee coin on behalf of the Government; </w:t>
      </w:r>
      <w:r>
        <w:rPr>
          <w:b/>
          <w:bCs/>
          <w:sz w:val="22"/>
          <w:szCs w:val="22"/>
          <w:rFonts w:ascii="Arial" w:cs="Arial" w:eastAsia="Arial" w:hAnsi="Arial"/>
        </w:rPr>
        <w:t xml:space="preserve">Sec 39-40:</w:t>
      </w:r>
      <w:r>
        <w:rPr>
          <w:sz w:val="22"/>
          <w:szCs w:val="22"/>
          <w:rFonts w:ascii="Arial" w:cs="Arial" w:eastAsia="Arial" w:hAnsi="Arial"/>
        </w:rPr>
        <w:t xml:space="preserve"> the obligation to supply different forms of currency and the Government's obligation to supply coin. The Constitution Bench in </w:t>
      </w:r>
      <w:r>
        <w:rPr>
          <w:b/>
          <w:bCs/>
          <w:sz w:val="22"/>
          <w:szCs w:val="22"/>
          <w:rFonts w:ascii="Arial" w:cs="Arial" w:eastAsia="Arial" w:hAnsi="Arial"/>
        </w:rPr>
        <w:t xml:space="preserve">Vivek Narayan Sharma v. Union of India (2023)</w:t>
      </w:r>
      <w:r>
        <w:rPr>
          <w:sz w:val="22"/>
          <w:szCs w:val="22"/>
          <w:rFonts w:ascii="Arial" w:cs="Arial" w:eastAsia="Arial" w:hAnsi="Arial"/>
        </w:rPr>
        <w:t xml:space="preserve"> read 'any series' in Sec 26(2) to include all series of a denomination, held that the Bank's recommendation need not originate the proposal, applied the proportionality test to the decision, and left the question of whether the objectives were achieved outside judicial review; the Court also held that the Bank's power to refuse exchange after 30 December 2016 flowed from the 2017 Act. The </w:t>
      </w:r>
      <w:r>
        <w:rPr>
          <w:b/>
          <w:bCs/>
          <w:sz w:val="22"/>
          <w:szCs w:val="22"/>
          <w:rFonts w:ascii="Arial" w:cs="Arial" w:eastAsia="Arial" w:hAnsi="Arial"/>
        </w:rPr>
        <w:t xml:space="preserve">e-rupee</w:t>
      </w:r>
      <w:r>
        <w:rPr>
          <w:sz w:val="22"/>
          <w:szCs w:val="22"/>
          <w:rFonts w:ascii="Arial" w:cs="Arial" w:eastAsia="Arial" w:hAnsi="Arial"/>
        </w:rPr>
        <w:t xml:space="preserve"> (Central Bank Digital Currency) was launched in pilot in November-December 2022 under the amended Sec 22 (the Finance Act 2022 inserted the words 'in digital form' into the definition of bank note).</w:t>
      </w:r>
    </w:p>
    <w:p>
      <w:pPr>
        <w:spacing w:before="240" w:after="120"/>
      </w:pPr>
      <w:r>
        <w:rPr>
          <w:b/>
          <w:bCs/>
          <w:color w:val="404040"/>
          <w:sz w:val="23"/>
          <w:szCs w:val="23"/>
          <w:rFonts w:ascii="Arial" w:cs="Arial" w:eastAsia="Arial" w:hAnsi="Arial"/>
        </w:rPr>
        <w:t xml:space="preserve">Banker to the Government and bankers' bank</w:t>
      </w:r>
    </w:p>
    <w:p>
      <w:pPr>
        <w:spacing w:after="120" w:line="300"/>
        <w:jc w:val="both"/>
      </w:pPr>
      <w:r>
        <w:rPr>
          <w:sz w:val="22"/>
          <w:szCs w:val="22"/>
          <w:rFonts w:ascii="Arial" w:cs="Arial" w:eastAsia="Arial" w:hAnsi="Arial"/>
        </w:rPr>
      </w:r>
      <w:r>
        <w:rPr>
          <w:b/>
          <w:bCs/>
          <w:sz w:val="22"/>
          <w:szCs w:val="22"/>
          <w:rFonts w:ascii="Arial" w:cs="Arial" w:eastAsia="Arial" w:hAnsi="Arial"/>
        </w:rPr>
        <w:t xml:space="preserve">Sec 20:</w:t>
      </w:r>
      <w:r>
        <w:rPr>
          <w:sz w:val="22"/>
          <w:szCs w:val="22"/>
          <w:rFonts w:ascii="Arial" w:cs="Arial" w:eastAsia="Arial" w:hAnsi="Arial"/>
        </w:rPr>
        <w:t xml:space="preserve"> the Bank has the obligation to undertake the receipt and payment of money on behalf of the Central Government and to carry out its exchange, remittance and other banking operations, including the management of the public debt; </w:t>
      </w:r>
      <w:r>
        <w:rPr>
          <w:b/>
          <w:bCs/>
          <w:sz w:val="22"/>
          <w:szCs w:val="22"/>
          <w:rFonts w:ascii="Arial" w:cs="Arial" w:eastAsia="Arial" w:hAnsi="Arial"/>
        </w:rPr>
        <w:t xml:space="preserve">Sec 21:</w:t>
      </w:r>
      <w:r>
        <w:rPr>
          <w:sz w:val="22"/>
          <w:szCs w:val="22"/>
          <w:rFonts w:ascii="Arial" w:cs="Arial" w:eastAsia="Arial" w:hAnsi="Arial"/>
        </w:rPr>
        <w:t xml:space="preserve"> the Central Government shall entrust the Bank with all its money, remittance, exchange and banking transactions in India and shall deposit all its cash balances with the Bank free of interest; </w:t>
      </w:r>
      <w:r>
        <w:rPr>
          <w:b/>
          <w:bCs/>
          <w:sz w:val="22"/>
          <w:szCs w:val="22"/>
          <w:rFonts w:ascii="Arial" w:cs="Arial" w:eastAsia="Arial" w:hAnsi="Arial"/>
        </w:rPr>
        <w:t xml:space="preserve">Sec 21A:</w:t>
      </w:r>
      <w:r>
        <w:rPr>
          <w:sz w:val="22"/>
          <w:szCs w:val="22"/>
          <w:rFonts w:ascii="Arial" w:cs="Arial" w:eastAsia="Arial" w:hAnsi="Arial"/>
        </w:rPr>
        <w:t xml:space="preserve"> the Bank may transact the business of a State Government by agreement (all States except Sikkim have agreements); the Bank also manages the </w:t>
      </w:r>
      <w:r>
        <w:rPr>
          <w:b/>
          <w:bCs/>
          <w:sz w:val="22"/>
          <w:szCs w:val="22"/>
          <w:rFonts w:ascii="Arial" w:cs="Arial" w:eastAsia="Arial" w:hAnsi="Arial"/>
        </w:rPr>
        <w:t xml:space="preserve">public debt</w:t>
      </w:r>
      <w:r>
        <w:rPr>
          <w:sz w:val="22"/>
          <w:szCs w:val="22"/>
          <w:rFonts w:ascii="Arial" w:cs="Arial" w:eastAsia="Arial" w:hAnsi="Arial"/>
        </w:rPr>
        <w:t xml:space="preserve"> (the Government Securities Act 2006; the Public Debt Office; auctions of dated securities and treasury bills through the e-Kuber platform), advises the Government on economic policy, provides </w:t>
      </w:r>
      <w:r>
        <w:rPr>
          <w:b/>
          <w:bCs/>
          <w:sz w:val="22"/>
          <w:szCs w:val="22"/>
          <w:rFonts w:ascii="Arial" w:cs="Arial" w:eastAsia="Arial" w:hAnsi="Arial"/>
        </w:rPr>
        <w:t xml:space="preserve">ways and means advances</w:t>
      </w:r>
      <w:r>
        <w:rPr>
          <w:sz w:val="22"/>
          <w:szCs w:val="22"/>
          <w:rFonts w:ascii="Arial" w:cs="Arial" w:eastAsia="Arial" w:hAnsi="Arial"/>
        </w:rPr>
        <w:t xml:space="preserve"> to meet temporary mismatches (Sec 17(5) — the limits are agreed each year; overdrafts beyond ten consecutive working days are not permitted since 1997, when the automatic monetisation of the deficit through ad hoc treasury bills was ended), and transfers its surplus to the Government under </w:t>
      </w:r>
      <w:r>
        <w:rPr>
          <w:b/>
          <w:bCs/>
          <w:sz w:val="22"/>
          <w:szCs w:val="22"/>
          <w:rFonts w:ascii="Arial" w:cs="Arial" w:eastAsia="Arial" w:hAnsi="Arial"/>
        </w:rPr>
        <w:t xml:space="preserve">Sec 47</w:t>
      </w:r>
      <w:r>
        <w:rPr>
          <w:sz w:val="22"/>
          <w:szCs w:val="22"/>
          <w:rFonts w:ascii="Arial" w:cs="Arial" w:eastAsia="Arial" w:hAnsi="Arial"/>
        </w:rPr>
        <w:t xml:space="preserve"> (the Jalan Committee 2019 framework fixed the level of the Bank's contingency reserve at five and a half to six and a half per cent of its balance sheet, releasing a record surplus). </w:t>
      </w:r>
      <w:r>
        <w:rPr>
          <w:b/>
          <w:bCs/>
          <w:sz w:val="22"/>
          <w:szCs w:val="22"/>
          <w:rFonts w:ascii="Arial" w:cs="Arial" w:eastAsia="Arial" w:hAnsi="Arial"/>
        </w:rPr>
        <w:t xml:space="preserve">Bankers' bank — Sec 42:</w:t>
      </w:r>
      <w:r>
        <w:rPr>
          <w:sz w:val="22"/>
          <w:szCs w:val="22"/>
          <w:rFonts w:ascii="Arial" w:cs="Arial" w:eastAsia="Arial" w:hAnsi="Arial"/>
        </w:rPr>
        <w:t xml:space="preserve"> every </w:t>
      </w:r>
      <w:r>
        <w:rPr>
          <w:b/>
          <w:bCs/>
          <w:sz w:val="22"/>
          <w:szCs w:val="22"/>
          <w:rFonts w:ascii="Arial" w:cs="Arial" w:eastAsia="Arial" w:hAnsi="Arial"/>
        </w:rPr>
        <w:t xml:space="preserve">scheduled bank</w:t>
      </w:r>
      <w:r>
        <w:rPr>
          <w:sz w:val="22"/>
          <w:szCs w:val="22"/>
          <w:rFonts w:ascii="Arial" w:cs="Arial" w:eastAsia="Arial" w:hAnsi="Arial"/>
        </w:rPr>
        <w:t xml:space="preserve"> (a bank included in the Second Schedule under Sec 42(6) — the conditions: paid-up capital and reserves of not less than five lakh rupees, and the Bank's satisfaction that the bank's affairs are not conducted in a manner detrimental to depositors; a State co-operative bank or company or corporation) shall maintain with the Bank an average daily balance of not less than the percentage of its net demand and time liabilities that the Bank notifies — the </w:t>
      </w:r>
      <w:r>
        <w:rPr>
          <w:b/>
          <w:bCs/>
          <w:sz w:val="22"/>
          <w:szCs w:val="22"/>
          <w:rFonts w:ascii="Arial" w:cs="Arial" w:eastAsia="Arial" w:hAnsi="Arial"/>
        </w:rPr>
        <w:t xml:space="preserve">cash reserve ratio</w:t>
      </w:r>
      <w:r>
        <w:rPr>
          <w:sz w:val="22"/>
          <w:szCs w:val="22"/>
          <w:rFonts w:ascii="Arial" w:cs="Arial" w:eastAsia="Arial" w:hAnsi="Arial"/>
        </w:rPr>
        <w:t xml:space="preserve"> (the 2007 amendment removed the statutory floor of three per cent and ceiling of twenty per cent; the CRR is now four and a half per cent), with penal interest for default (Sec 42(3)) and the obligation to file returns (Sec 42(2)); the Bank keeps the banks' accounts, operates the </w:t>
      </w:r>
      <w:r>
        <w:rPr>
          <w:b/>
          <w:bCs/>
          <w:sz w:val="22"/>
          <w:szCs w:val="22"/>
          <w:rFonts w:ascii="Arial" w:cs="Arial" w:eastAsia="Arial" w:hAnsi="Arial"/>
        </w:rPr>
        <w:t xml:space="preserve">clearing and settlement</w:t>
      </w:r>
      <w:r>
        <w:rPr>
          <w:sz w:val="22"/>
          <w:szCs w:val="22"/>
          <w:rFonts w:ascii="Arial" w:cs="Arial" w:eastAsia="Arial" w:hAnsi="Arial"/>
        </w:rPr>
        <w:t xml:space="preserve"> system (Sec 58? — the Payment and Settlement Systems Act 2007 makes the Bank the regulator of all payment systems and the operator of RTGS and NEFT), rediscounts bills and lends to banks against securities (Sec 17(2)-(4) — the lender of last resort, which lent to Yes Bank in 2020 and provided targeted long-term repo operations during the pandemic), and supplies currency to banks through currency chests. The Bank's supervisory relationship with commercial banks is exercised mainly under the Banking Regulation Act (Episode 09), but the RBI Act adds </w:t>
      </w:r>
      <w:r>
        <w:rPr>
          <w:b/>
          <w:bCs/>
          <w:sz w:val="22"/>
          <w:szCs w:val="22"/>
          <w:rFonts w:ascii="Arial" w:cs="Arial" w:eastAsia="Arial" w:hAnsi="Arial"/>
        </w:rPr>
        <w:t xml:space="preserve">Sec 45 (credit information):</w:t>
      </w:r>
      <w:r>
        <w:rPr>
          <w:sz w:val="22"/>
          <w:szCs w:val="22"/>
          <w:rFonts w:ascii="Arial" w:cs="Arial" w:eastAsia="Arial" w:hAnsi="Arial"/>
        </w:rPr>
        <w:t xml:space="preserve"> the Bank may call for information on borrowers and furnish it to banks; </w:t>
      </w:r>
      <w:r>
        <w:rPr>
          <w:b/>
          <w:bCs/>
          <w:sz w:val="22"/>
          <w:szCs w:val="22"/>
          <w:rFonts w:ascii="Arial" w:cs="Arial" w:eastAsia="Arial" w:hAnsi="Arial"/>
        </w:rPr>
        <w:t xml:space="preserve">Sec 45L-45N:</w:t>
      </w:r>
      <w:r>
        <w:rPr>
          <w:sz w:val="22"/>
          <w:szCs w:val="22"/>
          <w:rFonts w:ascii="Arial" w:cs="Arial" w:eastAsia="Arial" w:hAnsi="Arial"/>
        </w:rPr>
        <w:t xml:space="preserve"> the Bank may call for information from and give directions to financial institutions and non-banking institutions; and </w:t>
      </w:r>
      <w:r>
        <w:rPr>
          <w:b/>
          <w:bCs/>
          <w:sz w:val="22"/>
          <w:szCs w:val="22"/>
          <w:rFonts w:ascii="Arial" w:cs="Arial" w:eastAsia="Arial" w:hAnsi="Arial"/>
        </w:rPr>
        <w:t xml:space="preserve">Sec 42(1A)</w:t>
      </w:r>
      <w:r>
        <w:rPr>
          <w:sz w:val="22"/>
          <w:szCs w:val="22"/>
          <w:rFonts w:ascii="Arial" w:cs="Arial" w:eastAsia="Arial" w:hAnsi="Arial"/>
        </w:rPr>
        <w:t xml:space="preserve">: incremental cash reserve requirements. The Bank's control over banks is thus a triangle: reserves (CRR under Sec 42 RBI Act, SLR under Sec 24 BR Act), lending (Sec 21 BR Act, and the Bank's own refinance), and information and direction (Sec 35-35A BR Act, Sec 45-45N RBI Act).</w:t>
      </w:r>
    </w:p>
    <w:p>
      <w:pPr>
        <w:spacing w:before="240" w:after="120"/>
      </w:pPr>
      <w:r>
        <w:rPr>
          <w:b/>
          <w:bCs/>
          <w:color w:val="404040"/>
          <w:sz w:val="23"/>
          <w:szCs w:val="23"/>
          <w:rFonts w:ascii="Arial" w:cs="Arial" w:eastAsia="Arial" w:hAnsi="Arial"/>
        </w:rPr>
        <w:t xml:space="preserve">Monetary policy and the regulation of non-banking finance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Monetary policy</w:t>
      </w:r>
      <w:r>
        <w:rPr>
          <w:sz w:val="22"/>
          <w:szCs w:val="22"/>
          <w:rFonts w:ascii="Arial" w:cs="Arial" w:eastAsia="Arial" w:hAnsi="Arial"/>
        </w:rPr>
        <w:t xml:space="preserve"> — the 2016 amendment inserted Chapter IIIF (Sec 45ZA-45ZO): the Central Government, in consultation with the Bank, determines the </w:t>
      </w:r>
      <w:r>
        <w:rPr>
          <w:b/>
          <w:bCs/>
          <w:sz w:val="22"/>
          <w:szCs w:val="22"/>
          <w:rFonts w:ascii="Arial" w:cs="Arial" w:eastAsia="Arial" w:hAnsi="Arial"/>
        </w:rPr>
        <w:t xml:space="preserve">inflation target</w:t>
      </w:r>
      <w:r>
        <w:rPr>
          <w:sz w:val="22"/>
          <w:szCs w:val="22"/>
          <w:rFonts w:ascii="Arial" w:cs="Arial" w:eastAsia="Arial" w:hAnsi="Arial"/>
        </w:rPr>
        <w:t xml:space="preserve"> in terms of the Consumer Price Index once every five years (four per cent with a tolerance band of two per cent on either side, 2016 and 2021); the </w:t>
      </w:r>
      <w:r>
        <w:rPr>
          <w:b/>
          <w:bCs/>
          <w:sz w:val="22"/>
          <w:szCs w:val="22"/>
          <w:rFonts w:ascii="Arial" w:cs="Arial" w:eastAsia="Arial" w:hAnsi="Arial"/>
        </w:rPr>
        <w:t xml:space="preserve">Monetary Policy Committee</w:t>
      </w:r>
      <w:r>
        <w:rPr>
          <w:sz w:val="22"/>
          <w:szCs w:val="22"/>
          <w:rFonts w:ascii="Arial" w:cs="Arial" w:eastAsia="Arial" w:hAnsi="Arial"/>
        </w:rPr>
        <w:t xml:space="preserve"> of six members — the Governor as chairperson, the Deputy Governor in charge of monetary policy, one officer of the Bank nominated by the Central Board, and three persons appointed by the Central Government — decides the </w:t>
      </w:r>
      <w:r>
        <w:rPr>
          <w:b/>
          <w:bCs/>
          <w:sz w:val="22"/>
          <w:szCs w:val="22"/>
          <w:rFonts w:ascii="Arial" w:cs="Arial" w:eastAsia="Arial" w:hAnsi="Arial"/>
        </w:rPr>
        <w:t xml:space="preserve">policy repo rate</w:t>
      </w:r>
      <w:r>
        <w:rPr>
          <w:sz w:val="22"/>
          <w:szCs w:val="22"/>
          <w:rFonts w:ascii="Arial" w:cs="Arial" w:eastAsia="Arial" w:hAnsi="Arial"/>
        </w:rPr>
        <w:t xml:space="preserve"> by majority with the Governor's casting vote, meets at least four times a year, and publishes its resolution and minutes; if the target is missed for three consecutive quarters the Bank must report to the Government the reasons, the remedial actions and the time within which the target will be achieved (Sec 45ZN — invoked in November 2022); the Bank publishes a Monetary Policy Report every six months. The instruments: the repo rate and the corridor of the standing deposit facility and the marginal standing facility, the CRR and SLR, open market operations, the bank rate (Sec 49 — the standard rate at which the Bank is prepared to buy or rediscount bills, now aligned with the MSF rate), and forward guidance; the pre-2016 regime had rested on Sec 45L? — on the Bank's general powers and the 'multiple indicators' approach; the transition to inflation targeting followed the Urjit Patel Committee (2014) and the Monetary Policy Framework Agreement of 2015. </w:t>
      </w:r>
      <w:r>
        <w:rPr>
          <w:b/>
          <w:bCs/>
          <w:sz w:val="22"/>
          <w:szCs w:val="22"/>
          <w:rFonts w:ascii="Arial" w:cs="Arial" w:eastAsia="Arial" w:hAnsi="Arial"/>
        </w:rPr>
        <w:t xml:space="preserve">Non-banking financial companies (Chapter IIIB, Sec 45H-45QB, 1963 and 1997):</w:t>
      </w:r>
      <w:r>
        <w:rPr>
          <w:sz w:val="22"/>
          <w:szCs w:val="22"/>
          <w:rFonts w:ascii="Arial" w:cs="Arial" w:eastAsia="Arial" w:hAnsi="Arial"/>
        </w:rPr>
        <w:t xml:space="preserve"> an NBFC is a financial institution which is a company (Sec 45I(f)) — carrying on the business of lending, investment, hire-purchase, insurance? (no — insurance is excluded), chit funds, etc.; every NBFC must obtain a </w:t>
      </w:r>
      <w:r>
        <w:rPr>
          <w:b/>
          <w:bCs/>
          <w:sz w:val="22"/>
          <w:szCs w:val="22"/>
          <w:rFonts w:ascii="Arial" w:cs="Arial" w:eastAsia="Arial" w:hAnsi="Arial"/>
        </w:rPr>
        <w:t xml:space="preserve">certificate of registration</w:t>
      </w:r>
      <w:r>
        <w:rPr>
          <w:sz w:val="22"/>
          <w:szCs w:val="22"/>
          <w:rFonts w:ascii="Arial" w:cs="Arial" w:eastAsia="Arial" w:hAnsi="Arial"/>
        </w:rPr>
        <w:t xml:space="preserve"> from the Bank and have net owned funds of not less than two crore rupees (Sec 45IA, 1997); the Bank may regulate or prohibit the acceptance of deposits (Sec 45J-45K), give directions on the conduct of business (Sec 45JA), call for information (Sec 45L), inspect (Sec 45N), and file for winding up (Sec 45MC); the 2019 amendment added powers to remove directors, supersede boards and frame resolution schemes for NBFCs (Sec 45-ID, 45-IE, 45MBA) after the IL&amp;FS collapse (2018), when the Government moved the National Company Law Tribunal under the Companies Act to supersede the IL&amp;FS board; the scale-based regulation framework (2021) classifies NBFCs into base, middle, upper and top layers; housing finance companies were transferred to the Bank's regulation in 2019; and the Bank's 2022 digital lending guidelines and 2023 directions on peer-to-peer lending platforms rest on Sec 45JA and 45L. </w:t>
      </w:r>
      <w:r>
        <w:rPr>
          <w:b/>
          <w:bCs/>
          <w:sz w:val="22"/>
          <w:szCs w:val="22"/>
          <w:rFonts w:ascii="Arial" w:cs="Arial" w:eastAsia="Arial" w:hAnsi="Arial"/>
        </w:rPr>
        <w:t xml:space="preserve">Chapter IIIC (Sec 45S-45T):</w:t>
      </w:r>
      <w:r>
        <w:rPr>
          <w:sz w:val="22"/>
          <w:szCs w:val="22"/>
          <w:rFonts w:ascii="Arial" w:cs="Arial" w:eastAsia="Arial" w:hAnsi="Arial"/>
        </w:rPr>
        <w:t xml:space="preserve"> unincorporated bodies (individuals, firms) may not accept deposits from the public except from relatives, and contraventions are punishable — the provision under which the State 'Protection of Interests of Depositors' Acts operate, together with the Banning of Unregulated Deposit Schemes Act 2019 (Ponzi schemes: Sahara, Saradha, Rose Valley). </w:t>
      </w:r>
      <w:r>
        <w:rPr>
          <w:b/>
          <w:bCs/>
          <w:sz w:val="22"/>
          <w:szCs w:val="22"/>
          <w:rFonts w:ascii="Arial" w:cs="Arial" w:eastAsia="Arial" w:hAnsi="Arial"/>
        </w:rPr>
        <w:t xml:space="preserve">Credit information:</w:t>
      </w:r>
      <w:r>
        <w:rPr>
          <w:sz w:val="22"/>
          <w:szCs w:val="22"/>
          <w:rFonts w:ascii="Arial" w:cs="Arial" w:eastAsia="Arial" w:hAnsi="Arial"/>
        </w:rPr>
        <w:t xml:space="preserve"> the Credit Information Companies (Regulation) Act 2005, administered by the Bank, licenses credit bureaus (CIBIL, Experian, Equifax, CRIF), obliges banks to report and gives borrowers the right to their credit report and correction; the Bank's 'wilful defaulter' directions (2015, 2024) and the fraud-classification directions (2016, revised after State Bank of India v. Rajesh Agarwal, 2023 — a borrower must be heard before being classified as a fraud) complete the system.</w:t>
      </w:r>
    </w:p>
    <w:p>
      <w:pPr>
        <w:spacing w:before="240" w:after="120"/>
      </w:pPr>
      <w:r>
        <w:rPr>
          <w:b/>
          <w:bCs/>
          <w:color w:val="404040"/>
          <w:sz w:val="23"/>
          <w:szCs w:val="23"/>
          <w:rFonts w:ascii="Arial" w:cs="Arial" w:eastAsia="Arial" w:hAnsi="Arial"/>
        </w:rPr>
        <w:t xml:space="preserve">The promotional and developmental role</w:t>
      </w:r>
    </w:p>
    <w:p>
      <w:pPr>
        <w:spacing w:after="120" w:line="300"/>
        <w:jc w:val="both"/>
      </w:pPr>
      <w:r>
        <w:rPr>
          <w:sz w:val="22"/>
          <w:szCs w:val="22"/>
          <w:rFonts w:ascii="Arial" w:cs="Arial" w:eastAsia="Arial" w:hAnsi="Arial"/>
        </w:rPr>
        <w:t xml:space="preserve">From 1949 the Bank became an instrument of development: </w:t>
      </w:r>
      <w:r>
        <w:rPr>
          <w:b/>
          <w:bCs/>
          <w:sz w:val="22"/>
          <w:szCs w:val="22"/>
          <w:rFonts w:ascii="Arial" w:cs="Arial" w:eastAsia="Arial" w:hAnsi="Arial"/>
        </w:rPr>
        <w:t xml:space="preserve">Sec 54</w:t>
      </w:r>
      <w:r>
        <w:rPr>
          <w:sz w:val="22"/>
          <w:szCs w:val="22"/>
          <w:rFonts w:ascii="Arial" w:cs="Arial" w:eastAsia="Arial" w:hAnsi="Arial"/>
        </w:rPr>
        <w:t xml:space="preserve"> requires it to maintain expert staff to study rural credit and development and to be available for consultation by the Central and State Governments, local authorities and scheduled banks; </w:t>
      </w:r>
      <w:r>
        <w:rPr>
          <w:b/>
          <w:bCs/>
          <w:sz w:val="22"/>
          <w:szCs w:val="22"/>
          <w:rFonts w:ascii="Arial" w:cs="Arial" w:eastAsia="Arial" w:hAnsi="Arial"/>
        </w:rPr>
        <w:t xml:space="preserve">Sec 46A-46D</w:t>
      </w:r>
      <w:r>
        <w:rPr>
          <w:sz w:val="22"/>
          <w:szCs w:val="22"/>
          <w:rFonts w:ascii="Arial" w:cs="Arial" w:eastAsia="Arial" w:hAnsi="Arial"/>
        </w:rPr>
        <w:t xml:space="preserve"> created the National Agricultural Credit (Long Term Operations) Fund and the National Agricultural Credit (Stabilisation) Fund (1955), the National Industrial Credit (Long Term Operations) Fund (1964), and the National Housing Credit (Long Term Operations) Fund (1988); the Bank promoted and capitalised the </w:t>
      </w:r>
      <w:r>
        <w:rPr>
          <w:b/>
          <w:bCs/>
          <w:sz w:val="22"/>
          <w:szCs w:val="22"/>
          <w:rFonts w:ascii="Arial" w:cs="Arial" w:eastAsia="Arial" w:hAnsi="Arial"/>
        </w:rPr>
        <w:t xml:space="preserve">Agricultural Refinance Corporation</w:t>
      </w:r>
      <w:r>
        <w:rPr>
          <w:sz w:val="22"/>
          <w:szCs w:val="22"/>
          <w:rFonts w:ascii="Arial" w:cs="Arial" w:eastAsia="Arial" w:hAnsi="Arial"/>
        </w:rPr>
        <w:t xml:space="preserve"> (1963), the </w:t>
      </w:r>
      <w:r>
        <w:rPr>
          <w:b/>
          <w:bCs/>
          <w:sz w:val="22"/>
          <w:szCs w:val="22"/>
          <w:rFonts w:ascii="Arial" w:cs="Arial" w:eastAsia="Arial" w:hAnsi="Arial"/>
        </w:rPr>
        <w:t xml:space="preserve">Industrial Development Bank of India</w:t>
      </w:r>
      <w:r>
        <w:rPr>
          <w:sz w:val="22"/>
          <w:szCs w:val="22"/>
          <w:rFonts w:ascii="Arial" w:cs="Arial" w:eastAsia="Arial" w:hAnsi="Arial"/>
        </w:rPr>
        <w:t xml:space="preserve"> (1964, a subsidiary until 1976), the </w:t>
      </w:r>
      <w:r>
        <w:rPr>
          <w:b/>
          <w:bCs/>
          <w:sz w:val="22"/>
          <w:szCs w:val="22"/>
          <w:rFonts w:ascii="Arial" w:cs="Arial" w:eastAsia="Arial" w:hAnsi="Arial"/>
        </w:rPr>
        <w:t xml:space="preserve">Unit Trust of India</w:t>
      </w:r>
      <w:r>
        <w:rPr>
          <w:sz w:val="22"/>
          <w:szCs w:val="22"/>
          <w:rFonts w:ascii="Arial" w:cs="Arial" w:eastAsia="Arial" w:hAnsi="Arial"/>
        </w:rPr>
        <w:t xml:space="preserve"> (1964), the </w:t>
      </w:r>
      <w:r>
        <w:rPr>
          <w:b/>
          <w:bCs/>
          <w:sz w:val="22"/>
          <w:szCs w:val="22"/>
          <w:rFonts w:ascii="Arial" w:cs="Arial" w:eastAsia="Arial" w:hAnsi="Arial"/>
        </w:rPr>
        <w:t xml:space="preserve">Deposit Insurance Corporation</w:t>
      </w:r>
      <w:r>
        <w:rPr>
          <w:sz w:val="22"/>
          <w:szCs w:val="22"/>
          <w:rFonts w:ascii="Arial" w:cs="Arial" w:eastAsia="Arial" w:hAnsi="Arial"/>
        </w:rPr>
        <w:t xml:space="preserve"> (1962 — now DICGC, after the merger with the Credit Guarantee Corporation in 1978, insuring deposits up to five lakh rupees per depositor per bank under the DICGC Act 1961), the </w:t>
      </w:r>
      <w:r>
        <w:rPr>
          <w:b/>
          <w:bCs/>
          <w:sz w:val="22"/>
          <w:szCs w:val="22"/>
          <w:rFonts w:ascii="Arial" w:cs="Arial" w:eastAsia="Arial" w:hAnsi="Arial"/>
        </w:rPr>
        <w:t xml:space="preserve">National Bank for Agriculture and Rural Development</w:t>
      </w:r>
      <w:r>
        <w:rPr>
          <w:sz w:val="22"/>
          <w:szCs w:val="22"/>
          <w:rFonts w:ascii="Arial" w:cs="Arial" w:eastAsia="Arial" w:hAnsi="Arial"/>
        </w:rPr>
        <w:t xml:space="preserve"> (NABARD Act 1981, which took over the Bank's agricultural credit department and the Funds under Sec 46A-46B), the </w:t>
      </w:r>
      <w:r>
        <w:rPr>
          <w:b/>
          <w:bCs/>
          <w:sz w:val="22"/>
          <w:szCs w:val="22"/>
          <w:rFonts w:ascii="Arial" w:cs="Arial" w:eastAsia="Arial" w:hAnsi="Arial"/>
        </w:rPr>
        <w:t xml:space="preserve">National Housing Bank</w:t>
      </w:r>
      <w:r>
        <w:rPr>
          <w:sz w:val="22"/>
          <w:szCs w:val="22"/>
          <w:rFonts w:ascii="Arial" w:cs="Arial" w:eastAsia="Arial" w:hAnsi="Arial"/>
        </w:rPr>
        <w:t xml:space="preserve"> (1988), the </w:t>
      </w:r>
      <w:r>
        <w:rPr>
          <w:b/>
          <w:bCs/>
          <w:sz w:val="22"/>
          <w:szCs w:val="22"/>
          <w:rFonts w:ascii="Arial" w:cs="Arial" w:eastAsia="Arial" w:hAnsi="Arial"/>
        </w:rPr>
        <w:t xml:space="preserve">Export-Import Bank</w:t>
      </w:r>
      <w:r>
        <w:rPr>
          <w:sz w:val="22"/>
          <w:szCs w:val="22"/>
          <w:rFonts w:ascii="Arial" w:cs="Arial" w:eastAsia="Arial" w:hAnsi="Arial"/>
        </w:rPr>
        <w:t xml:space="preserve"> (1982), the </w:t>
      </w:r>
      <w:r>
        <w:rPr>
          <w:b/>
          <w:bCs/>
          <w:sz w:val="22"/>
          <w:szCs w:val="22"/>
          <w:rFonts w:ascii="Arial" w:cs="Arial" w:eastAsia="Arial" w:hAnsi="Arial"/>
        </w:rPr>
        <w:t xml:space="preserve">Small Industries Development Bank</w:t>
      </w:r>
      <w:r>
        <w:rPr>
          <w:sz w:val="22"/>
          <w:szCs w:val="22"/>
          <w:rFonts w:ascii="Arial" w:cs="Arial" w:eastAsia="Arial" w:hAnsi="Arial"/>
        </w:rPr>
        <w:t xml:space="preserve"> (1990), and the </w:t>
      </w:r>
      <w:r>
        <w:rPr>
          <w:b/>
          <w:bCs/>
          <w:sz w:val="22"/>
          <w:szCs w:val="22"/>
          <w:rFonts w:ascii="Arial" w:cs="Arial" w:eastAsia="Arial" w:hAnsi="Arial"/>
        </w:rPr>
        <w:t xml:space="preserve">Discount and Finance House of India</w:t>
      </w:r>
      <w:r>
        <w:rPr>
          <w:sz w:val="22"/>
          <w:szCs w:val="22"/>
          <w:rFonts w:ascii="Arial" w:cs="Arial" w:eastAsia="Arial" w:hAnsi="Arial"/>
        </w:rPr>
        <w:t xml:space="preserve"> and the </w:t>
      </w:r>
      <w:r>
        <w:rPr>
          <w:b/>
          <w:bCs/>
          <w:sz w:val="22"/>
          <w:szCs w:val="22"/>
          <w:rFonts w:ascii="Arial" w:cs="Arial" w:eastAsia="Arial" w:hAnsi="Arial"/>
        </w:rPr>
        <w:t xml:space="preserve">Securities Trading Corporation</w:t>
      </w:r>
      <w:r>
        <w:rPr>
          <w:sz w:val="22"/>
          <w:szCs w:val="22"/>
          <w:rFonts w:ascii="Arial" w:cs="Arial" w:eastAsia="Arial" w:hAnsi="Arial"/>
        </w:rPr>
        <w:t xml:space="preserve"> (1988-1994) for money and securities markets; the </w:t>
      </w:r>
      <w:r>
        <w:rPr>
          <w:b/>
          <w:bCs/>
          <w:sz w:val="22"/>
          <w:szCs w:val="22"/>
          <w:rFonts w:ascii="Arial" w:cs="Arial" w:eastAsia="Arial" w:hAnsi="Arial"/>
        </w:rPr>
        <w:t xml:space="preserve">Lead Bank Scheme</w:t>
      </w:r>
      <w:r>
        <w:rPr>
          <w:sz w:val="22"/>
          <w:szCs w:val="22"/>
          <w:rFonts w:ascii="Arial" w:cs="Arial" w:eastAsia="Arial" w:hAnsi="Arial"/>
        </w:rPr>
        <w:t xml:space="preserve"> (1969) assigned each district to a bank for credit planning; </w:t>
      </w:r>
      <w:r>
        <w:rPr>
          <w:b/>
          <w:bCs/>
          <w:sz w:val="22"/>
          <w:szCs w:val="22"/>
          <w:rFonts w:ascii="Arial" w:cs="Arial" w:eastAsia="Arial" w:hAnsi="Arial"/>
        </w:rPr>
        <w:t xml:space="preserve">priority sector lending</w:t>
      </w:r>
      <w:r>
        <w:rPr>
          <w:sz w:val="22"/>
          <w:szCs w:val="22"/>
          <w:rFonts w:ascii="Arial" w:cs="Arial" w:eastAsia="Arial" w:hAnsi="Arial"/>
        </w:rPr>
        <w:t xml:space="preserve"> targets (since 1972, formalised in 1980 and revised in 2020) direct forty per cent of net bank credit to agriculture, micro and small enterprises, housing, education, export credit and weaker sections; the </w:t>
      </w:r>
      <w:r>
        <w:rPr>
          <w:b/>
          <w:bCs/>
          <w:sz w:val="22"/>
          <w:szCs w:val="22"/>
          <w:rFonts w:ascii="Arial" w:cs="Arial" w:eastAsia="Arial" w:hAnsi="Arial"/>
        </w:rPr>
        <w:t xml:space="preserve">Regional Rural Banks</w:t>
      </w:r>
      <w:r>
        <w:rPr>
          <w:sz w:val="22"/>
          <w:szCs w:val="22"/>
          <w:rFonts w:ascii="Arial" w:cs="Arial" w:eastAsia="Arial" w:hAnsi="Arial"/>
        </w:rPr>
        <w:t xml:space="preserve"> (1975) and the </w:t>
      </w:r>
      <w:r>
        <w:rPr>
          <w:b/>
          <w:bCs/>
          <w:sz w:val="22"/>
          <w:szCs w:val="22"/>
          <w:rFonts w:ascii="Arial" w:cs="Arial" w:eastAsia="Arial" w:hAnsi="Arial"/>
        </w:rPr>
        <w:t xml:space="preserve">Service Area Approach</w:t>
      </w:r>
      <w:r>
        <w:rPr>
          <w:sz w:val="22"/>
          <w:szCs w:val="22"/>
          <w:rFonts w:ascii="Arial" w:cs="Arial" w:eastAsia="Arial" w:hAnsi="Arial"/>
        </w:rPr>
        <w:t xml:space="preserve"> (1989) took banking to villages; the </w:t>
      </w:r>
      <w:r>
        <w:rPr>
          <w:b/>
          <w:bCs/>
          <w:sz w:val="22"/>
          <w:szCs w:val="22"/>
          <w:rFonts w:ascii="Arial" w:cs="Arial" w:eastAsia="Arial" w:hAnsi="Arial"/>
        </w:rPr>
        <w:t xml:space="preserve">Rural Infrastructure Development Fund</w:t>
      </w:r>
      <w:r>
        <w:rPr>
          <w:sz w:val="22"/>
          <w:szCs w:val="22"/>
          <w:rFonts w:ascii="Arial" w:cs="Arial" w:eastAsia="Arial" w:hAnsi="Arial"/>
        </w:rPr>
        <w:t xml:space="preserve"> (1995, with NABARD) absorbs priority-sector shortfalls; </w:t>
      </w:r>
      <w:r>
        <w:rPr>
          <w:b/>
          <w:bCs/>
          <w:sz w:val="22"/>
          <w:szCs w:val="22"/>
          <w:rFonts w:ascii="Arial" w:cs="Arial" w:eastAsia="Arial" w:hAnsi="Arial"/>
        </w:rPr>
        <w:t xml:space="preserve">financial inclusion</w:t>
      </w:r>
      <w:r>
        <w:rPr>
          <w:sz w:val="22"/>
          <w:szCs w:val="22"/>
          <w:rFonts w:ascii="Arial" w:cs="Arial" w:eastAsia="Arial" w:hAnsi="Arial"/>
        </w:rPr>
        <w:t xml:space="preserve"> — the no-frills account (2005), the business correspondent model (2006), the Financial Inclusion Plans (2010), the Pradhan Mantri Jan Dhan Yojana (2014, with over fifty crore accounts), the Financial Literacy Centres, the Payments Banks and Small Finance Banks (2015), the Kisan Credit Card, and the Unified Payments Interface (NPCI, 2016, promoted by the Bank under the PSS Act) — is the modern form of the promotional role; and the Bank runs the </w:t>
      </w:r>
      <w:r>
        <w:rPr>
          <w:b/>
          <w:bCs/>
          <w:sz w:val="22"/>
          <w:szCs w:val="22"/>
          <w:rFonts w:ascii="Arial" w:cs="Arial" w:eastAsia="Arial" w:hAnsi="Arial"/>
        </w:rPr>
        <w:t xml:space="preserve">Banking Ombudsman</w:t>
      </w:r>
      <w:r>
        <w:rPr>
          <w:sz w:val="22"/>
          <w:szCs w:val="22"/>
          <w:rFonts w:ascii="Arial" w:cs="Arial" w:eastAsia="Arial" w:hAnsi="Arial"/>
        </w:rPr>
        <w:t xml:space="preserve"> (1995, now the Reserve Bank Integrated Ombudsman Scheme 2021 covering banks, NBFCs and payment operators) and the Depositor Education and Awareness Fund. Critics of the developmental role (the 1991 Narasimham Committee) argued that directed credit and refinance blunted the Bank's monetary and supervisory functions and recommended their transfer to NABARD and separate institutions — largely done; the Bank retains the promotional mandate under Sec 54 and its financial-inclusion agenda.</w:t>
      </w:r>
    </w:p>
    <w:p>
      <w:pPr>
        <w:spacing w:before="240" w:after="120"/>
      </w:pPr>
      <w:r>
        <w:rPr>
          <w:b/>
          <w:bCs/>
          <w:color w:val="404040"/>
          <w:sz w:val="23"/>
          <w:szCs w:val="23"/>
          <w:rFonts w:ascii="Arial" w:cs="Arial" w:eastAsia="Arial" w:hAnsi="Arial"/>
        </w:rPr>
        <w:t xml:space="preserve">RBI and commercial banks — a summary</w:t>
      </w:r>
    </w:p>
    <w:p>
      <w:pPr>
        <w:spacing w:after="120" w:line="300"/>
        <w:jc w:val="both"/>
      </w:pPr>
      <w:r>
        <w:rPr>
          <w:sz w:val="22"/>
          <w:szCs w:val="22"/>
          <w:rFonts w:ascii="Arial" w:cs="Arial" w:eastAsia="Arial" w:hAnsi="Arial"/>
        </w:rPr>
        <w:t xml:space="preserve">The Bank stands to commercial banks as (1) </w:t>
      </w:r>
      <w:r>
        <w:rPr>
          <w:b/>
          <w:bCs/>
          <w:sz w:val="22"/>
          <w:szCs w:val="22"/>
          <w:rFonts w:ascii="Arial" w:cs="Arial" w:eastAsia="Arial" w:hAnsi="Arial"/>
        </w:rPr>
        <w:t xml:space="preserve">regulator and licensor</w:t>
      </w:r>
      <w:r>
        <w:rPr>
          <w:sz w:val="22"/>
          <w:szCs w:val="22"/>
          <w:rFonts w:ascii="Arial" w:cs="Arial" w:eastAsia="Arial" w:hAnsi="Arial"/>
        </w:rPr>
        <w:t xml:space="preserve"> (Sec 22-23 BR Act); (2) </w:t>
      </w:r>
      <w:r>
        <w:rPr>
          <w:b/>
          <w:bCs/>
          <w:sz w:val="22"/>
          <w:szCs w:val="22"/>
          <w:rFonts w:ascii="Arial" w:cs="Arial" w:eastAsia="Arial" w:hAnsi="Arial"/>
        </w:rPr>
        <w:t xml:space="preserve">supervisor</w:t>
      </w:r>
      <w:r>
        <w:rPr>
          <w:sz w:val="22"/>
          <w:szCs w:val="22"/>
          <w:rFonts w:ascii="Arial" w:cs="Arial" w:eastAsia="Arial" w:hAnsi="Arial"/>
        </w:rPr>
        <w:t xml:space="preserve"> — inspection (Sec 35), directions (Sec 35A), prompt corrective action, the Board for Financial Supervision (1994); (3) </w:t>
      </w:r>
      <w:r>
        <w:rPr>
          <w:b/>
          <w:bCs/>
          <w:sz w:val="22"/>
          <w:szCs w:val="22"/>
          <w:rFonts w:ascii="Arial" w:cs="Arial" w:eastAsia="Arial" w:hAnsi="Arial"/>
        </w:rPr>
        <w:t xml:space="preserve">controller of credit</w:t>
      </w:r>
      <w:r>
        <w:rPr>
          <w:sz w:val="22"/>
          <w:szCs w:val="22"/>
          <w:rFonts w:ascii="Arial" w:cs="Arial" w:eastAsia="Arial" w:hAnsi="Arial"/>
        </w:rPr>
        <w:t xml:space="preserve"> — quantitative controls (CRR under Sec 42 RBI Act, SLR under Sec 24 BR Act, bank rate under Sec 49, repo operations, open market operations) and qualitative controls (Sec 21 BR Act margins, purposes, exposure limits, priority-sector directions, moral suasion, direct action); (4) </w:t>
      </w:r>
      <w:r>
        <w:rPr>
          <w:b/>
          <w:bCs/>
          <w:sz w:val="22"/>
          <w:szCs w:val="22"/>
          <w:rFonts w:ascii="Arial" w:cs="Arial" w:eastAsia="Arial" w:hAnsi="Arial"/>
        </w:rPr>
        <w:t xml:space="preserve">lender of last resort</w:t>
      </w:r>
      <w:r>
        <w:rPr>
          <w:sz w:val="22"/>
          <w:szCs w:val="22"/>
          <w:rFonts w:ascii="Arial" w:cs="Arial" w:eastAsia="Arial" w:hAnsi="Arial"/>
        </w:rPr>
        <w:t xml:space="preserve"> (Sec 17-18 RBI Act, the liquidity facilities); (5) </w:t>
      </w:r>
      <w:r>
        <w:rPr>
          <w:b/>
          <w:bCs/>
          <w:sz w:val="22"/>
          <w:szCs w:val="22"/>
          <w:rFonts w:ascii="Arial" w:cs="Arial" w:eastAsia="Arial" w:hAnsi="Arial"/>
        </w:rPr>
        <w:t xml:space="preserve">clearing house and payment-system operator</w:t>
      </w:r>
      <w:r>
        <w:rPr>
          <w:sz w:val="22"/>
          <w:szCs w:val="22"/>
          <w:rFonts w:ascii="Arial" w:cs="Arial" w:eastAsia="Arial" w:hAnsi="Arial"/>
        </w:rPr>
        <w:t xml:space="preserve"> (the PSS Act 2007; RTGS, NEFT, the Cheque Truncation System operated through the National Payments Corporation of India under the Bank's oversight); (6) </w:t>
      </w:r>
      <w:r>
        <w:rPr>
          <w:b/>
          <w:bCs/>
          <w:sz w:val="22"/>
          <w:szCs w:val="22"/>
          <w:rFonts w:ascii="Arial" w:cs="Arial" w:eastAsia="Arial" w:hAnsi="Arial"/>
        </w:rPr>
        <w:t xml:space="preserve">banker</w:t>
      </w:r>
      <w:r>
        <w:rPr>
          <w:sz w:val="22"/>
          <w:szCs w:val="22"/>
          <w:rFonts w:ascii="Arial" w:cs="Arial" w:eastAsia="Arial" w:hAnsi="Arial"/>
        </w:rPr>
        <w:t xml:space="preserve"> — the banks' accounts and currency chests; (7) </w:t>
      </w:r>
      <w:r>
        <w:rPr>
          <w:b/>
          <w:bCs/>
          <w:sz w:val="22"/>
          <w:szCs w:val="22"/>
          <w:rFonts w:ascii="Arial" w:cs="Arial" w:eastAsia="Arial" w:hAnsi="Arial"/>
        </w:rPr>
        <w:t xml:space="preserve">manager of foreign exchange</w:t>
      </w:r>
      <w:r>
        <w:rPr>
          <w:sz w:val="22"/>
          <w:szCs w:val="22"/>
          <w:rFonts w:ascii="Arial" w:cs="Arial" w:eastAsia="Arial" w:hAnsi="Arial"/>
        </w:rPr>
        <w:t xml:space="preserve"> — the Foreign Exchange Management Act 1999 (Sec 10 authorised dealers, Sec 6 capital-account controls, Sec 11-12 directions and inspection); (8) </w:t>
      </w:r>
      <w:r>
        <w:rPr>
          <w:b/>
          <w:bCs/>
          <w:sz w:val="22"/>
          <w:szCs w:val="22"/>
          <w:rFonts w:ascii="Arial" w:cs="Arial" w:eastAsia="Arial" w:hAnsi="Arial"/>
        </w:rPr>
        <w:t xml:space="preserve">resolution authority</w:t>
      </w:r>
      <w:r>
        <w:rPr>
          <w:sz w:val="22"/>
          <w:szCs w:val="22"/>
          <w:rFonts w:ascii="Arial" w:cs="Arial" w:eastAsia="Arial" w:hAnsi="Arial"/>
        </w:rPr>
        <w:t xml:space="preserve"> — moratorium and schemes (Sec 45 BR Act), prompt corrective action, and directions to initiate insolvency (Sec 35AA); (9) </w:t>
      </w:r>
      <w:r>
        <w:rPr>
          <w:b/>
          <w:bCs/>
          <w:sz w:val="22"/>
          <w:szCs w:val="22"/>
          <w:rFonts w:ascii="Arial" w:cs="Arial" w:eastAsia="Arial" w:hAnsi="Arial"/>
        </w:rPr>
        <w:t xml:space="preserve">consumer protection</w:t>
      </w:r>
      <w:r>
        <w:rPr>
          <w:sz w:val="22"/>
          <w:szCs w:val="22"/>
          <w:rFonts w:ascii="Arial" w:cs="Arial" w:eastAsia="Arial" w:hAnsi="Arial"/>
        </w:rPr>
        <w:t xml:space="preserve"> — the Ombudsman, the fair-practices codes, and the customer-protection directions; and (10) </w:t>
      </w:r>
      <w:r>
        <w:rPr>
          <w:b/>
          <w:bCs/>
          <w:sz w:val="22"/>
          <w:szCs w:val="22"/>
          <w:rFonts w:ascii="Arial" w:cs="Arial" w:eastAsia="Arial" w:hAnsi="Arial"/>
        </w:rPr>
        <w:t xml:space="preserve">information exchange</w:t>
      </w:r>
      <w:r>
        <w:rPr>
          <w:sz w:val="22"/>
          <w:szCs w:val="22"/>
          <w:rFonts w:ascii="Arial" w:cs="Arial" w:eastAsia="Arial" w:hAnsi="Arial"/>
        </w:rPr>
        <w:t xml:space="preserve"> — credit information (Sec 45 RBI Act, the CIC Act), the Central Repository of Information on Large Credits (CRILC, 2014), and the fraud registry. The relationship is hierarchical but consultative: the Bank's Master Directions are issued after discussion with the Indian Banks' Association; the Bank's own balance sheet is affected by the banks' reserves; and the Bank's monetary policy transmits to the economy only through the banks' lending rates, which is why the Bank has successively mandated the benchmark prime lending rate (2003), the base rate (2010), the marginal cost of funds based lending rate (2016) and the external benchmark (2019) for retail and MSME loans.</w:t>
      </w:r>
    </w:p>
    <w:p>
      <w:pPr>
        <w:pBdr>
          <w:left w:val="single" w:color="CC0000" w:sz="6" w:space="8"/>
        </w:pBdr>
        <w:spacing w:before="80" w:after="80"/>
        <w:ind w:left="300"/>
      </w:pPr>
      <w:r>
        <w:rPr>
          <w:b/>
          <w:bCs/>
          <w:color w:val="CC0000"/>
          <w:sz w:val="21"/>
          <w:szCs w:val="21"/>
          <w:rFonts w:ascii="Arial" w:cs="Arial" w:eastAsia="Arial" w:hAnsi="Arial"/>
        </w:rPr>
        <w:t xml:space="preserve">Vivek Narayan Sharma v. Union of India (2023) 3 SCC 1 — </w:t>
      </w:r>
      <w:r>
        <w:rPr>
          <w:sz w:val="21"/>
          <w:szCs w:val="21"/>
          <w:rFonts w:ascii="Arial" w:cs="Arial" w:eastAsia="Arial" w:hAnsi="Arial"/>
        </w:rPr>
        <w:t xml:space="preserve">The 2016 demonetisation under Sec 26(2) of the RBI Act was valid: 'any series' includes all series of a denomination, the Central Board's recommendation is the safeguard, the measure satisfied proportionality, and the fifty-two-day window was reasonable; Justice Nagarathna dissented on the Government's initiation and the need for legislation.</w:t>
      </w:r>
    </w:p>
    <w:p>
      <w:pPr>
        <w:pBdr>
          <w:left w:val="single" w:color="CC0000" w:sz="6" w:space="8"/>
        </w:pBdr>
        <w:spacing w:before="80" w:after="80"/>
        <w:ind w:left="300"/>
      </w:pPr>
      <w:r>
        <w:rPr>
          <w:b/>
          <w:bCs/>
          <w:color w:val="CC0000"/>
          <w:sz w:val="21"/>
          <w:szCs w:val="21"/>
          <w:rFonts w:ascii="Arial" w:cs="Arial" w:eastAsia="Arial" w:hAnsi="Arial"/>
        </w:rPr>
        <w:t xml:space="preserve">Jayantilal Ratanchand Shah v. Reserve Bank of India (1996) 9 SCC 650 — </w:t>
      </w:r>
      <w:r>
        <w:rPr>
          <w:sz w:val="21"/>
          <w:szCs w:val="21"/>
          <w:rFonts w:ascii="Arial" w:cs="Arial" w:eastAsia="Arial" w:hAnsi="Arial"/>
        </w:rPr>
        <w:t xml:space="preserve">The High Denomination Bank Notes (Demonetisation) Act 1978 was valid; demonetisation is not an acquisition of property requiring compensation, and the restrictions on exchange were reasonable — the precedent on which the 2023 majority relied.</w:t>
      </w:r>
    </w:p>
    <w:p>
      <w:pPr>
        <w:pBdr>
          <w:left w:val="single" w:color="CC0000" w:sz="6" w:space="8"/>
        </w:pBdr>
        <w:spacing w:before="80" w:after="80"/>
        <w:ind w:left="300"/>
      </w:pPr>
      <w:r>
        <w:rPr>
          <w:b/>
          <w:bCs/>
          <w:color w:val="CC0000"/>
          <w:sz w:val="21"/>
          <w:szCs w:val="21"/>
          <w:rFonts w:ascii="Arial" w:cs="Arial" w:eastAsia="Arial" w:hAnsi="Arial"/>
        </w:rPr>
        <w:t xml:space="preserve">State Bank of India v. Rajesh Agarwal (2023) 6 SCC 1 — </w:t>
      </w:r>
      <w:r>
        <w:rPr>
          <w:sz w:val="21"/>
          <w:szCs w:val="21"/>
          <w:rFonts w:ascii="Arial" w:cs="Arial" w:eastAsia="Arial" w:hAnsi="Arial"/>
        </w:rPr>
        <w:t xml:space="preserve">Before classifying a borrower's account as fraud under the RBI's Master Directions on Frauds — a decision with civil consequences including a bar on institutional finance — the bank must give the borrower an opportunity of being heard; the directions were read to include natural justice.</w:t>
      </w:r>
    </w:p>
    <w:p>
      <w:pPr>
        <w:pBdr>
          <w:left w:val="single" w:color="CC0000" w:sz="6" w:space="8"/>
        </w:pBdr>
        <w:spacing w:before="80" w:after="80"/>
        <w:ind w:left="300"/>
      </w:pPr>
      <w:r>
        <w:rPr>
          <w:b/>
          <w:bCs/>
          <w:color w:val="CC0000"/>
          <w:sz w:val="21"/>
          <w:szCs w:val="21"/>
          <w:rFonts w:ascii="Arial" w:cs="Arial" w:eastAsia="Arial" w:hAnsi="Arial"/>
        </w:rPr>
        <w:t xml:space="preserve">Internet and Mobile Association of India v. Reserve Bank of India (2020) 10 SCC 274 — </w:t>
      </w:r>
      <w:r>
        <w:rPr>
          <w:sz w:val="21"/>
          <w:szCs w:val="21"/>
          <w:rFonts w:ascii="Arial" w:cs="Arial" w:eastAsia="Arial" w:hAnsi="Arial"/>
        </w:rPr>
        <w:t xml:space="preserve">The RBI's 2018 circular directing banks to stop dealing with crypto-currency exchanges was set aside as disproportionate in the absence of any demonstrated harm to the regulated entities; the RBI has the power to regulate 'virtual currencies' only through banks, not directly.</w:t>
      </w:r>
    </w:p>
    <w:p>
      <w:pPr>
        <w:pBdr>
          <w:left w:val="single" w:color="CC0000" w:sz="6" w:space="8"/>
        </w:pBdr>
        <w:spacing w:before="80" w:after="80"/>
        <w:ind w:left="300"/>
      </w:pPr>
      <w:r>
        <w:rPr>
          <w:b/>
          <w:bCs/>
          <w:color w:val="CC0000"/>
          <w:sz w:val="21"/>
          <w:szCs w:val="21"/>
          <w:rFonts w:ascii="Arial" w:cs="Arial" w:eastAsia="Arial" w:hAnsi="Arial"/>
        </w:rPr>
        <w:t xml:space="preserve">Peerless General Finance and Investment Co. v. Reserve Bank of India (1992) 2 SCC 343 — </w:t>
      </w:r>
      <w:r>
        <w:rPr>
          <w:sz w:val="21"/>
          <w:szCs w:val="21"/>
          <w:rFonts w:ascii="Arial" w:cs="Arial" w:eastAsia="Arial" w:hAnsi="Arial"/>
        </w:rPr>
        <w:t xml:space="preserve">The RBI's directions under Sec 45K-45L to non-banking companies on deposit-taking are valid; the court will not sit in appeal over the RBI's economic judgment; the RBI's expertise in regulating deposit-taking is entitled to deference.</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The RBI operates the payment rails on which every bank runs: RTGS (24x7 since 2020), NEFT (24x7 since 2019), the Cheque Truncation System, and, through NPCI, UPI, IMPS, RuPay, NACH and AePS; the Payment and Settlement Systems Act 2007 (Sec 4 authorisation, Sec 10 directions, Sec 23 settlement finality) is the RBI's statutory basis; the 2022 Central Bank Digital Currency pilots (e-rupee retail and wholesale) use the amended Sec 22; the RBI's Innovation Hub and regulatory sandbox (2019) test fintech; the Account Aggregator framework (2016, Sec 45JA NBFC-AA licences) moves financial data with consent; and the RBI's 2024 proposals on a Digital Payments Intelligence Platform respond to fraud. Demonetisation was executed through the core banking systems of every bank and the currency-chest network, which is why the RBI could report the return of ninety-nine point three per cent of the notes in its 2018 annual report.</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'Sec 26(2) demonetisation', 'Scheduled bank', 'CRR and SLR', 'Bank rate', 'Monetary Policy Committee', 'Lender of last resort', 'Sec 7 directions', 'NBFC registration', 'Sec 45S', 'DICGC'. Part B: 'Discuss the functions of the Reserve Bank of India under the RBI Act' — constitution, note issue with the demonetisation case, banker to Government, bankers' bank and lender of last resort, controller of credit and monetary policy, regulator of NBFCs, foreign exchange, developmental role; or 'Explain the promotional and developmental role of the RBI'; or 'What is the relationship between the RBI and commercial banks?'. Part C: the Government demonetises the two-thousand-rupee note by notification without the Board's recommendation — Sec 26(2) requires the recommendation (Vivek Narayan Sharma); a bank fails to maintain CRR — penal interest under Sec 42(3) and possibly Sec 46 penalties; a partnership firm accepts public deposits — prohibited under Sec 45S and the 2019 Act.</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11 — The Day the Banks Became the People's: R.C. Cooper and Nationalisation</w:t>
      </w:r>
    </w:p>
    <w:p>
      <w:pPr>
        <w:pStyle w:val="Heading2"/>
        <w:spacing w:before="360" w:after="160"/>
      </w:pPr>
      <w:r>
        <w:rPr>
          <w:b/>
          <w:bCs/>
          <w:color w:val="2E75B6"/>
          <w:sz w:val="26"/>
          <w:szCs w:val="26"/>
          <w:rFonts w:ascii="Arial" w:cs="Arial" w:eastAsia="Arial" w:hAnsi="Arial"/>
        </w:rPr>
        <w:t xml:space="preserve">Covers: The nationalisation of banks — 1949, 1955, 1969, 1980 · The Bank Nationalisation case and the 1970 Act · Effects, achievements and drawbacks · Liberalisation and globalisation after 1991 — the Narasimham Committees, Basel norms, private and foreign banks, consolidation · Recovery laws — DRT Act 1993, SARFAESI Act 2002, the Insolvency and Bankruptcy Code 2016 · Non-performing assets and the debate on privatisation</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New Delhi, 19 July 1969. The Prime Minister, having just relieved her Finance Minister of his portfolio, promulgates the Banking Companies (Acquisition and Transfer of Undertakings) Ordinance at night: the fourteen largest private banks, holding eighty-five per cent of the country's deposits, become the property of the Government at midnight. Parliament passes the Act in August. R.C. Cooper, a shareholder and director of the Central Bank of India, files a writ petition under Article 32 as a citizen whose fundamental rights are affected through his company. In February 1970 a Bench of eleven judges, by ten to one, strikes down the Act: Parliament had the competence under Entry 45 of the Union List to acquire the banks, but the Act violated Article 31(2) because the compensation principles were illusory — they excluded the goodwill and the value of the business as a going concern — and violated Article 19(1)(f) and (g) because it prohibited the banks from carrying on any banking business at all while allowing other banks to do so, which was unreasonable; the Court also overruled the Gopalan 'object' test and held that the effect of a law on fundamental rights, not its object, determines its validity — the doctrine that later became the basis of Maneka Gandhi. The Government re-enacted the Act within a month with revised compensation, and the Constitution (Twenty-fifth Amendment) Act 1971 replaced 'compensation' with 'amount' in Article 31 to prevent a repetition. Six more banks were nationalised in 1980. R.C. Cooper is thus the story of how the private banks became public banks — what the State expected, what it got, what went wrong, and how, from 1991, the direction was reversed by liberalisation, new private banks, foreign banks, prudential norms, recovery laws, and consolidation.</w:t>
      </w:r>
    </w:p>
    <w:p>
      <w:pPr>
        <w:spacing w:before="240" w:after="120"/>
      </w:pPr>
      <w:r>
        <w:rPr>
          <w:b/>
          <w:bCs/>
          <w:color w:val="404040"/>
          <w:sz w:val="23"/>
          <w:szCs w:val="23"/>
          <w:rFonts w:ascii="Arial" w:cs="Arial" w:eastAsia="Arial" w:hAnsi="Arial"/>
        </w:rPr>
        <w:t xml:space="preserve">The road to nationalisation</w:t>
      </w:r>
    </w:p>
    <w:p>
      <w:pPr>
        <w:spacing w:after="120" w:line="300"/>
        <w:jc w:val="both"/>
      </w:pPr>
      <w:r>
        <w:rPr>
          <w:sz w:val="22"/>
          <w:szCs w:val="22"/>
          <w:rFonts w:ascii="Arial" w:cs="Arial" w:eastAsia="Arial" w:hAnsi="Arial"/>
        </w:rPr>
      </w:r>
      <w:r>
        <w:rPr>
          <w:b/>
          <w:bCs/>
          <w:sz w:val="22"/>
          <w:szCs w:val="22"/>
          <w:rFonts w:ascii="Arial" w:cs="Arial" w:eastAsia="Arial" w:hAnsi="Arial"/>
        </w:rPr>
        <w:t xml:space="preserve">1949:</w:t>
      </w:r>
      <w:r>
        <w:rPr>
          <w:sz w:val="22"/>
          <w:szCs w:val="22"/>
          <w:rFonts w:ascii="Arial" w:cs="Arial" w:eastAsia="Arial" w:hAnsi="Arial"/>
        </w:rPr>
        <w:t xml:space="preserve"> the Reserve Bank was nationalised and the Banking Companies Act passed to regulate the private banks, four hundred of which had failed between 1913 and 1948. </w:t>
      </w:r>
      <w:r>
        <w:rPr>
          <w:b/>
          <w:bCs/>
          <w:sz w:val="22"/>
          <w:szCs w:val="22"/>
          <w:rFonts w:ascii="Arial" w:cs="Arial" w:eastAsia="Arial" w:hAnsi="Arial"/>
        </w:rPr>
        <w:t xml:space="preserve">1955:</w:t>
      </w:r>
      <w:r>
        <w:rPr>
          <w:sz w:val="22"/>
          <w:szCs w:val="22"/>
          <w:rFonts w:ascii="Arial" w:cs="Arial" w:eastAsia="Arial" w:hAnsi="Arial"/>
        </w:rPr>
        <w:t xml:space="preserve"> the All India Rural Credit Survey Committee (Gorwala, 1954) found that commercial banks supplied less than one per cent of rural credit; the Imperial Bank of India (formed in 1921 from the three Presidency Banks) was nationalised as the </w:t>
      </w:r>
      <w:r>
        <w:rPr>
          <w:b/>
          <w:bCs/>
          <w:sz w:val="22"/>
          <w:szCs w:val="22"/>
          <w:rFonts w:ascii="Arial" w:cs="Arial" w:eastAsia="Arial" w:hAnsi="Arial"/>
        </w:rPr>
        <w:t xml:space="preserve">State Bank of India</w:t>
      </w:r>
      <w:r>
        <w:rPr>
          <w:sz w:val="22"/>
          <w:szCs w:val="22"/>
          <w:rFonts w:ascii="Arial" w:cs="Arial" w:eastAsia="Arial" w:hAnsi="Arial"/>
        </w:rPr>
        <w:t xml:space="preserve"> under the State Bank of India Act 1955, with a mandate to open four hundred rural branches in five years; in 1959 the State Bank of India (Subsidiary Banks) Act took over eight State-associated banks (the State Banks of Hyderabad, Mysore, Travancore, Patiala, Bikaner, Jaipur, Indore and Saurashtra — merged into the SBI between 2008 and 2017). </w:t>
      </w:r>
      <w:r>
        <w:rPr>
          <w:b/>
          <w:bCs/>
          <w:sz w:val="22"/>
          <w:szCs w:val="22"/>
          <w:rFonts w:ascii="Arial" w:cs="Arial" w:eastAsia="Arial" w:hAnsi="Arial"/>
        </w:rPr>
        <w:t xml:space="preserve">1967-68:</w:t>
      </w:r>
      <w:r>
        <w:rPr>
          <w:sz w:val="22"/>
          <w:szCs w:val="22"/>
          <w:rFonts w:ascii="Arial" w:cs="Arial" w:eastAsia="Arial" w:hAnsi="Arial"/>
        </w:rPr>
        <w:t xml:space="preserve"> the 'social control' scheme — the Banking Laws (Amendment) Act 1968 added Sec 10A (board composition), Sec 20 (no loans to directors), Sec 36AA-36AC (removal of management) and the National Credit Council; the private banks, controlled by industrial houses, were accused of lending to their own groups (the Tata, Birla and other houses controlled the Central Bank, the United Commercial Bank and others) and neglecting agriculture and small industry. </w:t>
      </w:r>
      <w:r>
        <w:rPr>
          <w:b/>
          <w:bCs/>
          <w:sz w:val="22"/>
          <w:szCs w:val="22"/>
          <w:rFonts w:ascii="Arial" w:cs="Arial" w:eastAsia="Arial" w:hAnsi="Arial"/>
        </w:rPr>
        <w:t xml:space="preserve">1969:</w:t>
      </w:r>
      <w:r>
        <w:rPr>
          <w:sz w:val="22"/>
          <w:szCs w:val="22"/>
          <w:rFonts w:ascii="Arial" w:cs="Arial" w:eastAsia="Arial" w:hAnsi="Arial"/>
        </w:rPr>
        <w:t xml:space="preserve"> the Ordinance of 19 July and the Act of 9 August nationalised the fourteen banks with deposits above fifty crore rupees — the Central Bank of India, Bank of India, Punjab National Bank, Bank of Baroda, United Commercial Bank, Canara Bank, United Bank of India, Dena Bank, Syndicate Bank, Union Bank of India, Allahabad Bank, Indian Bank, Bank of Maharashtra and Indian Overseas Bank; </w:t>
      </w:r>
      <w:r>
        <w:rPr>
          <w:b/>
          <w:bCs/>
          <w:sz w:val="22"/>
          <w:szCs w:val="22"/>
          <w:rFonts w:ascii="Arial" w:cs="Arial" w:eastAsia="Arial" w:hAnsi="Arial"/>
        </w:rPr>
        <w:t xml:space="preserve">R.C. Cooper v. Union of India (1970)</w:t>
      </w:r>
      <w:r>
        <w:rPr>
          <w:sz w:val="22"/>
          <w:szCs w:val="22"/>
          <w:rFonts w:ascii="Arial" w:cs="Arial" w:eastAsia="Arial" w:hAnsi="Arial"/>
        </w:rPr>
        <w:t xml:space="preserve"> struck down the Act; the Banking Companies (Acquisition and Transfer of Undertakings) Act 1970 re-enacted it retrospectively with compensation on a revised basis; the Twenty-fifth Amendment (1971) inserted Art 31C and changed Art 31(2). </w:t>
      </w:r>
      <w:r>
        <w:rPr>
          <w:b/>
          <w:bCs/>
          <w:sz w:val="22"/>
          <w:szCs w:val="22"/>
          <w:rFonts w:ascii="Arial" w:cs="Arial" w:eastAsia="Arial" w:hAnsi="Arial"/>
        </w:rPr>
        <w:t xml:space="preserve">1980:</w:t>
      </w:r>
      <w:r>
        <w:rPr>
          <w:sz w:val="22"/>
          <w:szCs w:val="22"/>
          <w:rFonts w:ascii="Arial" w:cs="Arial" w:eastAsia="Arial" w:hAnsi="Arial"/>
        </w:rPr>
        <w:t xml:space="preserve"> six more banks with deposits above two hundred crore rupees were nationalised by the 1980 Act — Andhra Bank, Corporation Bank, New Bank of India, Oriental Bank of Commerce, Punjab and Sind Bank and Vijaya Bank — bringing ninety-one per cent of deposits under public ownership; New Bank of India was merged with Punjab National Bank in 1993, the first merger of nationalised banks. The </w:t>
      </w:r>
      <w:r>
        <w:rPr>
          <w:b/>
          <w:bCs/>
          <w:sz w:val="22"/>
          <w:szCs w:val="22"/>
          <w:rFonts w:ascii="Arial" w:cs="Arial" w:eastAsia="Arial" w:hAnsi="Arial"/>
        </w:rPr>
        <w:t xml:space="preserve">1970 and 1980 Acts:</w:t>
      </w:r>
      <w:r>
        <w:rPr>
          <w:sz w:val="22"/>
          <w:szCs w:val="22"/>
          <w:rFonts w:ascii="Arial" w:cs="Arial" w:eastAsia="Arial" w:hAnsi="Arial"/>
        </w:rPr>
        <w:t xml:space="preserve"> Sec 3 — the 'corresponding new banks' as bodies corporate with the Central Government holding the entire capital (later diluted to not less than fifty-one per cent by the 1994 amendment allowing public shareholding); Sec 4-5 — the undertakings vest in the new banks; Sec 6 — compensation; Sec 7 — the head office; Sec 8 — the business to be carried on in accordance with the Central Government's directions on policy involving public interest, after consultation with the RBI; Sec 9 — the Central Government's scheme-making power (used for the boards, the merger of banks and the 2019-2020 amalgamations); Sec 10 — closure of accounts and audit; Sec 13 — the obligation of secrecy (Episode 01); Sec 19 — regulations. Regional Rural Banks (1975-76) and the takeover of the co-operative credit structure's apex functions by NABARD (1982) completed the public architecture.</w:t>
      </w:r>
    </w:p>
    <w:p>
      <w:pPr>
        <w:spacing w:before="240" w:after="120"/>
      </w:pPr>
      <w:r>
        <w:rPr>
          <w:b/>
          <w:bCs/>
          <w:color w:val="404040"/>
          <w:sz w:val="23"/>
          <w:szCs w:val="23"/>
          <w:rFonts w:ascii="Arial" w:cs="Arial" w:eastAsia="Arial" w:hAnsi="Arial"/>
        </w:rPr>
        <w:t xml:space="preserve">Effects, achievements and drawbacks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Achievements:</w:t>
      </w:r>
      <w:r>
        <w:rPr>
          <w:sz w:val="22"/>
          <w:szCs w:val="22"/>
          <w:rFonts w:ascii="Arial" w:cs="Arial" w:eastAsia="Arial" w:hAnsi="Arial"/>
        </w:rPr>
        <w:t xml:space="preserve"> branch expansion from 8,262 branches in June 1969 to over 60,000 by 1991, with the rural share rising from twenty-two per cent to fifty-eight per cent under the branch-licensing policy (four rural branches for each urban one); deposit mobilisation — the deposit-to-GDP ratio rose from thirteen per cent to thirty-eight per cent; the priority-sector share of credit rose from fourteen per cent to over forty per cent; the Lead Bank Scheme, the Differential Rate of Interest scheme (1972 — four per cent loans to the poorest), the Integrated Rural Development Programme (1980), the Regional Rural Banks; the green revolution's credit; the end of the industrial houses' control over bank credit and of bank failures (no depositor lost money in a scheduled bank after 1969); employment and unionisation in banks; and the 'social banking' that the Rangarajan? — that the Committee on the Financial System (Narasimham I, 1991) acknowledged before criticising its costs. </w:t>
      </w:r>
      <w:r>
        <w:rPr>
          <w:b/>
          <w:bCs/>
          <w:sz w:val="22"/>
          <w:szCs w:val="22"/>
          <w:rFonts w:ascii="Arial" w:cs="Arial" w:eastAsia="Arial" w:hAnsi="Arial"/>
        </w:rPr>
        <w:t xml:space="preserve">Drawbacks:</w:t>
      </w:r>
      <w:r>
        <w:rPr>
          <w:sz w:val="22"/>
          <w:szCs w:val="22"/>
          <w:rFonts w:ascii="Arial" w:cs="Arial" w:eastAsia="Arial" w:hAnsi="Arial"/>
        </w:rPr>
        <w:t xml:space="preserve"> the erosion of profitability — the return on assets of public banks fell to near zero by 1990 as directed credit at concessional rates, the SLR of thirty-eight and a half per cent and the CRR of fifteen per cent pre-empted sixty per cent of deposits, and branch expansion outran viability; the accumulation of bad loans — 'loan melas' (1985-89) and the write-off of agricultural loans in 1990 (the Agricultural and Rural Debt Relief Scheme, ten thousand crore rupees) damaged credit discipline; political interference in lending and appointments; overstaffing and poor customer service; the absence of prudential norms — income was recognised on accrual even on bad loans, so the balance sheets concealed the losses that the 1992 norms revealed (the gross NPAs of public banks were twenty-three per cent in 1993); the securities scam of 1992 (Harshad Mehta) exposed the weakness of internal controls; and the neglect of technology. The </w:t>
      </w:r>
      <w:r>
        <w:rPr>
          <w:b/>
          <w:bCs/>
          <w:sz w:val="22"/>
          <w:szCs w:val="22"/>
          <w:rFonts w:ascii="Arial" w:cs="Arial" w:eastAsia="Arial" w:hAnsi="Arial"/>
        </w:rPr>
        <w:t xml:space="preserve">globalisation</w:t>
      </w:r>
      <w:r>
        <w:rPr>
          <w:sz w:val="22"/>
          <w:szCs w:val="22"/>
          <w:rFonts w:ascii="Arial" w:cs="Arial" w:eastAsia="Arial" w:hAnsi="Arial"/>
        </w:rPr>
        <w:t xml:space="preserve"> context: the 1991 balance-of-payments crisis, the World Trade Organisation's General Agreement on Trade in Services (1995) commitments to allow foreign bank branches, the Basel Committee's capital standards (Basel I 1988, adopted in India in 1992; Basel II 2004, adopted 2008-09; Basel III 2010, adopted from 2013 with the capital conservation buffer completed in 2019), and the entry of foreign banks (Citibank, HSBC, Standard Chartered expanding; the 2013 scheme for wholly owned subsidiaries) exposed Indian banks to international competition and standards; the opening of the capital account for portfolio flows, the External Commercial Borrowings route, and the offshore branches of Indian banks (SBI in London and New York, Bank of Baroda in Africa) connected Indian banking to global markets — with the risks shown by the 2008 crisis (ICICI Bank's exposure to Lehman Brothers) and the 2013 'taper tantrum'.</w:t>
      </w:r>
    </w:p>
    <w:p>
      <w:pPr>
        <w:spacing w:before="240" w:after="120"/>
      </w:pPr>
      <w:r>
        <w:rPr>
          <w:b/>
          <w:bCs/>
          <w:color w:val="404040"/>
          <w:sz w:val="23"/>
          <w:szCs w:val="23"/>
          <w:rFonts w:ascii="Arial" w:cs="Arial" w:eastAsia="Arial" w:hAnsi="Arial"/>
        </w:rPr>
        <w:t xml:space="preserve">Liberalisation after 1991</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Narasimham Committee I (1991)</w:t>
      </w:r>
      <w:r>
        <w:rPr>
          <w:sz w:val="22"/>
          <w:szCs w:val="22"/>
          <w:rFonts w:ascii="Arial" w:cs="Arial" w:eastAsia="Arial" w:hAnsi="Arial"/>
        </w:rPr>
        <w:t xml:space="preserve"> recommended: a reduction of the SLR to twenty-five per cent and the CRR to the statutory minimum; the phasing out of directed credit (priority sector to be reduced to ten per cent — not accepted); deregulation of interest rates; prudential norms on income recognition, asset classification and provisioning (adopted in 1992 — the ninety-day norm for NPAs from 2004, the sub-standard, doubtful and loss categories, and provisioning percentages) and capital adequacy of eight per cent (Basel I); a Board for Financial Supervision within the RBI (1994); the entry of new private banks (the 1993 guidelines — UTI Bank (Axis), HDFC Bank, ICICI Bank, IndusInd Bank, Global Trust Bank, Times Bank, Centurion Bank, Bank of Punjab, IDBI Bank and Development Credit Bank were licensed); freedom for banks to open branches; the recapitalisation of public banks and their access to the capital market (the 1994 amendment of the 1970 Act allowed public issues — SBI's issue of 1993, Oriental Bank of Commerce's in 1994); the Debt Recovery Tribunals (the Recovery of Debts Due to Banks and Financial Institutions Act 1993); and the abolition of the branch-licensing policy. </w:t>
      </w:r>
      <w:r>
        <w:rPr>
          <w:b/>
          <w:bCs/>
          <w:sz w:val="22"/>
          <w:szCs w:val="22"/>
          <w:rFonts w:ascii="Arial" w:cs="Arial" w:eastAsia="Arial" w:hAnsi="Arial"/>
        </w:rPr>
        <w:t xml:space="preserve">The Narasimham Committee II (1998)</w:t>
      </w:r>
      <w:r>
        <w:rPr>
          <w:sz w:val="22"/>
          <w:szCs w:val="22"/>
          <w:rFonts w:ascii="Arial" w:cs="Arial" w:eastAsia="Arial" w:hAnsi="Arial"/>
        </w:rPr>
        <w:t xml:space="preserve"> recommended: Basel II-style risk-based capital of ten per cent; the merger of strong banks and the closure of weak ones ('narrow banking'); the reduction of Government ownership to thirty-three per cent (not accepted); asset reconstruction companies (the 2002 SARFAESI Act); the strengthening of legal recovery; the depoliticisation of boards; and the integration of NBFCs into supervision. The </w:t>
      </w:r>
      <w:r>
        <w:rPr>
          <w:b/>
          <w:bCs/>
          <w:sz w:val="22"/>
          <w:szCs w:val="22"/>
          <w:rFonts w:ascii="Arial" w:cs="Arial" w:eastAsia="Arial" w:hAnsi="Arial"/>
        </w:rPr>
        <w:t xml:space="preserve">Verma Committee (1999)</w:t>
      </w:r>
      <w:r>
        <w:rPr>
          <w:sz w:val="22"/>
          <w:szCs w:val="22"/>
          <w:rFonts w:ascii="Arial" w:cs="Arial" w:eastAsia="Arial" w:hAnsi="Arial"/>
        </w:rPr>
        <w:t xml:space="preserve"> on weak public banks led to recapitalisation and the voluntary retirement scheme of 2001 (one lakh employees). Interest rates were fully deregulated on the lending side by 1994 and on the deposit side by 2011. </w:t>
      </w:r>
      <w:r>
        <w:rPr>
          <w:b/>
          <w:bCs/>
          <w:sz w:val="22"/>
          <w:szCs w:val="22"/>
          <w:rFonts w:ascii="Arial" w:cs="Arial" w:eastAsia="Arial" w:hAnsi="Arial"/>
        </w:rPr>
        <w:t xml:space="preserve">Consolidation:</w:t>
      </w:r>
      <w:r>
        <w:rPr>
          <w:sz w:val="22"/>
          <w:szCs w:val="22"/>
          <w:rFonts w:ascii="Arial" w:cs="Arial" w:eastAsia="Arial" w:hAnsi="Arial"/>
        </w:rPr>
        <w:t xml:space="preserve"> the merger of the SBI's associates (2008-2017), of Bharat Overseas Bank, Global Trust Bank (2004) and United Western Bank (2006) into other banks under Sec 45, of Times Bank, Centurion Bank and Bank of Madura into HDFC and ICICI, of Dena Bank and Vijaya Bank into Bank of Baroda (2019), and the 2020 mega-merger of ten public banks into four (Punjab National Bank with Oriental Bank and United Bank; Canara Bank with Syndicate Bank; Union Bank with Andhra Bank and Corporation Bank; Indian Bank with Allahabad Bank), leaving twelve public sector banks. </w:t>
      </w:r>
      <w:r>
        <w:rPr>
          <w:b/>
          <w:bCs/>
          <w:sz w:val="22"/>
          <w:szCs w:val="22"/>
          <w:rFonts w:ascii="Arial" w:cs="Arial" w:eastAsia="Arial" w:hAnsi="Arial"/>
        </w:rPr>
        <w:t xml:space="preserve">Ownership and governance:</w:t>
      </w:r>
      <w:r>
        <w:rPr>
          <w:sz w:val="22"/>
          <w:szCs w:val="22"/>
          <w:rFonts w:ascii="Arial" w:cs="Arial" w:eastAsia="Arial" w:hAnsi="Arial"/>
        </w:rPr>
        <w:t xml:space="preserve"> the P.J. Nayak Committee (2014) recommended a Bank Investment Company to hold the Government's stakes, the separation of the posts of chairman and managing director (done in 2015), and the Banks Board Bureau (2016, replaced by the Financial Services Institutions Bureau in 2022); the Government's 2021 budget announced the privatisation of two public sector banks and IDBI Bank (partly privatised in 2019 by transfer to LIC), a proposal that remains pending; the 2016 Indradhanush plan and the 2017-2021 recapitalisation (three lakh crore rupees through recapitalisation bonds) addressed the NPA crisis of 2015-2018, when gross NPAs of public banks reached fourteen per cent after the RBI's Asset Quality Review (2015).</w:t>
      </w:r>
    </w:p>
    <w:p>
      <w:pPr>
        <w:spacing w:before="240" w:after="120"/>
      </w:pPr>
      <w:r>
        <w:rPr>
          <w:b/>
          <w:bCs/>
          <w:color w:val="404040"/>
          <w:sz w:val="23"/>
          <w:szCs w:val="23"/>
          <w:rFonts w:ascii="Arial" w:cs="Arial" w:eastAsia="Arial" w:hAnsi="Arial"/>
        </w:rPr>
        <w:t xml:space="preserve">Recovery laws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Recovery of Debts and Bankruptcy Act 1993 (the DRT Act, renamed in 2016):</w:t>
      </w:r>
      <w:r>
        <w:rPr>
          <w:sz w:val="22"/>
          <w:szCs w:val="22"/>
          <w:rFonts w:ascii="Arial" w:cs="Arial" w:eastAsia="Arial" w:hAnsi="Arial"/>
        </w:rPr>
        <w:t xml:space="preserve"> Debts Recovery Tribunals with a presiding officer (a District Judge) and Appellate Tribunals for the recovery of debts of ten lakh rupees or more (twenty lakh after 2018) due to banks and financial institutions; the jurisdiction of civil courts is barred (Sec 17-18); the tribunal issues a recovery certificate executed by the Recovery Officer by attachment, sale, arrest and appointment of a receiver (Sec 19, 25-28); the Act's validity was upheld in Union of India v. Delhi High Court Bar Association (2002), after Delhi High Court Bar Association v. Union of India (1995) had struck it down on the ground of the tribunal's structure. </w:t>
      </w:r>
      <w:r>
        <w:rPr>
          <w:b/>
          <w:bCs/>
          <w:sz w:val="22"/>
          <w:szCs w:val="22"/>
          <w:rFonts w:ascii="Arial" w:cs="Arial" w:eastAsia="Arial" w:hAnsi="Arial"/>
        </w:rPr>
        <w:t xml:space="preserve">The Securitisation and Reconstruction of Financial Assets and Enforcement of Security Interest Act 2002 (SARFAESI):</w:t>
      </w:r>
      <w:r>
        <w:rPr>
          <w:sz w:val="22"/>
          <w:szCs w:val="22"/>
          <w:rFonts w:ascii="Arial" w:cs="Arial" w:eastAsia="Arial" w:hAnsi="Arial"/>
        </w:rPr>
        <w:t xml:space="preserve"> allows a secured creditor (a bank, financial institution, asset reconstruction company, and since 2016 NBFCs above a threshold, and since 2020 co-operative banks — Pandurang Chaugule) to enforce its security </w:t>
      </w:r>
      <w:r>
        <w:rPr>
          <w:b/>
          <w:bCs/>
          <w:sz w:val="22"/>
          <w:szCs w:val="22"/>
          <w:rFonts w:ascii="Arial" w:cs="Arial" w:eastAsia="Arial" w:hAnsi="Arial"/>
        </w:rPr>
        <w:t xml:space="preserve">without the intervention of the court</w:t>
      </w:r>
      <w:r>
        <w:rPr>
          <w:sz w:val="22"/>
          <w:szCs w:val="22"/>
          <w:rFonts w:ascii="Arial" w:cs="Arial" w:eastAsia="Arial" w:hAnsi="Arial"/>
        </w:rPr>
        <w:t xml:space="preserve">: on classification of the account as an NPA, a notice under </w:t>
      </w:r>
      <w:r>
        <w:rPr>
          <w:b/>
          <w:bCs/>
          <w:sz w:val="22"/>
          <w:szCs w:val="22"/>
          <w:rFonts w:ascii="Arial" w:cs="Arial" w:eastAsia="Arial" w:hAnsi="Arial"/>
        </w:rPr>
        <w:t xml:space="preserve">Sec 13(2)</w:t>
      </w:r>
      <w:r>
        <w:rPr>
          <w:sz w:val="22"/>
          <w:szCs w:val="22"/>
          <w:rFonts w:ascii="Arial" w:cs="Arial" w:eastAsia="Arial" w:hAnsi="Arial"/>
        </w:rPr>
        <w:t xml:space="preserve"> demanding payment within sixty days; on non-payment, action under </w:t>
      </w:r>
      <w:r>
        <w:rPr>
          <w:b/>
          <w:bCs/>
          <w:sz w:val="22"/>
          <w:szCs w:val="22"/>
          <w:rFonts w:ascii="Arial" w:cs="Arial" w:eastAsia="Arial" w:hAnsi="Arial"/>
        </w:rPr>
        <w:t xml:space="preserve">Sec 13(4)</w:t>
      </w:r>
      <w:r>
        <w:rPr>
          <w:sz w:val="22"/>
          <w:szCs w:val="22"/>
          <w:rFonts w:ascii="Arial" w:cs="Arial" w:eastAsia="Arial" w:hAnsi="Arial"/>
        </w:rPr>
        <w:t xml:space="preserve"> — taking possession of the secured assets, taking over the management of the borrower's business, appointing a manager, and selling the assets by public auction under the Security Interest (Enforcement) Rules 2002; the borrower's representation under Sec 13(3A) must be replied to within fifteen days (inserted after </w:t>
      </w:r>
      <w:r>
        <w:rPr>
          <w:b/>
          <w:bCs/>
          <w:sz w:val="22"/>
          <w:szCs w:val="22"/>
          <w:rFonts w:ascii="Arial" w:cs="Arial" w:eastAsia="Arial" w:hAnsi="Arial"/>
        </w:rPr>
        <w:t xml:space="preserve">Mardia Chemicals v. Union of India, 2004</w:t>
      </w:r>
      <w:r>
        <w:rPr>
          <w:sz w:val="22"/>
          <w:szCs w:val="22"/>
          <w:rFonts w:ascii="Arial" w:cs="Arial" w:eastAsia="Arial" w:hAnsi="Arial"/>
        </w:rPr>
        <w:t xml:space="preserve">, which upheld the Act as a whole but struck down the requirement of a seventy-five per cent pre-deposit for an appeal, and required the creditor to consider the borrower's objections); the Chief Metropolitan Magistrate or District Magistrate assists in taking possession (Sec 14 — Harshad Govardhan Sondagar v. International Assets Reconstruction Co., 2014, on tenants' rights, and the 2016 amendment fixing thirty days for the Magistrate); the borrower's remedy is an application to the DRT within forty-five days of the measures (Sec 17), with an appeal to the DRAT on deposit of fifty per cent (Sec 18); the Act also provides for </w:t>
      </w:r>
      <w:r>
        <w:rPr>
          <w:b/>
          <w:bCs/>
          <w:sz w:val="22"/>
          <w:szCs w:val="22"/>
          <w:rFonts w:ascii="Arial" w:cs="Arial" w:eastAsia="Arial" w:hAnsi="Arial"/>
        </w:rPr>
        <w:t xml:space="preserve">asset reconstruction companies</w:t>
      </w:r>
      <w:r>
        <w:rPr>
          <w:sz w:val="22"/>
          <w:szCs w:val="22"/>
          <w:rFonts w:ascii="Arial" w:cs="Arial" w:eastAsia="Arial" w:hAnsi="Arial"/>
        </w:rPr>
        <w:t xml:space="preserve"> (Sec 3 registration; the 2021 National Asset Reconstruction Company Limited — the 'bad bank' — with Government guarantees), securitisation (Sec 5-7), the Central Registry (CERSAI, Sec 20-26), and the priority of secured creditors' claims over Government dues (Sec 26E, 2016); cases: Transcore v. Union of India (2008) — a bank may pursue SARFAESI and DRT remedies simultaneously; United Bank of India v. Satyawati Tondon (2010) — High Courts should not entertain writ petitions bypassing the DRT; Mathew Varghese v. M. Amritha Kumar (2014) — the thirty-day notice of sale under Rule 8-9 is mandatory; Celir LLP v. Bafna Motors (2023) — the borrower's right of redemption ends on publication of the auction notice under the amended Sec 13(8). </w:t>
      </w:r>
      <w:r>
        <w:rPr>
          <w:b/>
          <w:bCs/>
          <w:sz w:val="22"/>
          <w:szCs w:val="22"/>
          <w:rFonts w:ascii="Arial" w:cs="Arial" w:eastAsia="Arial" w:hAnsi="Arial"/>
        </w:rPr>
        <w:t xml:space="preserve">The Insolvency and Bankruptcy Code 2016:</w:t>
      </w:r>
      <w:r>
        <w:rPr>
          <w:sz w:val="22"/>
          <w:szCs w:val="22"/>
          <w:rFonts w:ascii="Arial" w:cs="Arial" w:eastAsia="Arial" w:hAnsi="Arial"/>
        </w:rPr>
        <w:t xml:space="preserve"> a financial creditor may initiate the corporate insolvency resolution process on a default of one crore rupees (raised from one lakh in 2020) before the National Company Law Tribunal (Sec 7); a moratorium follows (Sec 14); the committee of creditors, dominated by banks, approves a resolution plan by sixty-six per cent (Sec 30-31), failing which the company is liquidated (Sec 33); the Code's validity and the primacy of financial creditors were upheld in </w:t>
      </w:r>
      <w:r>
        <w:rPr>
          <w:b/>
          <w:bCs/>
          <w:sz w:val="22"/>
          <w:szCs w:val="22"/>
          <w:rFonts w:ascii="Arial" w:cs="Arial" w:eastAsia="Arial" w:hAnsi="Arial"/>
        </w:rPr>
        <w:t xml:space="preserve">Swiss Ribbons v. Union of India (2019)</w:t>
      </w:r>
      <w:r>
        <w:rPr>
          <w:sz w:val="22"/>
          <w:szCs w:val="22"/>
          <w:rFonts w:ascii="Arial" w:cs="Arial" w:eastAsia="Arial" w:hAnsi="Arial"/>
        </w:rPr>
        <w:t xml:space="preserve">; the Essar Steel case (Committee of Creditors of Essar Steel v. Satish Kumar Gupta, 2019) confirmed the committee's commercial wisdom and the differential treatment of secured and operational creditors; the Code's Sec 238 overrides SARFAESI during the moratorium; recoveries under the Code (thirty-two per cent of admitted claims on average, but over a lakh crore rupees in the first twelve accounts) exceed those under the older laws, but delays beyond the three-hundred-and-thirty-day limit are common; the 2021 pre-packaged insolvency for MSMEs and the pending cross-border and group insolvency frameworks are the next steps. </w:t>
      </w:r>
      <w:r>
        <w:rPr>
          <w:b/>
          <w:bCs/>
          <w:sz w:val="22"/>
          <w:szCs w:val="22"/>
          <w:rFonts w:ascii="Arial" w:cs="Arial" w:eastAsia="Arial" w:hAnsi="Arial"/>
        </w:rPr>
        <w:t xml:space="preserve">Lok Adalats</w:t>
      </w:r>
      <w:r>
        <w:rPr>
          <w:sz w:val="22"/>
          <w:szCs w:val="22"/>
          <w:rFonts w:ascii="Arial" w:cs="Arial" w:eastAsia="Arial" w:hAnsi="Arial"/>
        </w:rPr>
        <w:t xml:space="preserve"> under the Legal Services Authorities Act 1987 settle small loans; the </w:t>
      </w:r>
      <w:r>
        <w:rPr>
          <w:b/>
          <w:bCs/>
          <w:sz w:val="22"/>
          <w:szCs w:val="22"/>
          <w:rFonts w:ascii="Arial" w:cs="Arial" w:eastAsia="Arial" w:hAnsi="Arial"/>
        </w:rPr>
        <w:t xml:space="preserve">Banking Ombudsman</w:t>
      </w:r>
      <w:r>
        <w:rPr>
          <w:sz w:val="22"/>
          <w:szCs w:val="22"/>
          <w:rFonts w:ascii="Arial" w:cs="Arial" w:eastAsia="Arial" w:hAnsi="Arial"/>
        </w:rPr>
        <w:t xml:space="preserve"> handles service complaints; the </w:t>
      </w:r>
      <w:r>
        <w:rPr>
          <w:b/>
          <w:bCs/>
          <w:sz w:val="22"/>
          <w:szCs w:val="22"/>
          <w:rFonts w:ascii="Arial" w:cs="Arial" w:eastAsia="Arial" w:hAnsi="Arial"/>
        </w:rPr>
        <w:t xml:space="preserve">2015 Framework for Revitalising Distressed Assets</w:t>
      </w:r>
      <w:r>
        <w:rPr>
          <w:sz w:val="22"/>
          <w:szCs w:val="22"/>
          <w:rFonts w:ascii="Arial" w:cs="Arial" w:eastAsia="Arial" w:hAnsi="Arial"/>
        </w:rPr>
        <w:t xml:space="preserve"> and the </w:t>
      </w:r>
      <w:r>
        <w:rPr>
          <w:b/>
          <w:bCs/>
          <w:sz w:val="22"/>
          <w:szCs w:val="22"/>
          <w:rFonts w:ascii="Arial" w:cs="Arial" w:eastAsia="Arial" w:hAnsi="Arial"/>
        </w:rPr>
        <w:t xml:space="preserve">2019 Prudential Framework</w:t>
      </w:r>
      <w:r>
        <w:rPr>
          <w:sz w:val="22"/>
          <w:szCs w:val="22"/>
          <w:rFonts w:ascii="Arial" w:cs="Arial" w:eastAsia="Arial" w:hAnsi="Arial"/>
        </w:rPr>
        <w:t xml:space="preserve"> (after Dharani Sugars) govern restructuring; the 'wilful defaulter' and 'fraud' classifications (State Bank of India v. Rajesh Agarwal, 2023) add reputational sanctions; and the Fugitive Economic Offenders Act 2018 (Vijay Mallya, Nirav Modi) confiscates the assets of absconders. The NPA cycle — from twenty-three per cent in 1993 to three per cent in 2008, to fourteen per cent in 2018 and back to three per cent in 2024 — is the measure of the whole debate.</w:t>
      </w:r>
    </w:p>
    <w:p>
      <w:pPr>
        <w:pBdr>
          <w:left w:val="single" w:color="CC0000" w:sz="6" w:space="8"/>
        </w:pBdr>
        <w:spacing w:before="80" w:after="80"/>
        <w:ind w:left="300"/>
      </w:pPr>
      <w:r>
        <w:rPr>
          <w:b/>
          <w:bCs/>
          <w:color w:val="CC0000"/>
          <w:sz w:val="21"/>
          <w:szCs w:val="21"/>
          <w:rFonts w:ascii="Arial" w:cs="Arial" w:eastAsia="Arial" w:hAnsi="Arial"/>
        </w:rPr>
        <w:t xml:space="preserve">Rustom Cavasjee Cooper v. Union of India (1970) 1 SCC 248 — </w:t>
      </w:r>
      <w:r>
        <w:rPr>
          <w:sz w:val="21"/>
          <w:szCs w:val="21"/>
          <w:rFonts w:ascii="Arial" w:cs="Arial" w:eastAsia="Arial" w:hAnsi="Arial"/>
        </w:rPr>
        <w:t xml:space="preserve">The 1969 nationalisation Act was struck down for illusory compensation under Art 31(2) and for unreasonably prohibiting the banks from carrying on business under Art 19(1)(f) and (g); Parliament's competence under Entry 45 was upheld; the effect test replaced the object test for fundamental rights.</w:t>
      </w:r>
    </w:p>
    <w:p>
      <w:pPr>
        <w:pBdr>
          <w:left w:val="single" w:color="CC0000" w:sz="6" w:space="8"/>
        </w:pBdr>
        <w:spacing w:before="80" w:after="80"/>
        <w:ind w:left="300"/>
      </w:pPr>
      <w:r>
        <w:rPr>
          <w:b/>
          <w:bCs/>
          <w:color w:val="CC0000"/>
          <w:sz w:val="21"/>
          <w:szCs w:val="21"/>
          <w:rFonts w:ascii="Arial" w:cs="Arial" w:eastAsia="Arial" w:hAnsi="Arial"/>
        </w:rPr>
        <w:t xml:space="preserve">Mardia Chemicals Ltd. v. Union of India (2004) 4 SCC 311 — </w:t>
      </w:r>
      <w:r>
        <w:rPr>
          <w:sz w:val="21"/>
          <w:szCs w:val="21"/>
          <w:rFonts w:ascii="Arial" w:cs="Arial" w:eastAsia="Arial" w:hAnsi="Arial"/>
        </w:rPr>
        <w:t xml:space="preserve">The SARFAESI Act is valid, but the seventy-five per cent pre-deposit for an appeal under Sec 17 was struck down; the secured creditor must consider and reply to the borrower's representation before taking measures under Sec 13(4).</w:t>
      </w:r>
    </w:p>
    <w:p>
      <w:pPr>
        <w:pBdr>
          <w:left w:val="single" w:color="CC0000" w:sz="6" w:space="8"/>
        </w:pBdr>
        <w:spacing w:before="80" w:after="80"/>
        <w:ind w:left="300"/>
      </w:pPr>
      <w:r>
        <w:rPr>
          <w:b/>
          <w:bCs/>
          <w:color w:val="CC0000"/>
          <w:sz w:val="21"/>
          <w:szCs w:val="21"/>
          <w:rFonts w:ascii="Arial" w:cs="Arial" w:eastAsia="Arial" w:hAnsi="Arial"/>
        </w:rPr>
        <w:t xml:space="preserve">Swiss Ribbons Pvt. Ltd. v. Union of India (2019) 4 SCC 17 — </w:t>
      </w:r>
      <w:r>
        <w:rPr>
          <w:sz w:val="21"/>
          <w:szCs w:val="21"/>
          <w:rFonts w:ascii="Arial" w:cs="Arial" w:eastAsia="Arial" w:hAnsi="Arial"/>
        </w:rPr>
        <w:t xml:space="preserve">The Insolvency and Bankruptcy Code is constitutional; the distinction between financial and operational creditors is intelligible; the committee of creditors' primacy is justified; the Code's object is resolution, not recovery.</w:t>
      </w:r>
    </w:p>
    <w:p>
      <w:pPr>
        <w:pBdr>
          <w:left w:val="single" w:color="CC0000" w:sz="6" w:space="8"/>
        </w:pBdr>
        <w:spacing w:before="80" w:after="80"/>
        <w:ind w:left="300"/>
      </w:pPr>
      <w:r>
        <w:rPr>
          <w:b/>
          <w:bCs/>
          <w:color w:val="CC0000"/>
          <w:sz w:val="21"/>
          <w:szCs w:val="21"/>
          <w:rFonts w:ascii="Arial" w:cs="Arial" w:eastAsia="Arial" w:hAnsi="Arial"/>
        </w:rPr>
        <w:t xml:space="preserve">Transcore v. Union of India (2008) 1 SCC 125 — </w:t>
      </w:r>
      <w:r>
        <w:rPr>
          <w:sz w:val="21"/>
          <w:szCs w:val="21"/>
          <w:rFonts w:ascii="Arial" w:cs="Arial" w:eastAsia="Arial" w:hAnsi="Arial"/>
        </w:rPr>
        <w:t xml:space="preserve">A bank may invoke SARFAESI while a DRT application is pending without withdrawing it; the remedies are cumulative; Sec 13(4) measures are not barred by the pendency of the DRT proceeding.</w:t>
      </w:r>
    </w:p>
    <w:p>
      <w:pPr>
        <w:pBdr>
          <w:left w:val="single" w:color="CC0000" w:sz="6" w:space="8"/>
        </w:pBdr>
        <w:spacing w:before="80" w:after="80"/>
        <w:ind w:left="300"/>
      </w:pPr>
      <w:r>
        <w:rPr>
          <w:b/>
          <w:bCs/>
          <w:color w:val="CC0000"/>
          <w:sz w:val="21"/>
          <w:szCs w:val="21"/>
          <w:rFonts w:ascii="Arial" w:cs="Arial" w:eastAsia="Arial" w:hAnsi="Arial"/>
        </w:rPr>
        <w:t xml:space="preserve">Union of India v. Delhi High Court Bar Association (2002) 4 SCC 275 — </w:t>
      </w:r>
      <w:r>
        <w:rPr>
          <w:sz w:val="21"/>
          <w:szCs w:val="21"/>
          <w:rFonts w:ascii="Arial" w:cs="Arial" w:eastAsia="Arial" w:hAnsi="Arial"/>
        </w:rPr>
        <w:t xml:space="preserve">The Recovery of Debts Due to Banks and Financial Institutions Act 1993 is valid; Parliament may create special tribunals for the recovery of bank debts and exclude the civil courts.</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Recovery now runs on e-auctions (the SARFAESI Rules require online auctions on the banks' e-auction platforms and the IBBI's portal for liquidation sales), on CERSAI's electronic registry of security interests, on the Central Repository of Information on Large Credits and the credit bureaus, and on the IBBI's electronic case-management for the NCLT; the RBI's 2024 directions on wilful defaulters require a digital show-cause and hearing; and the consolidation of public banks was executed by migrating core banking systems across banks. Digital public infrastructure — Aadhaar, UPI, the account-aggregator network, and the Open Credit Enablement Network — is the new form of the financial inclusion that nationalisation pursued through branches, and the Jan Dhan-Aadhaar-Mobile trinity delivers subsidies through the accounts that the 1969 branches opened.</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'Bank nationalisation', 'R.C. Cooper', 'Narasimham Committee', 'NPA', 'Basel norms', 'SARFAESI Sec 13', 'DRT', 'Priority sector', 'Lead Bank Scheme', 'Consolidation of banks'. Part B: 'Trace the history of bank nationalisation in India and evaluate its effects, achievements and drawbacks' — 1949, 1955, 1969 with R.C. Cooper and the 1970 Act, 1980, then achievements (branches, deposits, priority sector) and drawbacks (profitability, NPAs, interference), then the reversal after 1991; or 'Discuss the impact of globalisation and liberalisation on Indian banking' — Narasimham I and II, prudential norms, Basel, private and foreign banks, consolidation, technology; or 'Explain the legal framework for recovery of bank dues — DRT, SARFAESI and the IBC'. Part C: a bank takes possession under Sec 13(4) without replying to the borrower's objections — Mardia Chemicals, Sec 13(3A) breach; a borrower moves the High Court under Art 226 against a Sec 13(2) notice — Satyawati Tondon, go to the DRT; a Government proposes to acquire a private bank without providing for the value of goodwill — R.C. Cooper, though after the Forty-fourth Amendment Art 300A governs.</w:t>
      </w:r>
    </w:p>
    <w:p>
      <w:pPr>
        <w:pBdr>
          <w:bottom w:val="single" w:color="CCCCCC" w:sz="1" w:space="4"/>
        </w:pBdr>
        <w:spacing w:before="160" w:after="160"/>
      </w:pPr>
      <w:r>
        <w:rPr>
          <w:sz w:val="4"/>
          <w:szCs w:val="4"/>
        </w:rPr>
        <w:t xml:space="preserve"> </w:t>
      </w:r>
    </w:p>
    <w:p>
      <w:pPr>
        <w:pStyle w:val="Heading1"/>
        <w:spacing w:before="480" w:after="200"/>
      </w:pPr>
      <w:r>
        <w:rPr>
          <w:b/>
          <w:bCs/>
          <w:color w:val="1F4E79"/>
          <w:sz w:val="32"/>
          <w:szCs w:val="32"/>
          <w:rFonts w:ascii="Arial" w:cs="Arial" w:eastAsia="Arial" w:hAnsi="Arial"/>
        </w:rPr>
        <w:t xml:space="preserve">Episode 12 — Banking Without the Bank: The Cosmos Heist, E-Banking and Off-shore Banking</w:t>
      </w:r>
    </w:p>
    <w:p>
      <w:pPr>
        <w:pStyle w:val="Heading2"/>
        <w:spacing w:before="360" w:after="160"/>
      </w:pPr>
      <w:r>
        <w:rPr>
          <w:b/>
          <w:bCs/>
          <w:color w:val="2E75B6"/>
          <w:sz w:val="26"/>
          <w:szCs w:val="26"/>
          <w:rFonts w:ascii="Arial" w:cs="Arial" w:eastAsia="Arial" w:hAnsi="Arial"/>
        </w:rPr>
        <w:t xml:space="preserve">Covers: E-banking — ATMs, cards, NEFT, RTGS, IMPS, UPI, mobile and internet banking · The legal framework — the Information Technology Act 2000, the Payment and Settlement Systems Act 2007, the NI Act's electronic cheques · RBI guidelines on internet banking, mobile banking, digital lending, customer protection and cyber security · KYC and anti-money-laundering · The Ombudsman · Fintech, payments banks, account aggregators and the e-rupee · Off-shore banking — offshore banking units, GIFT City IFSC, NRI accounts and FEMA</w:t>
      </w:r>
    </w:p>
    <w:p>
      <w:pPr>
        <w:pBdr>
          <w:left w:val="single" w:color="8E44AD" w:sz="8" w:space="10"/>
        </w:pBdr>
        <w:spacing w:after="120" w:line="300"/>
        <w:ind w:left="240" w:right="240"/>
        <w:jc w:val="both"/>
      </w:pPr>
      <w:r>
        <w:rPr>
          <w:i/>
          <w:iCs/>
          <w:color w:val="2C2C2C"/>
          <w:sz w:val="22"/>
          <w:szCs w:val="22"/>
          <w:rFonts w:ascii="Arial" w:cs="Arial" w:eastAsia="Arial" w:hAnsi="Arial"/>
        </w:rPr>
        <w:t xml:space="preserve">Pune, 11 and 13 August 2018. Over two days, hackers who had planted malware in the systems of Cosmos Co-operative Bank clone the data of some four hundred and fifty debit cards, switch off the bank's link to the card networks' authorisation, and, from a proxy 'switch' of their own, approve fifteen thousand withdrawals at ATMs in twenty-eight countries — seventy-eight crore rupees in about seven hours — followed two days later by a fraudulent SWIFT transfer of fourteen crore rupees to a Hong Kong account: ninety-four crore rupees in all, the largest cyber-theft from an Indian bank. The customers lost nothing: the Reserve Bank's circular of July 2017 on customer protection in unauthorised electronic transactions makes the bank liable in full where the fraud is the bank's own failure or a third-party breach in which the customer is not involved, provided the customer reports within three working days, and Cosmos Bank absorbed the loss and later recovered part from its insurer. The heist showed what e-banking is in law: a bundle of contracts, statutes, regulator's circulars and network rules that determine who bears the loss when the money moves without a signature, a cheque or a branch. This closing episode maps that bundle — the channels, the Information Technology Act, the Payment and Settlement Systems Act, the Reserve Bank's guidelines from the 2001 internet-banking circular to the 2022 digital-lending directions, the anti-money-laundering rules, and the customer's remedies — and then turns outward to the bank that serves customers who are not resident and money that is not rupees: the offshore banking unit, the GIFT City International Financial Services Centre, and the NRI accounts under the Foreign Exchange Management Act.</w:t>
      </w:r>
    </w:p>
    <w:p>
      <w:pPr>
        <w:spacing w:before="240" w:after="120"/>
      </w:pPr>
      <w:r>
        <w:rPr>
          <w:b/>
          <w:bCs/>
          <w:color w:val="404040"/>
          <w:sz w:val="23"/>
          <w:szCs w:val="23"/>
          <w:rFonts w:ascii="Arial" w:cs="Arial" w:eastAsia="Arial" w:hAnsi="Arial"/>
        </w:rPr>
        <w:t xml:space="preserve">What e-banking is</w:t>
      </w:r>
    </w:p>
    <w:p>
      <w:pPr>
        <w:spacing w:after="120" w:line="300"/>
        <w:jc w:val="both"/>
      </w:pPr>
      <w:r>
        <w:rPr>
          <w:sz w:val="22"/>
          <w:szCs w:val="22"/>
          <w:rFonts w:ascii="Arial" w:cs="Arial" w:eastAsia="Arial" w:hAnsi="Arial"/>
        </w:rPr>
        <w:t xml:space="preserve">Electronic banking is the delivery of banking services through electronic channels without physical presence at a branch: </w:t>
      </w:r>
      <w:r>
        <w:rPr>
          <w:b/>
          <w:bCs/>
          <w:sz w:val="22"/>
          <w:szCs w:val="22"/>
          <w:rFonts w:ascii="Arial" w:cs="Arial" w:eastAsia="Arial" w:hAnsi="Arial"/>
        </w:rPr>
        <w:t xml:space="preserve">automated teller machines</w:t>
      </w:r>
      <w:r>
        <w:rPr>
          <w:sz w:val="22"/>
          <w:szCs w:val="22"/>
          <w:rFonts w:ascii="Arial" w:cs="Arial" w:eastAsia="Arial" w:hAnsi="Arial"/>
        </w:rPr>
        <w:t xml:space="preserve"> (introduced in India by HSBC in 1987; the National Financial Switch operated by NPCI interconnects them; white-label ATMs by non-banks since 2012); </w:t>
      </w:r>
      <w:r>
        <w:rPr>
          <w:b/>
          <w:bCs/>
          <w:sz w:val="22"/>
          <w:szCs w:val="22"/>
          <w:rFonts w:ascii="Arial" w:cs="Arial" w:eastAsia="Arial" w:hAnsi="Arial"/>
        </w:rPr>
        <w:t xml:space="preserve">cards</w:t>
      </w:r>
      <w:r>
        <w:rPr>
          <w:sz w:val="22"/>
          <w:szCs w:val="22"/>
          <w:rFonts w:ascii="Arial" w:cs="Arial" w:eastAsia="Arial" w:hAnsi="Arial"/>
        </w:rPr>
        <w:t xml:space="preserve"> — debit, credit and prepaid, on the Visa, Mastercard and RuPay (2012) networks, governed by the RBI's Master Direction on Credit Card and Debit Card Issuance (2022), with tokenisation of card data mandated from 2022; </w:t>
      </w:r>
      <w:r>
        <w:rPr>
          <w:b/>
          <w:bCs/>
          <w:sz w:val="22"/>
          <w:szCs w:val="22"/>
          <w:rFonts w:ascii="Arial" w:cs="Arial" w:eastAsia="Arial" w:hAnsi="Arial"/>
        </w:rPr>
        <w:t xml:space="preserve">electronic fund transfers</w:t>
      </w:r>
      <w:r>
        <w:rPr>
          <w:sz w:val="22"/>
          <w:szCs w:val="22"/>
          <w:rFonts w:ascii="Arial" w:cs="Arial" w:eastAsia="Arial" w:hAnsi="Arial"/>
        </w:rPr>
        <w:t xml:space="preserve"> — the Electronic Clearing Service (1995), the National Electronic Funds Transfer (2005), the Real Time Gross Settlement system (2004, for one lakh rupees and above, both operated by the RBI), the Immediate Payment Service (2010) and the National Automated Clearing House (2016) operated by NPCI; the </w:t>
      </w:r>
      <w:r>
        <w:rPr>
          <w:b/>
          <w:bCs/>
          <w:sz w:val="22"/>
          <w:szCs w:val="22"/>
          <w:rFonts w:ascii="Arial" w:cs="Arial" w:eastAsia="Arial" w:hAnsi="Arial"/>
        </w:rPr>
        <w:t xml:space="preserve">Unified Payments Interface</w:t>
      </w:r>
      <w:r>
        <w:rPr>
          <w:sz w:val="22"/>
          <w:szCs w:val="22"/>
          <w:rFonts w:ascii="Arial" w:cs="Arial" w:eastAsia="Arial" w:hAnsi="Arial"/>
        </w:rPr>
        <w:t xml:space="preserve"> (2016) — a real-time system allowing transfers between bank accounts through virtual payment addresses on mobile phones, which by 2024 handled over thirteen billion transactions a month and eighty per cent of retail digital payments; </w:t>
      </w:r>
      <w:r>
        <w:rPr>
          <w:b/>
          <w:bCs/>
          <w:sz w:val="22"/>
          <w:szCs w:val="22"/>
          <w:rFonts w:ascii="Arial" w:cs="Arial" w:eastAsia="Arial" w:hAnsi="Arial"/>
        </w:rPr>
        <w:t xml:space="preserve">internet banking</w:t>
      </w:r>
      <w:r>
        <w:rPr>
          <w:sz w:val="22"/>
          <w:szCs w:val="22"/>
          <w:rFonts w:ascii="Arial" w:cs="Arial" w:eastAsia="Arial" w:hAnsi="Arial"/>
        </w:rPr>
        <w:t xml:space="preserve"> and </w:t>
      </w:r>
      <w:r>
        <w:rPr>
          <w:b/>
          <w:bCs/>
          <w:sz w:val="22"/>
          <w:szCs w:val="22"/>
          <w:rFonts w:ascii="Arial" w:cs="Arial" w:eastAsia="Arial" w:hAnsi="Arial"/>
        </w:rPr>
        <w:t xml:space="preserve">mobile banking</w:t>
      </w:r>
      <w:r>
        <w:rPr>
          <w:sz w:val="22"/>
          <w:szCs w:val="22"/>
          <w:rFonts w:ascii="Arial" w:cs="Arial" w:eastAsia="Arial" w:hAnsi="Arial"/>
        </w:rPr>
        <w:t xml:space="preserve"> through the banks' own portals and apps; </w:t>
      </w:r>
      <w:r>
        <w:rPr>
          <w:b/>
          <w:bCs/>
          <w:sz w:val="22"/>
          <w:szCs w:val="22"/>
          <w:rFonts w:ascii="Arial" w:cs="Arial" w:eastAsia="Arial" w:hAnsi="Arial"/>
        </w:rPr>
        <w:t xml:space="preserve">prepaid payment instruments</w:t>
      </w:r>
      <w:r>
        <w:rPr>
          <w:sz w:val="22"/>
          <w:szCs w:val="22"/>
          <w:rFonts w:ascii="Arial" w:cs="Arial" w:eastAsia="Arial" w:hAnsi="Arial"/>
        </w:rPr>
        <w:t xml:space="preserve"> (wallets — Paytm, PhonePe, etc.) under the RBI's 2021 Master Direction; </w:t>
      </w:r>
      <w:r>
        <w:rPr>
          <w:b/>
          <w:bCs/>
          <w:sz w:val="22"/>
          <w:szCs w:val="22"/>
          <w:rFonts w:ascii="Arial" w:cs="Arial" w:eastAsia="Arial" w:hAnsi="Arial"/>
        </w:rPr>
        <w:t xml:space="preserve">payments banks</w:t>
      </w:r>
      <w:r>
        <w:rPr>
          <w:sz w:val="22"/>
          <w:szCs w:val="22"/>
          <w:rFonts w:ascii="Arial" w:cs="Arial" w:eastAsia="Arial" w:hAnsi="Arial"/>
        </w:rPr>
        <w:t xml:space="preserve"> (2015 — Airtel, Paytm, India Post, Fino, Jio — accepting deposits up to two lakh rupees, no lending); the </w:t>
      </w:r>
      <w:r>
        <w:rPr>
          <w:b/>
          <w:bCs/>
          <w:sz w:val="22"/>
          <w:szCs w:val="22"/>
          <w:rFonts w:ascii="Arial" w:cs="Arial" w:eastAsia="Arial" w:hAnsi="Arial"/>
        </w:rPr>
        <w:t xml:space="preserve">Bharat Bill Payment System</w:t>
      </w:r>
      <w:r>
        <w:rPr>
          <w:sz w:val="22"/>
          <w:szCs w:val="22"/>
          <w:rFonts w:ascii="Arial" w:cs="Arial" w:eastAsia="Arial" w:hAnsi="Arial"/>
        </w:rPr>
        <w:t xml:space="preserve">, </w:t>
      </w:r>
      <w:r>
        <w:rPr>
          <w:b/>
          <w:bCs/>
          <w:sz w:val="22"/>
          <w:szCs w:val="22"/>
          <w:rFonts w:ascii="Arial" w:cs="Arial" w:eastAsia="Arial" w:hAnsi="Arial"/>
        </w:rPr>
        <w:t xml:space="preserve">FASTag</w:t>
      </w:r>
      <w:r>
        <w:rPr>
          <w:sz w:val="22"/>
          <w:szCs w:val="22"/>
          <w:rFonts w:ascii="Arial" w:cs="Arial" w:eastAsia="Arial" w:hAnsi="Arial"/>
        </w:rPr>
        <w:t xml:space="preserve">, the </w:t>
      </w:r>
      <w:r>
        <w:rPr>
          <w:b/>
          <w:bCs/>
          <w:sz w:val="22"/>
          <w:szCs w:val="22"/>
          <w:rFonts w:ascii="Arial" w:cs="Arial" w:eastAsia="Arial" w:hAnsi="Arial"/>
        </w:rPr>
        <w:t xml:space="preserve">Aadhaar-enabled Payment System</w:t>
      </w:r>
      <w:r>
        <w:rPr>
          <w:sz w:val="22"/>
          <w:szCs w:val="22"/>
          <w:rFonts w:ascii="Arial" w:cs="Arial" w:eastAsia="Arial" w:hAnsi="Arial"/>
        </w:rPr>
        <w:t xml:space="preserve"> and the </w:t>
      </w:r>
      <w:r>
        <w:rPr>
          <w:b/>
          <w:bCs/>
          <w:sz w:val="22"/>
          <w:szCs w:val="22"/>
          <w:rFonts w:ascii="Arial" w:cs="Arial" w:eastAsia="Arial" w:hAnsi="Arial"/>
        </w:rPr>
        <w:t xml:space="preserve">BHIM</w:t>
      </w:r>
      <w:r>
        <w:rPr>
          <w:sz w:val="22"/>
          <w:szCs w:val="22"/>
          <w:rFonts w:ascii="Arial" w:cs="Arial" w:eastAsia="Arial" w:hAnsi="Arial"/>
        </w:rPr>
        <w:t xml:space="preserve"> app; and the </w:t>
      </w:r>
      <w:r>
        <w:rPr>
          <w:b/>
          <w:bCs/>
          <w:sz w:val="22"/>
          <w:szCs w:val="22"/>
          <w:rFonts w:ascii="Arial" w:cs="Arial" w:eastAsia="Arial" w:hAnsi="Arial"/>
        </w:rPr>
        <w:t xml:space="preserve">Central Bank Digital Currency</w:t>
      </w:r>
      <w:r>
        <w:rPr>
          <w:sz w:val="22"/>
          <w:szCs w:val="22"/>
          <w:rFonts w:ascii="Arial" w:cs="Arial" w:eastAsia="Arial" w:hAnsi="Arial"/>
        </w:rPr>
        <w:t xml:space="preserve"> (e-rupee, 2022 pilots). The legal characterisation: an electronic fund transfer is a payment instruction and a credit transfer, not a negotiable instrument; the relationship between bank and customer remains debtor-creditor with the electronic channel as the mode of giving the mandate; the transfer is complete on the settlement finality that the PSS Act provides; and the intermediaries (the payment-system operator, the acquiring and issuing banks, the network) stand in contractual relations governed by the system's rules approved by the RBI.</w:t>
      </w:r>
    </w:p>
    <w:p>
      <w:pPr>
        <w:spacing w:before="240" w:after="120"/>
      </w:pPr>
      <w:r>
        <w:rPr>
          <w:b/>
          <w:bCs/>
          <w:color w:val="404040"/>
          <w:sz w:val="23"/>
          <w:szCs w:val="23"/>
          <w:rFonts w:ascii="Arial" w:cs="Arial" w:eastAsia="Arial" w:hAnsi="Arial"/>
        </w:rPr>
        <w:t xml:space="preserve">The statutory framework</w:t>
      </w:r>
    </w:p>
    <w:p>
      <w:pPr>
        <w:spacing w:after="120" w:line="300"/>
        <w:jc w:val="both"/>
      </w:pPr>
      <w:r>
        <w:rPr>
          <w:sz w:val="22"/>
          <w:szCs w:val="22"/>
          <w:rFonts w:ascii="Arial" w:cs="Arial" w:eastAsia="Arial" w:hAnsi="Arial"/>
        </w:rPr>
      </w:r>
      <w:r>
        <w:rPr>
          <w:b/>
          <w:bCs/>
          <w:sz w:val="22"/>
          <w:szCs w:val="22"/>
          <w:rFonts w:ascii="Arial" w:cs="Arial" w:eastAsia="Arial" w:hAnsi="Arial"/>
        </w:rPr>
        <w:t xml:space="preserve">The Information Technology Act 2000:</w:t>
      </w:r>
      <w:r>
        <w:rPr>
          <w:sz w:val="22"/>
          <w:szCs w:val="22"/>
          <w:rFonts w:ascii="Arial" w:cs="Arial" w:eastAsia="Arial" w:hAnsi="Arial"/>
        </w:rPr>
        <w:t xml:space="preserve"> legal recognition of electronic records (Sec 4) and electronic signatures (Sec 5 — digital signatures under Sec 3 and other electronic signatures under Sec 3A, 2008), so that a bank's electronic mandate is a valid 'writing' and 'signature'; the amendment of the Bankers' Books Evidence Act to include electronic records (Sec 2(8), 2A — a print-out with a certificate is a certified copy) and of the RBI Act (Sec 58(2)(pp) — the RBI may make regulations for electronic fund transfer); the offences of hacking and unauthorised access (Sec 43, 66), identity theft (Sec 66C), cheating by personation using a computer (Sec 66D — the phishing and OTP-fraud section), and breach of confidentiality (Sec 72, 72A); the intermediary's due diligence (Sec 79); the data-protection rules of 2011 (now the Digital Personal Data Protection Act 2023); and the Cyber Appellate Tribunal (merged into the TDSAT). </w:t>
      </w:r>
      <w:r>
        <w:rPr>
          <w:b/>
          <w:bCs/>
          <w:sz w:val="22"/>
          <w:szCs w:val="22"/>
          <w:rFonts w:ascii="Arial" w:cs="Arial" w:eastAsia="Arial" w:hAnsi="Arial"/>
        </w:rPr>
        <w:t xml:space="preserve">The Payment and Settlement Systems Act 2007:</w:t>
      </w:r>
      <w:r>
        <w:rPr>
          <w:sz w:val="22"/>
          <w:szCs w:val="22"/>
          <w:rFonts w:ascii="Arial" w:cs="Arial" w:eastAsia="Arial" w:hAnsi="Arial"/>
        </w:rPr>
        <w:t xml:space="preserve"> the RBI is the authority to regulate and supervise payment systems (Sec 3); no person may operate a payment system without the RBI's authorisation (Sec 4-8 — the source of the licences of NPCI, card networks, wallets, payment aggregators and gateways under the 2020 guidelines); the RBI may issue directions (Sec 10, 18) and impose penalties (Sec 26-30); </w:t>
      </w:r>
      <w:r>
        <w:rPr>
          <w:b/>
          <w:bCs/>
          <w:sz w:val="22"/>
          <w:szCs w:val="22"/>
          <w:rFonts w:ascii="Arial" w:cs="Arial" w:eastAsia="Arial" w:hAnsi="Arial"/>
        </w:rPr>
        <w:t xml:space="preserve">settlement finality and netting</w:t>
      </w:r>
      <w:r>
        <w:rPr>
          <w:sz w:val="22"/>
          <w:szCs w:val="22"/>
          <w:rFonts w:ascii="Arial" w:cs="Arial" w:eastAsia="Arial" w:hAnsi="Arial"/>
        </w:rPr>
        <w:t xml:space="preserve"> — a settlement effected under the rules of an authorised system is final and irrevocable and is not affected by the insolvency of a participant (Sec 23); the Payments Regulatory Board (2017 amendment, not yet constituted separately); and the RBI's Payment Systems Vision documents (2019-2021, 2025). </w:t>
      </w:r>
      <w:r>
        <w:rPr>
          <w:b/>
          <w:bCs/>
          <w:sz w:val="22"/>
          <w:szCs w:val="22"/>
          <w:rFonts w:ascii="Arial" w:cs="Arial" w:eastAsia="Arial" w:hAnsi="Arial"/>
        </w:rPr>
        <w:t xml:space="preserve">The Negotiable Instruments Act:</w:t>
      </w:r>
      <w:r>
        <w:rPr>
          <w:sz w:val="22"/>
          <w:szCs w:val="22"/>
          <w:rFonts w:ascii="Arial" w:cs="Arial" w:eastAsia="Arial" w:hAnsi="Arial"/>
        </w:rPr>
        <w:t xml:space="preserve"> the 2002 amendment's electronic cheque and truncated cheque (Sec 6), Sec 89(2)-(3) and Sec 131 Explanation II on truncation, and the 2015 amendment's electronic signature. </w:t>
      </w:r>
      <w:r>
        <w:rPr>
          <w:b/>
          <w:bCs/>
          <w:sz w:val="22"/>
          <w:szCs w:val="22"/>
          <w:rFonts w:ascii="Arial" w:cs="Arial" w:eastAsia="Arial" w:hAnsi="Arial"/>
        </w:rPr>
        <w:t xml:space="preserve">The Reserve Bank of India Act:</w:t>
      </w:r>
      <w:r>
        <w:rPr>
          <w:sz w:val="22"/>
          <w:szCs w:val="22"/>
          <w:rFonts w:ascii="Arial" w:cs="Arial" w:eastAsia="Arial" w:hAnsi="Arial"/>
        </w:rPr>
        <w:t xml:space="preserve"> Sec 58(2)(p)-(pp) regulations on fund transfer; the 2022 amendment on digital currency. </w:t>
      </w:r>
      <w:r>
        <w:rPr>
          <w:b/>
          <w:bCs/>
          <w:sz w:val="22"/>
          <w:szCs w:val="22"/>
          <w:rFonts w:ascii="Arial" w:cs="Arial" w:eastAsia="Arial" w:hAnsi="Arial"/>
        </w:rPr>
        <w:t xml:space="preserve">The Banking Regulation Act:</w:t>
      </w:r>
      <w:r>
        <w:rPr>
          <w:sz w:val="22"/>
          <w:szCs w:val="22"/>
          <w:rFonts w:ascii="Arial" w:cs="Arial" w:eastAsia="Arial" w:hAnsi="Arial"/>
        </w:rPr>
        <w:t xml:space="preserve"> Sec 35A directions are the basis of the RBI's e-banking circulars. </w:t>
      </w:r>
      <w:r>
        <w:rPr>
          <w:b/>
          <w:bCs/>
          <w:sz w:val="22"/>
          <w:szCs w:val="22"/>
          <w:rFonts w:ascii="Arial" w:cs="Arial" w:eastAsia="Arial" w:hAnsi="Arial"/>
        </w:rPr>
        <w:t xml:space="preserve">The Prevention of Money-laundering Act 2002 and the PML (Maintenance of Records) Rules 2005:</w:t>
      </w:r>
      <w:r>
        <w:rPr>
          <w:sz w:val="22"/>
          <w:szCs w:val="22"/>
          <w:rFonts w:ascii="Arial" w:cs="Arial" w:eastAsia="Arial" w:hAnsi="Arial"/>
        </w:rPr>
        <w:t xml:space="preserve"> banks are 'reporting entities' (Sec 2(wa), 12) obliged to verify identity (KYC), maintain records for five years, and report cash transactions above ten lakh rupees and suspicious transactions to the Financial Intelligence Unit; the RBI's KYC Master Direction (2016) implements it with the Central KYC Registry, video-KYC (2020), and periodic updating; the Foreign Account Tax Compliance Act and the Common Reporting Standard require reporting of foreign account-holders under the Income-tax Rules. </w:t>
      </w:r>
      <w:r>
        <w:rPr>
          <w:b/>
          <w:bCs/>
          <w:sz w:val="22"/>
          <w:szCs w:val="22"/>
          <w:rFonts w:ascii="Arial" w:cs="Arial" w:eastAsia="Arial" w:hAnsi="Arial"/>
        </w:rPr>
        <w:t xml:space="preserve">The Consumer Protection Act 2019</w:t>
      </w:r>
      <w:r>
        <w:rPr>
          <w:sz w:val="22"/>
          <w:szCs w:val="22"/>
          <w:rFonts w:ascii="Arial" w:cs="Arial" w:eastAsia="Arial" w:hAnsi="Arial"/>
        </w:rPr>
        <w:t xml:space="preserve"> treats banking as a 'service' and deficiency (wrongful dishonour, unauthorised debit, failed transfer) is actionable before consumer commissions with e-filing under the 2020 Rules.</w:t>
      </w:r>
    </w:p>
    <w:p>
      <w:pPr>
        <w:spacing w:before="240" w:after="120"/>
      </w:pPr>
      <w:r>
        <w:rPr>
          <w:b/>
          <w:bCs/>
          <w:color w:val="404040"/>
          <w:sz w:val="23"/>
          <w:szCs w:val="23"/>
          <w:rFonts w:ascii="Arial" w:cs="Arial" w:eastAsia="Arial" w:hAnsi="Arial"/>
        </w:rPr>
        <w:t xml:space="preserve">The RBI's guidelines on e-banking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Internet banking (June 2001, on the Mittal Committee report):</w:t>
      </w:r>
      <w:r>
        <w:rPr>
          <w:sz w:val="22"/>
          <w:szCs w:val="22"/>
          <w:rFonts w:ascii="Arial" w:cs="Arial" w:eastAsia="Arial" w:hAnsi="Arial"/>
        </w:rPr>
        <w:t xml:space="preserve"> three levels of service (information, communication, transaction); banks to obtain the RBI's approval? (later replaced by a report); security policy, two-factor authentication, firewalls, audit; the customer's liability to be defined in the agreement; cross-border services subject to FEMA. </w:t>
      </w:r>
      <w:r>
        <w:rPr>
          <w:b/>
          <w:bCs/>
          <w:sz w:val="22"/>
          <w:szCs w:val="22"/>
          <w:rFonts w:ascii="Arial" w:cs="Arial" w:eastAsia="Arial" w:hAnsi="Arial"/>
        </w:rPr>
        <w:t xml:space="preserve">Mobile banking (October 2008, revised 2016):</w:t>
      </w:r>
      <w:r>
        <w:rPr>
          <w:sz w:val="22"/>
          <w:szCs w:val="22"/>
          <w:rFonts w:ascii="Arial" w:cs="Arial" w:eastAsia="Arial" w:hAnsi="Arial"/>
        </w:rPr>
        <w:t xml:space="preserve"> only banks licensed in India with a physical presence may offer it; registration of the customer; two-factor authentication; the daily transaction limits (removed in 2011-2016); the mobile banking interoperability through NPCI; the 2016 Master Direction on issuance of prepaid instruments; the guidelines on the Unified Payments Interface (NPCI's rules approved by the RBI); and the 2022 direction that banks must offer the interoperable card-less cash withdrawal. </w:t>
      </w:r>
      <w:r>
        <w:rPr>
          <w:b/>
          <w:bCs/>
          <w:sz w:val="22"/>
          <w:szCs w:val="22"/>
          <w:rFonts w:ascii="Arial" w:cs="Arial" w:eastAsia="Arial" w:hAnsi="Arial"/>
        </w:rPr>
        <w:t xml:space="preserve">Customer protection — the July 2017 circular (Limiting Liability of Customers in Unauthorised Electronic Banking Transactions):</w:t>
      </w:r>
      <w:r>
        <w:rPr>
          <w:sz w:val="22"/>
          <w:szCs w:val="22"/>
          <w:rFonts w:ascii="Arial" w:cs="Arial" w:eastAsia="Arial" w:hAnsi="Arial"/>
        </w:rPr>
        <w:t xml:space="preserve"> </w:t>
      </w:r>
      <w:r>
        <w:rPr>
          <w:b/>
          <w:bCs/>
          <w:sz w:val="22"/>
          <w:szCs w:val="22"/>
          <w:rFonts w:ascii="Arial" w:cs="Arial" w:eastAsia="Arial" w:hAnsi="Arial"/>
        </w:rPr>
        <w:t xml:space="preserve">zero liability</w:t>
      </w:r>
      <w:r>
        <w:rPr>
          <w:sz w:val="22"/>
          <w:szCs w:val="22"/>
          <w:rFonts w:ascii="Arial" w:cs="Arial" w:eastAsia="Arial" w:hAnsi="Arial"/>
        </w:rPr>
        <w:t xml:space="preserve"> where the unauthorised transaction is due to the bank's contributory fraud, negligence or deficiency, whether or not reported, and where it is a third-party breach in which neither the bank nor the customer is at fault and the customer notifies within three working days; </w:t>
      </w:r>
      <w:r>
        <w:rPr>
          <w:b/>
          <w:bCs/>
          <w:sz w:val="22"/>
          <w:szCs w:val="22"/>
          <w:rFonts w:ascii="Arial" w:cs="Arial" w:eastAsia="Arial" w:hAnsi="Arial"/>
        </w:rPr>
        <w:t xml:space="preserve">limited liability</w:t>
      </w:r>
      <w:r>
        <w:rPr>
          <w:sz w:val="22"/>
          <w:szCs w:val="22"/>
          <w:rFonts w:ascii="Arial" w:cs="Arial" w:eastAsia="Arial" w:hAnsi="Arial"/>
        </w:rPr>
        <w:t xml:space="preserve"> (five thousand to twenty-five thousand rupees depending on the account type) where the customer notifies within four to seven working days; the bank's board policy governs delays beyond seven days; where the loss is due to the customer's negligence (sharing credentials) the customer bears the loss until he reports, and the bank thereafter; the bank must credit the disputed amount (shadow reversal) within ten working days and resolve within ninety days; the burden of proving customer negligence is on the bank; the circular was extended to NBFCs and PPI issuers in 2019, and the 2021 Integrated Ombudsman Scheme enforces it. </w:t>
      </w:r>
      <w:r>
        <w:rPr>
          <w:b/>
          <w:bCs/>
          <w:sz w:val="22"/>
          <w:szCs w:val="22"/>
          <w:rFonts w:ascii="Arial" w:cs="Arial" w:eastAsia="Arial" w:hAnsi="Arial"/>
        </w:rPr>
        <w:t xml:space="preserve">Cyber security (June 2016 framework, revised 2023):</w:t>
      </w:r>
      <w:r>
        <w:rPr>
          <w:sz w:val="22"/>
          <w:szCs w:val="22"/>
          <w:rFonts w:ascii="Arial" w:cs="Arial" w:eastAsia="Arial" w:hAnsi="Arial"/>
        </w:rPr>
        <w:t xml:space="preserve"> a board-approved cyber-security policy, a Security Operations Centre, incident reporting to the RBI within two to six hours, vulnerability assessment, and the 2023 Master Direction on Information Technology Governance. </w:t>
      </w:r>
      <w:r>
        <w:rPr>
          <w:b/>
          <w:bCs/>
          <w:sz w:val="22"/>
          <w:szCs w:val="22"/>
          <w:rFonts w:ascii="Arial" w:cs="Arial" w:eastAsia="Arial" w:hAnsi="Arial"/>
        </w:rPr>
        <w:t xml:space="preserve">Digital lending (September 2022 guidelines, 2023 Master Direction? — 2025 consolidated):</w:t>
      </w:r>
      <w:r>
        <w:rPr>
          <w:sz w:val="22"/>
          <w:szCs w:val="22"/>
          <w:rFonts w:ascii="Arial" w:cs="Arial" w:eastAsia="Arial" w:hAnsi="Arial"/>
        </w:rPr>
        <w:t xml:space="preserve"> all loan disbursals and repayments only between the borrower's and the regulated entity's bank accounts, no pass-through of a third party's account; disclosure of the annual percentage rate; a cooling-off period; no automatic increase of credit limits; the regulated entity responsible for the conduct of its lending service providers (apps); a grievance-redressal officer; data collected only with consent and for need; the response to the 2020-2021 'loan app' harassment cases. </w:t>
      </w:r>
      <w:r>
        <w:rPr>
          <w:b/>
          <w:bCs/>
          <w:sz w:val="22"/>
          <w:szCs w:val="22"/>
          <w:rFonts w:ascii="Arial" w:cs="Arial" w:eastAsia="Arial" w:hAnsi="Arial"/>
        </w:rPr>
        <w:t xml:space="preserve">Outsourcing (2023):</w:t>
      </w:r>
      <w:r>
        <w:rPr>
          <w:sz w:val="22"/>
          <w:szCs w:val="22"/>
          <w:rFonts w:ascii="Arial" w:cs="Arial" w:eastAsia="Arial" w:hAnsi="Arial"/>
        </w:rPr>
        <w:t xml:space="preserve"> banks remain responsible for outsourced IT and financial services. </w:t>
      </w:r>
      <w:r>
        <w:rPr>
          <w:b/>
          <w:bCs/>
          <w:sz w:val="22"/>
          <w:szCs w:val="22"/>
          <w:rFonts w:ascii="Arial" w:cs="Arial" w:eastAsia="Arial" w:hAnsi="Arial"/>
        </w:rPr>
        <w:t xml:space="preserve">Positive pay, tokenisation, the 2021 e-mandate rules for recurring payments, and the 2022 Ombudsman coverage of credit-information companies</w:t>
      </w:r>
      <w:r>
        <w:rPr>
          <w:sz w:val="22"/>
          <w:szCs w:val="22"/>
          <w:rFonts w:ascii="Arial" w:cs="Arial" w:eastAsia="Arial" w:hAnsi="Arial"/>
        </w:rPr>
        <w:t xml:space="preserve"> complete the customer-facing regime. </w:t>
      </w:r>
      <w:r>
        <w:rPr>
          <w:b/>
          <w:bCs/>
          <w:sz w:val="22"/>
          <w:szCs w:val="22"/>
          <w:rFonts w:ascii="Arial" w:cs="Arial" w:eastAsia="Arial" w:hAnsi="Arial"/>
        </w:rPr>
        <w:t xml:space="preserve">The Reserve Bank Integrated Ombudsman Scheme 2021</w:t>
      </w:r>
      <w:r>
        <w:rPr>
          <w:sz w:val="22"/>
          <w:szCs w:val="22"/>
          <w:rFonts w:ascii="Arial" w:cs="Arial" w:eastAsia="Arial" w:hAnsi="Arial"/>
        </w:rPr>
        <w:t xml:space="preserve"> covers banks, NBFCs, payment operators and (2022) credit-information companies for deficiency in service (a defined term including unauthorised transactions, failed transfers, non-observance of the RBI's directions), with a complaint after the bank's non-response within thirty days, an award up to twenty lakh rupees plus one lakh for loss of time, and an appeal to the RBI's Deputy Governor.</w:t>
      </w:r>
    </w:p>
    <w:p>
      <w:pPr>
        <w:spacing w:before="240" w:after="120"/>
      </w:pPr>
      <w:r>
        <w:rPr>
          <w:b/>
          <w:bCs/>
          <w:color w:val="404040"/>
          <w:sz w:val="23"/>
          <w:szCs w:val="23"/>
          <w:rFonts w:ascii="Arial" w:cs="Arial" w:eastAsia="Arial" w:hAnsi="Arial"/>
        </w:rPr>
        <w:t xml:space="preserve">Fintech, account aggregators and the e-rupee</w:t>
      </w:r>
    </w:p>
    <w:p>
      <w:pPr>
        <w:spacing w:after="120" w:line="300"/>
        <w:jc w:val="both"/>
      </w:pPr>
      <w:r>
        <w:rPr>
          <w:sz w:val="22"/>
          <w:szCs w:val="22"/>
          <w:rFonts w:ascii="Arial" w:cs="Arial" w:eastAsia="Arial" w:hAnsi="Arial"/>
        </w:rPr>
        <w:t xml:space="preserve">The RBI's stance on fintech is 'regulate the activity, not the entity': </w:t>
      </w:r>
      <w:r>
        <w:rPr>
          <w:b/>
          <w:bCs/>
          <w:sz w:val="22"/>
          <w:szCs w:val="22"/>
          <w:rFonts w:ascii="Arial" w:cs="Arial" w:eastAsia="Arial" w:hAnsi="Arial"/>
        </w:rPr>
        <w:t xml:space="preserve">payment aggregators and gateways</w:t>
      </w:r>
      <w:r>
        <w:rPr>
          <w:sz w:val="22"/>
          <w:szCs w:val="22"/>
          <w:rFonts w:ascii="Arial" w:cs="Arial" w:eastAsia="Arial" w:hAnsi="Arial"/>
        </w:rPr>
        <w:t xml:space="preserve"> (2020 guidelines — authorisation, net worth, nodal accounts, no storage of card data); </w:t>
      </w:r>
      <w:r>
        <w:rPr>
          <w:b/>
          <w:bCs/>
          <w:sz w:val="22"/>
          <w:szCs w:val="22"/>
          <w:rFonts w:ascii="Arial" w:cs="Arial" w:eastAsia="Arial" w:hAnsi="Arial"/>
        </w:rPr>
        <w:t xml:space="preserve">account aggregators</w:t>
      </w:r>
      <w:r>
        <w:rPr>
          <w:sz w:val="22"/>
          <w:szCs w:val="22"/>
          <w:rFonts w:ascii="Arial" w:cs="Arial" w:eastAsia="Arial" w:hAnsi="Arial"/>
        </w:rPr>
        <w:t xml:space="preserve"> (2016 — NBFC-AA licences to firms that move a customer's financial data between institutions with the customer's electronic consent under the ReBIT technical standards; live since 2021 across banks, insurers, mutual funds and the tax department); the </w:t>
      </w:r>
      <w:r>
        <w:rPr>
          <w:b/>
          <w:bCs/>
          <w:sz w:val="22"/>
          <w:szCs w:val="22"/>
          <w:rFonts w:ascii="Arial" w:cs="Arial" w:eastAsia="Arial" w:hAnsi="Arial"/>
        </w:rPr>
        <w:t xml:space="preserve">Regulatory Sandbox</w:t>
      </w:r>
      <w:r>
        <w:rPr>
          <w:sz w:val="22"/>
          <w:szCs w:val="22"/>
          <w:rFonts w:ascii="Arial" w:cs="Arial" w:eastAsia="Arial" w:hAnsi="Arial"/>
        </w:rPr>
        <w:t xml:space="preserve"> (2019) and the </w:t>
      </w:r>
      <w:r>
        <w:rPr>
          <w:b/>
          <w:bCs/>
          <w:sz w:val="22"/>
          <w:szCs w:val="22"/>
          <w:rFonts w:ascii="Arial" w:cs="Arial" w:eastAsia="Arial" w:hAnsi="Arial"/>
        </w:rPr>
        <w:t xml:space="preserve">Reserve Bank Innovation Hub</w:t>
      </w:r>
      <w:r>
        <w:rPr>
          <w:sz w:val="22"/>
          <w:szCs w:val="22"/>
          <w:rFonts w:ascii="Arial" w:cs="Arial" w:eastAsia="Arial" w:hAnsi="Arial"/>
        </w:rPr>
        <w:t xml:space="preserve"> (2021); the </w:t>
      </w:r>
      <w:r>
        <w:rPr>
          <w:b/>
          <w:bCs/>
          <w:sz w:val="22"/>
          <w:szCs w:val="22"/>
          <w:rFonts w:ascii="Arial" w:cs="Arial" w:eastAsia="Arial" w:hAnsi="Arial"/>
        </w:rPr>
        <w:t xml:space="preserve">Open Credit Enablement Network</w:t>
      </w:r>
      <w:r>
        <w:rPr>
          <w:sz w:val="22"/>
          <w:szCs w:val="22"/>
          <w:rFonts w:ascii="Arial" w:cs="Arial" w:eastAsia="Arial" w:hAnsi="Arial"/>
        </w:rPr>
        <w:t xml:space="preserve"> for lending; the </w:t>
      </w:r>
      <w:r>
        <w:rPr>
          <w:b/>
          <w:bCs/>
          <w:sz w:val="22"/>
          <w:szCs w:val="22"/>
          <w:rFonts w:ascii="Arial" w:cs="Arial" w:eastAsia="Arial" w:hAnsi="Arial"/>
        </w:rPr>
        <w:t xml:space="preserve">Public Tech Platform for Frictionless Credit</w:t>
      </w:r>
      <w:r>
        <w:rPr>
          <w:sz w:val="22"/>
          <w:szCs w:val="22"/>
          <w:rFonts w:ascii="Arial" w:cs="Arial" w:eastAsia="Arial" w:hAnsi="Arial"/>
        </w:rPr>
        <w:t xml:space="preserve"> (2023); the guidelines on </w:t>
      </w:r>
      <w:r>
        <w:rPr>
          <w:b/>
          <w:bCs/>
          <w:sz w:val="22"/>
          <w:szCs w:val="22"/>
          <w:rFonts w:ascii="Arial" w:cs="Arial" w:eastAsia="Arial" w:hAnsi="Arial"/>
        </w:rPr>
        <w:t xml:space="preserve">buy-now-pay-later</w:t>
      </w:r>
      <w:r>
        <w:rPr>
          <w:sz w:val="22"/>
          <w:szCs w:val="22"/>
          <w:rFonts w:ascii="Arial" w:cs="Arial" w:eastAsia="Arial" w:hAnsi="Arial"/>
        </w:rPr>
        <w:t xml:space="preserve"> and on </w:t>
      </w:r>
      <w:r>
        <w:rPr>
          <w:b/>
          <w:bCs/>
          <w:sz w:val="22"/>
          <w:szCs w:val="22"/>
          <w:rFonts w:ascii="Arial" w:cs="Arial" w:eastAsia="Arial" w:hAnsi="Arial"/>
        </w:rPr>
        <w:t xml:space="preserve">co-lending</w:t>
      </w:r>
      <w:r>
        <w:rPr>
          <w:sz w:val="22"/>
          <w:szCs w:val="22"/>
          <w:rFonts w:ascii="Arial" w:cs="Arial" w:eastAsia="Arial" w:hAnsi="Arial"/>
        </w:rPr>
        <w:t xml:space="preserve"> (2020); the ban on crypto-currency dealings through banks (2018) set aside in Internet and Mobile Association of India v. RBI (2020), followed by the Government's 2022 taxation of virtual digital assets and the pending regulation; and the </w:t>
      </w:r>
      <w:r>
        <w:rPr>
          <w:b/>
          <w:bCs/>
          <w:sz w:val="22"/>
          <w:szCs w:val="22"/>
          <w:rFonts w:ascii="Arial" w:cs="Arial" w:eastAsia="Arial" w:hAnsi="Arial"/>
        </w:rPr>
        <w:t xml:space="preserve">Central Bank Digital Currency</w:t>
      </w:r>
      <w:r>
        <w:rPr>
          <w:sz w:val="22"/>
          <w:szCs w:val="22"/>
          <w:rFonts w:ascii="Arial" w:cs="Arial" w:eastAsia="Arial" w:hAnsi="Arial"/>
        </w:rPr>
        <w:t xml:space="preserve"> — the e-rupee, a token issued by the RBI under Sec 22 as legal tender, in a retail pilot (December 2022) through bank wallets and a wholesale pilot for securities settlement (November 2022), with programmable and offline features under test — the RBI's concept note (October 2022) distinguishes it from crypto-assets by its sovereign backing and from deposits by its being a direct liability of the RBI. Payments banks (2015) and small finance banks (2015) are the licensed 'differentiated' banks; </w:t>
      </w:r>
      <w:r>
        <w:rPr>
          <w:b/>
          <w:bCs/>
          <w:sz w:val="22"/>
          <w:szCs w:val="22"/>
          <w:rFonts w:ascii="Arial" w:cs="Arial" w:eastAsia="Arial" w:hAnsi="Arial"/>
        </w:rPr>
        <w:t xml:space="preserve">neo-banks</w:t>
      </w:r>
      <w:r>
        <w:rPr>
          <w:sz w:val="22"/>
          <w:szCs w:val="22"/>
          <w:rFonts w:ascii="Arial" w:cs="Arial" w:eastAsia="Arial" w:hAnsi="Arial"/>
        </w:rPr>
        <w:t xml:space="preserve"> operate as platforms on licensed banks; and the RBI's 2024 consultation on a 'Digital Payments Intelligence Platform' and the mandatory 'two-factor authentication' review respond to fraud, which rose to fourteen thousand cases in 2023-24 by the RBI's count, most in cards and internet banking.</w:t>
      </w:r>
    </w:p>
    <w:p>
      <w:pPr>
        <w:spacing w:before="240" w:after="120"/>
      </w:pPr>
      <w:r>
        <w:rPr>
          <w:b/>
          <w:bCs/>
          <w:color w:val="404040"/>
          <w:sz w:val="23"/>
          <w:szCs w:val="23"/>
          <w:rFonts w:ascii="Arial" w:cs="Arial" w:eastAsia="Arial" w:hAnsi="Arial"/>
        </w:rPr>
        <w:t xml:space="preserve">Off-shore banking</w:t>
      </w:r>
    </w:p>
    <w:p>
      <w:pPr>
        <w:spacing w:after="120" w:line="300"/>
        <w:jc w:val="both"/>
      </w:pPr>
      <w:r>
        <w:rPr>
          <w:sz w:val="22"/>
          <w:szCs w:val="22"/>
          <w:rFonts w:ascii="Arial" w:cs="Arial" w:eastAsia="Arial" w:hAnsi="Arial"/>
        </w:rPr>
      </w:r>
      <w:r>
        <w:rPr>
          <w:b/>
          <w:bCs/>
          <w:sz w:val="22"/>
          <w:szCs w:val="22"/>
          <w:rFonts w:ascii="Arial" w:cs="Arial" w:eastAsia="Arial" w:hAnsi="Arial"/>
        </w:rPr>
        <w:t xml:space="preserve">Offshore banking units (OBUs):</w:t>
      </w:r>
      <w:r>
        <w:rPr>
          <w:sz w:val="22"/>
          <w:szCs w:val="22"/>
          <w:rFonts w:ascii="Arial" w:cs="Arial" w:eastAsia="Arial" w:hAnsi="Arial"/>
        </w:rPr>
        <w:t xml:space="preserve"> the RBI's 2002 scheme (after the SEZ policy of 2000 and the Finance Act 2002's tax concessions) allowed Indian and foreign banks to set up OBUs in Special Economic Zones as branches treated as </w:t>
      </w:r>
      <w:r>
        <w:rPr>
          <w:b/>
          <w:bCs/>
          <w:sz w:val="22"/>
          <w:szCs w:val="22"/>
          <w:rFonts w:ascii="Arial" w:cs="Arial" w:eastAsia="Arial" w:hAnsi="Arial"/>
        </w:rPr>
        <w:t xml:space="preserve">non-resident</w:t>
      </w:r>
      <w:r>
        <w:rPr>
          <w:sz w:val="22"/>
          <w:szCs w:val="22"/>
          <w:rFonts w:ascii="Arial" w:cs="Arial" w:eastAsia="Arial" w:hAnsi="Arial"/>
        </w:rPr>
        <w:t xml:space="preserve"> for exchange-control purposes: they may raise funds in foreign currency from non-residents and lend in foreign currency to SEZ units and to residents under the External Commercial Borrowing guidelines; they are exempt from CRR and SLR on their foreign-currency liabilities, enjoy a tax holiday under Sec 80LA of the Income-tax Act, and cannot deal in rupees except for their own expenses; they operate under the FEMA (Deposit) Regulations and the RBI's Master Direction. The scheme had limited success until the </w:t>
      </w:r>
      <w:r>
        <w:rPr>
          <w:b/>
          <w:bCs/>
          <w:sz w:val="22"/>
          <w:szCs w:val="22"/>
          <w:rFonts w:ascii="Arial" w:cs="Arial" w:eastAsia="Arial" w:hAnsi="Arial"/>
        </w:rPr>
        <w:t xml:space="preserve">International Financial Services Centre</w:t>
      </w:r>
      <w:r>
        <w:rPr>
          <w:sz w:val="22"/>
          <w:szCs w:val="22"/>
          <w:rFonts w:ascii="Arial" w:cs="Arial" w:eastAsia="Arial" w:hAnsi="Arial"/>
        </w:rPr>
        <w:t xml:space="preserve"> at GIFT City, Gandhinagar (2015) and the </w:t>
      </w:r>
      <w:r>
        <w:rPr>
          <w:b/>
          <w:bCs/>
          <w:sz w:val="22"/>
          <w:szCs w:val="22"/>
          <w:rFonts w:ascii="Arial" w:cs="Arial" w:eastAsia="Arial" w:hAnsi="Arial"/>
        </w:rPr>
        <w:t xml:space="preserve">International Financial Services Centres Authority Act 2019</w:t>
      </w:r>
      <w:r>
        <w:rPr>
          <w:sz w:val="22"/>
          <w:szCs w:val="22"/>
          <w:rFonts w:ascii="Arial" w:cs="Arial" w:eastAsia="Arial" w:hAnsi="Arial"/>
        </w:rPr>
        <w:t xml:space="preserve">, which created a unified regulator (the IFSCA) for banking, insurance, securities and fund management in the IFSC, taking over the powers of the RBI, SEBI, IRDAI and PFRDA there; </w:t>
      </w:r>
      <w:r>
        <w:rPr>
          <w:b/>
          <w:bCs/>
          <w:sz w:val="22"/>
          <w:szCs w:val="22"/>
          <w:rFonts w:ascii="Arial" w:cs="Arial" w:eastAsia="Arial" w:hAnsi="Arial"/>
        </w:rPr>
        <w:t xml:space="preserve">IFSC Banking Units (IBUs)</w:t>
      </w:r>
      <w:r>
        <w:rPr>
          <w:sz w:val="22"/>
          <w:szCs w:val="22"/>
          <w:rFonts w:ascii="Arial" w:cs="Arial" w:eastAsia="Arial" w:hAnsi="Arial"/>
        </w:rPr>
        <w:t xml:space="preserve"> of Indian and foreign banks (State Bank of India, HDFC Bank, Citibank, Standard Chartered and over twenty others by 2024) may accept deposits from non-residents and from resident individuals under the Liberalised Remittance Scheme, lend in foreign currency, trade in foreign-currency derivatives and non-deliverable forwards, and (2023) offer the 'Global Administration Office' and aircraft-leasing finance; the IFSCA (Banking) Regulations 2020 govern them; the tax regime (ten-year holiday, no GST) and the treatment of the IFSC as a foreign jurisdiction for FEMA make it India's offshore centre; the RBI's role is limited to the IBUs' parent banks and the FEMA interface. </w:t>
      </w:r>
      <w:r>
        <w:rPr>
          <w:b/>
          <w:bCs/>
          <w:sz w:val="22"/>
          <w:szCs w:val="22"/>
          <w:rFonts w:ascii="Arial" w:cs="Arial" w:eastAsia="Arial" w:hAnsi="Arial"/>
        </w:rPr>
        <w:t xml:space="preserve">NRI accounts under FEMA:</w:t>
      </w:r>
      <w:r>
        <w:rPr>
          <w:sz w:val="22"/>
          <w:szCs w:val="22"/>
          <w:rFonts w:ascii="Arial" w:cs="Arial" w:eastAsia="Arial" w:hAnsi="Arial"/>
        </w:rPr>
        <w:t xml:space="preserve"> the Foreign Exchange Management Act 1999 (replacing the Foreign Exchange Regulation Act 1973 — the shift from 'regulation' with criminal sanctions to 'management' with civil penalties): Sec 2(v)-(w) define 'person resident in India' and 'person resident outside India'; Sec 3 prohibits dealing in foreign exchange except through an authorised person; Sec 5 permits current-account transactions subject to the Central Government's rules (the Current Account Transactions Rules 2000 — the Liberalised Remittance Scheme allows a resident to remit two hundred and fifty thousand dollars a year); Sec 6 regulates capital-account transactions under the RBI's regulations (the FEMA (Non-debt Instruments) Rules 2019 and the FEMA (Debt Instruments) Regulations 2019 for investment; the FEMA (Deposit) Regulations 2016 for accounts); Sec 10 authorises 'authorised persons' — the authorised-dealer banks — through whom all foreign exchange must pass; Sec 11-12 give the RBI powers of direction and inspection; Sec 13-15 impose penalties (up to three times the sum involved) adjudicated by the Enforcement Directorate with appeals to the Appellate Tribunal; and Sec 37A (2015) permits seizure of equivalent Indian assets for foreign assets held in contravention. The NRI account types: </w:t>
      </w:r>
      <w:r>
        <w:rPr>
          <w:b/>
          <w:bCs/>
          <w:sz w:val="22"/>
          <w:szCs w:val="22"/>
          <w:rFonts w:ascii="Arial" w:cs="Arial" w:eastAsia="Arial" w:hAnsi="Arial"/>
        </w:rPr>
        <w:t xml:space="preserve">NRE</w:t>
      </w:r>
      <w:r>
        <w:rPr>
          <w:sz w:val="22"/>
          <w:szCs w:val="22"/>
          <w:rFonts w:ascii="Arial" w:cs="Arial" w:eastAsia="Arial" w:hAnsi="Arial"/>
        </w:rPr>
        <w:t xml:space="preserve"> (Non-Resident External) — rupee accounts funded by inward remittances, fully repatriable with tax-free interest; </w:t>
      </w:r>
      <w:r>
        <w:rPr>
          <w:b/>
          <w:bCs/>
          <w:sz w:val="22"/>
          <w:szCs w:val="22"/>
          <w:rFonts w:ascii="Arial" w:cs="Arial" w:eastAsia="Arial" w:hAnsi="Arial"/>
        </w:rPr>
        <w:t xml:space="preserve">NRO</w:t>
      </w:r>
      <w:r>
        <w:rPr>
          <w:sz w:val="22"/>
          <w:szCs w:val="22"/>
          <w:rFonts w:ascii="Arial" w:cs="Arial" w:eastAsia="Arial" w:hAnsi="Arial"/>
        </w:rPr>
        <w:t xml:space="preserve"> (Non-Resident Ordinary) — rupee accounts for income earned in India (rent, dividends), with repatriation up to one million dollars a year and taxable interest; </w:t>
      </w:r>
      <w:r>
        <w:rPr>
          <w:b/>
          <w:bCs/>
          <w:sz w:val="22"/>
          <w:szCs w:val="22"/>
          <w:rFonts w:ascii="Arial" w:cs="Arial" w:eastAsia="Arial" w:hAnsi="Arial"/>
        </w:rPr>
        <w:t xml:space="preserve">FCNR(B)</w:t>
      </w:r>
      <w:r>
        <w:rPr>
          <w:sz w:val="22"/>
          <w:szCs w:val="22"/>
          <w:rFonts w:ascii="Arial" w:cs="Arial" w:eastAsia="Arial" w:hAnsi="Arial"/>
        </w:rPr>
        <w:t xml:space="preserve"> — term deposits in foreign currencies for one to five years, repatriable, with the exchange risk borne by the bank; </w:t>
      </w:r>
      <w:r>
        <w:rPr>
          <w:b/>
          <w:bCs/>
          <w:sz w:val="22"/>
          <w:szCs w:val="22"/>
          <w:rFonts w:ascii="Arial" w:cs="Arial" w:eastAsia="Arial" w:hAnsi="Arial"/>
        </w:rPr>
        <w:t xml:space="preserve">RFC</w:t>
      </w:r>
      <w:r>
        <w:rPr>
          <w:sz w:val="22"/>
          <w:szCs w:val="22"/>
          <w:rFonts w:ascii="Arial" w:cs="Arial" w:eastAsia="Arial" w:hAnsi="Arial"/>
        </w:rPr>
        <w:t xml:space="preserve"> (Resident Foreign Currency) — for returning Indians; </w:t>
      </w:r>
      <w:r>
        <w:rPr>
          <w:b/>
          <w:bCs/>
          <w:sz w:val="22"/>
          <w:szCs w:val="22"/>
          <w:rFonts w:ascii="Arial" w:cs="Arial" w:eastAsia="Arial" w:hAnsi="Arial"/>
        </w:rPr>
        <w:t xml:space="preserve">SNRR</w:t>
      </w:r>
      <w:r>
        <w:rPr>
          <w:sz w:val="22"/>
          <w:szCs w:val="22"/>
          <w:rFonts w:ascii="Arial" w:cs="Arial" w:eastAsia="Arial" w:hAnsi="Arial"/>
        </w:rPr>
        <w:t xml:space="preserve"> (Special Non-Resident Rupee) accounts for non-residents with business interests; and the 2019 scheme for </w:t>
      </w:r>
      <w:r>
        <w:rPr>
          <w:b/>
          <w:bCs/>
          <w:sz w:val="22"/>
          <w:szCs w:val="22"/>
          <w:rFonts w:ascii="Arial" w:cs="Arial" w:eastAsia="Arial" w:hAnsi="Arial"/>
        </w:rPr>
        <w:t xml:space="preserve">foreign-currency accounts</w:t>
      </w:r>
      <w:r>
        <w:rPr>
          <w:sz w:val="22"/>
          <w:szCs w:val="22"/>
          <w:rFonts w:ascii="Arial" w:cs="Arial" w:eastAsia="Arial" w:hAnsi="Arial"/>
        </w:rPr>
        <w:t xml:space="preserve"> of Indian companies abroad. The RBI's 1998 and 2013 special FCNR(B) swap schemes raised thirty-four billion dollars to defend the rupee; NRI deposits stood at over one hundred and fifty billion dollars in 2024. </w:t>
      </w:r>
      <w:r>
        <w:rPr>
          <w:b/>
          <w:bCs/>
          <w:sz w:val="22"/>
          <w:szCs w:val="22"/>
          <w:rFonts w:ascii="Arial" w:cs="Arial" w:eastAsia="Arial" w:hAnsi="Arial"/>
        </w:rPr>
        <w:t xml:space="preserve">Offshore banking risks and regulation:</w:t>
      </w:r>
      <w:r>
        <w:rPr>
          <w:sz w:val="22"/>
          <w:szCs w:val="22"/>
          <w:rFonts w:ascii="Arial" w:cs="Arial" w:eastAsia="Arial" w:hAnsi="Arial"/>
        </w:rPr>
        <w:t xml:space="preserve"> the Basel Committee's 'Core Principles', the Financial Action Task Force's recommendations against money laundering (India joined in 2010), the automatic exchange of information under the OECD's Common Reporting Standard and the Foreign Account Tax Compliance Act, the Black Money (Undisclosed Foreign Income and Assets) and Imposition of Tax Act 2015, and the 'Panama' and 'Pandora' papers have narrowed the secrecy that offshore banking once offered; the RBI's guidelines require OBUs and IBUs to follow the same KYC and AML standards as domestic branches.</w:t>
      </w:r>
    </w:p>
    <w:p>
      <w:pPr>
        <w:pBdr>
          <w:left w:val="single" w:color="CC0000" w:sz="6" w:space="8"/>
        </w:pBdr>
        <w:spacing w:before="80" w:after="80"/>
        <w:ind w:left="300"/>
      </w:pPr>
      <w:r>
        <w:rPr>
          <w:b/>
          <w:bCs/>
          <w:color w:val="CC0000"/>
          <w:sz w:val="21"/>
          <w:szCs w:val="21"/>
          <w:rFonts w:ascii="Arial" w:cs="Arial" w:eastAsia="Arial" w:hAnsi="Arial"/>
        </w:rPr>
        <w:t xml:space="preserve">Internet and Mobile Association of India v. Reserve Bank of India (2020) 10 SCC 274 — </w:t>
      </w:r>
      <w:r>
        <w:rPr>
          <w:sz w:val="21"/>
          <w:szCs w:val="21"/>
          <w:rFonts w:ascii="Arial" w:cs="Arial" w:eastAsia="Arial" w:hAnsi="Arial"/>
        </w:rPr>
        <w:t xml:space="preserve">The RBI has power under the RBI Act, the BR Act and the PSS Act to regulate virtual currencies through banks, but its 2018 blanket ban on banks servicing crypto-exchanges was disproportionate; the test of proportionality applies to the RBI's directions.</w:t>
      </w:r>
    </w:p>
    <w:p>
      <w:pPr>
        <w:pBdr>
          <w:left w:val="single" w:color="CC0000" w:sz="6" w:space="8"/>
        </w:pBdr>
        <w:spacing w:before="80" w:after="80"/>
        <w:ind w:left="300"/>
      </w:pPr>
      <w:r>
        <w:rPr>
          <w:b/>
          <w:bCs/>
          <w:color w:val="CC0000"/>
          <w:sz w:val="21"/>
          <w:szCs w:val="21"/>
          <w:rFonts w:ascii="Arial" w:cs="Arial" w:eastAsia="Arial" w:hAnsi="Arial"/>
        </w:rPr>
        <w:t xml:space="preserve">State Bank of India v. Rajesh Agarwal (2023) 6 SCC 1 — </w:t>
      </w:r>
      <w:r>
        <w:rPr>
          <w:sz w:val="21"/>
          <w:szCs w:val="21"/>
          <w:rFonts w:ascii="Arial" w:cs="Arial" w:eastAsia="Arial" w:hAnsi="Arial"/>
        </w:rPr>
        <w:t xml:space="preserve">The RBI's Master Directions on Frauds must be read with the audi alteram partem rule; classification of a borrower's account as fraud without a hearing is illegal — a case on the RBI's circulars as subordinate legislation with civil consequences.</w:t>
      </w:r>
    </w:p>
    <w:p>
      <w:pPr>
        <w:pBdr>
          <w:left w:val="single" w:color="CC0000" w:sz="6" w:space="8"/>
        </w:pBdr>
        <w:spacing w:before="80" w:after="80"/>
        <w:ind w:left="300"/>
      </w:pPr>
      <w:r>
        <w:rPr>
          <w:b/>
          <w:bCs/>
          <w:color w:val="CC0000"/>
          <w:sz w:val="21"/>
          <w:szCs w:val="21"/>
          <w:rFonts w:ascii="Arial" w:cs="Arial" w:eastAsia="Arial" w:hAnsi="Arial"/>
        </w:rPr>
        <w:t xml:space="preserve">Cosmos Co-operative Bank cyber attack (2018) — regulatory response — </w:t>
      </w:r>
      <w:r>
        <w:rPr>
          <w:sz w:val="21"/>
          <w:szCs w:val="21"/>
          <w:rFonts w:ascii="Arial" w:cs="Arial" w:eastAsia="Arial" w:hAnsi="Arial"/>
        </w:rPr>
        <w:t xml:space="preserve">No court ruling; the bank bore the ninety-four-crore-rupee loss under the RBI's 2017 customer-protection circular and its own security failure; the RBI's 2016 cyber-security framework and the 2019 direction on ATM switch security were tightened after the incident; nine accused were convicted in Pune in 2023 under the IT Act and the IPC.</w:t>
      </w:r>
    </w:p>
    <w:p>
      <w:pPr>
        <w:pBdr>
          <w:left w:val="single" w:color="CC0000" w:sz="6" w:space="8"/>
        </w:pBdr>
        <w:spacing w:before="80" w:after="80"/>
        <w:ind w:left="300"/>
      </w:pPr>
      <w:r>
        <w:rPr>
          <w:b/>
          <w:bCs/>
          <w:color w:val="CC0000"/>
          <w:sz w:val="21"/>
          <w:szCs w:val="21"/>
          <w:rFonts w:ascii="Arial" w:cs="Arial" w:eastAsia="Arial" w:hAnsi="Arial"/>
        </w:rPr>
        <w:t xml:space="preserve">Vivek Narayan Sharma v. Union of India (2023) 3 SCC 1 — </w:t>
      </w:r>
      <w:r>
        <w:rPr>
          <w:sz w:val="21"/>
          <w:szCs w:val="21"/>
          <w:rFonts w:ascii="Arial" w:cs="Arial" w:eastAsia="Arial" w:hAnsi="Arial"/>
        </w:rPr>
        <w:t xml:space="preserve">(Recap) The RBI's currency functions under Sec 22-26 extend to digital form after the 2022 amendment; the demonetisation judgment's reasoning on the Central Board's role frames the e-rupee's governance.</w:t>
      </w:r>
    </w:p>
    <w:p>
      <w:pPr>
        <w:pBdr>
          <w:left w:val="single" w:color="CC0000" w:sz="6" w:space="8"/>
        </w:pBdr>
        <w:spacing w:before="80" w:after="80"/>
        <w:ind w:left="300"/>
      </w:pPr>
      <w:r>
        <w:rPr>
          <w:b/>
          <w:bCs/>
          <w:color w:val="CC0000"/>
          <w:sz w:val="21"/>
          <w:szCs w:val="21"/>
          <w:rFonts w:ascii="Arial" w:cs="Arial" w:eastAsia="Arial" w:hAnsi="Arial"/>
        </w:rPr>
        <w:t xml:space="preserve">Pandurang Ganpati Chaugule v. Vishwasrao Patil Murgud Sahakari Bank (2020) 9 SCC 215 — </w:t>
      </w:r>
      <w:r>
        <w:rPr>
          <w:sz w:val="21"/>
          <w:szCs w:val="21"/>
          <w:rFonts w:ascii="Arial" w:cs="Arial" w:eastAsia="Arial" w:hAnsi="Arial"/>
        </w:rPr>
        <w:t xml:space="preserve">(Recap) Co-operative banks like Cosmos are 'banks' for the recovery and, after the 2020 amendment, the supervisory laws — the reason the RBI's cyber-security and customer-protection directions bind them.</w:t>
      </w:r>
    </w:p>
    <w:p>
      <w:pPr>
        <w:pBdr>
          <w:left w:val="single" w:color="1D9E75" w:sz="6" w:space="8"/>
        </w:pBdr>
        <w:spacing w:before="80" w:after="80"/>
        <w:ind w:left="300"/>
      </w:pPr>
      <w:r>
        <w:rPr>
          <w:b/>
          <w:bCs/>
          <w:color w:val="1D9E75"/>
          <w:sz w:val="21"/>
          <w:szCs w:val="21"/>
          <w:rFonts w:ascii="Arial" w:cs="Arial" w:eastAsia="Arial" w:hAnsi="Arial"/>
        </w:rPr>
        <w:t xml:space="preserve">DIGITAL: </w:t>
      </w:r>
      <w:r>
        <w:rPr>
          <w:sz w:val="21"/>
          <w:szCs w:val="21"/>
          <w:rFonts w:ascii="Arial" w:cs="Arial" w:eastAsia="Arial" w:hAnsi="Arial"/>
        </w:rPr>
        <w:t xml:space="preserve">This episode is itself the digital angle. For the exam, connect each channel to its law: UPI to the PSS Act authorisation of NPCI and the RBI's 2017 customer-protection circular; OTP fraud to Sec 66C-66D of the IT Act and the zero-liability rule; a failed NEFT to the Ombudsman Scheme and the RBI's 2019 'turn-around time' compensation framework (one hundred rupees a day for delays); a loan app to the 2022 digital-lending guidelines; a phishing-drained account to the bank's burden of proving customer negligence; a hacked ATM switch to the bank's own liability; and an NRI's transfer to FEMA Sec 6 and the Deposit Regulations. The examiner's phrase 'e-Banking and RBI guidelines' expects the 2001 internet-banking circular, the 2008 mobile-banking guidelines, the 2016 cyber-security framework, the 2017 customer-protection circular, the 2020 payment-aggregator guidelines and the 2022 digital-lending guidelines, in that order.</w:t>
      </w:r>
    </w:p>
    <w:p>
      <w:pPr>
        <w:pBdr>
          <w:left w:val="single" w:color="0066CC" w:sz="6" w:space="8"/>
        </w:pBdr>
        <w:spacing w:before="80" w:after="80"/>
        <w:ind w:left="300"/>
      </w:pPr>
      <w:r>
        <w:rPr>
          <w:b/>
          <w:bCs/>
          <w:color w:val="0066CC"/>
          <w:sz w:val="21"/>
          <w:szCs w:val="21"/>
          <w:rFonts w:ascii="Arial" w:cs="Arial" w:eastAsia="Arial" w:hAnsi="Arial"/>
        </w:rPr>
        <w:t xml:space="preserve">EXAM: </w:t>
      </w:r>
      <w:r>
        <w:rPr>
          <w:sz w:val="21"/>
          <w:szCs w:val="21"/>
          <w:rFonts w:ascii="Arial" w:cs="Arial" w:eastAsia="Arial" w:hAnsi="Arial"/>
        </w:rPr>
        <w:t xml:space="preserve">Part A: 'E-banking', 'Electronic cheque', 'Settlement finality under the PSS Act', 'Zero-liability rule', 'KYC', 'Payments bank', 'Offshore banking unit', 'IFSC', 'NRE vs NRO account', 'Central Bank Digital Currency'. Part B: 'Explain the legal framework of electronic banking in India and the RBI's guidelines on internet banking and customer protection' — channels, IT Act, PSS Act, NI Act amendments, the 2001, 2008, 2016, 2017 and 2022 guidelines, the Ombudsman, with the Cosmos heist as illustration; or 'What is offshore banking? Discuss the OBU scheme, the GIFT City IFSC and NRI accounts under FEMA'. Part C: a customer's account is drained by a phishing SMS he responded to, and he reports after nine days — the bank's board policy governs; the burden of proving his negligence is on the bank, and the loss after reporting is the bank's; a hacker withdraws from cloned cards through the bank's compromised switch — bank bears the entire loss (2017 circular, Cosmos); an NRI deposits rent income into an NRE account — not permitted, it must go to an NRO account; a UPI transfer to a wrong account — no Sec 138, remedy through the bank, NPCI's dispute mechanism and the Ombudsman.</w:t>
      </w:r>
    </w:p>
    <w:p>
      <w:r>
        <w:br w:type="page"/>
      </w:r>
    </w:p>
    <w:p>
      <w:pPr>
        <w:pStyle w:val="Heading1"/>
        <w:spacing w:before="480" w:after="200"/>
      </w:pPr>
      <w:r>
        <w:rPr>
          <w:b/>
          <w:bCs/>
          <w:color w:val="1F4E79"/>
          <w:sz w:val="32"/>
          <w:szCs w:val="32"/>
          <w:rFonts w:ascii="Arial" w:cs="Arial" w:eastAsia="Arial" w:hAnsi="Arial"/>
        </w:rPr>
        <w:t xml:space="preserve">Part C Drill Bank — 10 Problems with IRAC Answers</w:t>
      </w:r>
    </w:p>
    <w:p>
      <w:pPr>
        <w:spacing w:after="120" w:line="300"/>
        <w:jc w:val="both"/>
      </w:pPr>
      <w:r>
        <w:rPr>
          <w:sz w:val="22"/>
          <w:szCs w:val="22"/>
          <w:rFonts w:ascii="Arial" w:cs="Arial" w:eastAsia="Arial" w:hAnsi="Arial"/>
        </w:rPr>
        <w:t xml:space="preserve">Write each answer in four moves: Issue (one line), Rule (section and case), Application (the facts against the rule), Conclusion (the result and the remedy).</w:t>
      </w:r>
    </w:p>
    <w:p>
      <w:pPr>
        <w:spacing w:before="240" w:after="120"/>
      </w:pPr>
      <w:r>
        <w:rPr>
          <w:b/>
          <w:bCs/>
          <w:color w:val="404040"/>
          <w:sz w:val="23"/>
          <w:szCs w:val="23"/>
          <w:rFonts w:ascii="Arial" w:cs="Arial" w:eastAsia="Arial" w:hAnsi="Arial"/>
        </w:rPr>
        <w:t xml:space="preserve">1. The bank tells the employer</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bank manager, asked by a customer's employer whether the customer is 'financially sound', says that his account is heavily overdrawn and cheques are bouncing. The customer is dismissed and sues the bank.</w:t>
      </w:r>
    </w:p>
    <w:p>
      <w:pPr>
        <w:spacing w:after="120" w:line="300"/>
        <w:jc w:val="both"/>
      </w:pPr>
      <w:r>
        <w:rPr>
          <w:sz w:val="22"/>
          <w:szCs w:val="22"/>
          <w:rFonts w:ascii="Arial" w:cs="Arial" w:eastAsia="Arial" w:hAnsi="Arial"/>
        </w:rPr>
        <w:t xml:space="preserve">Issue: breach of the duty of secrecy. Rule: Tournier — an implied duty with four exceptions (compulsion of law, public duty, bank's interest, customer's consent); Sec 13 of the 1970 Act for public banks. Application: no legal compulsion, no public duty, not the bank's own interest, no consent. Conclusion: breach; the bank is liable in damages, and the customer may also complain to the Ombudsman.</w:t>
      </w:r>
    </w:p>
    <w:p>
      <w:pPr>
        <w:spacing w:before="240" w:after="120"/>
      </w:pPr>
      <w:r>
        <w:rPr>
          <w:b/>
          <w:bCs/>
          <w:color w:val="404040"/>
          <w:sz w:val="23"/>
          <w:szCs w:val="23"/>
          <w:rFonts w:ascii="Arial" w:cs="Arial" w:eastAsia="Arial" w:hAnsi="Arial"/>
        </w:rPr>
        <w:t xml:space="preserve">2. The partner's private account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cheque payable to 'Ravi Traders' (a firm) is endorsed by partner Ravi and deposited into his personal savings account at the same bank, which collects it. The other partners sue the bank.</w:t>
      </w:r>
    </w:p>
    <w:p>
      <w:pPr>
        <w:spacing w:after="120" w:line="300"/>
        <w:jc w:val="both"/>
      </w:pPr>
      <w:r>
        <w:rPr>
          <w:sz w:val="22"/>
          <w:szCs w:val="22"/>
          <w:rFonts w:ascii="Arial" w:cs="Arial" w:eastAsia="Arial" w:hAnsi="Arial"/>
        </w:rPr>
        <w:t xml:space="preserve">Issue: collecting banker's liability. Rule: Sec 131 protection requires collection for a customer in good faith and without negligence; collecting a cheque payable to a firm for a partner's personal account is negligence (Underwood; Indian Overseas Bank); Sec 19(2) Partnership Act — a partner has no implied authority to open an account in his own name. Application: the bank ignored the mismatch between payee and account-holder. Conclusion: no Sec 131 protection; the bank is liable to the firm (true owner) in conversion, with recourse against Ravi.</w:t>
      </w:r>
    </w:p>
    <w:p>
      <w:pPr>
        <w:spacing w:before="240" w:after="120"/>
      </w:pPr>
      <w:r>
        <w:rPr>
          <w:b/>
          <w:bCs/>
          <w:color w:val="404040"/>
          <w:sz w:val="23"/>
          <w:szCs w:val="23"/>
          <w:rFonts w:ascii="Arial" w:cs="Arial" w:eastAsia="Arial" w:hAnsi="Arial"/>
        </w:rPr>
        <w:t xml:space="preserve">3. The time-barred guarantee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B guaranteed A's loan in 2015. A defaulted in 2016 and the bank did nothing. In 2023 B's fixed deposit of two lakh rupees matures and the bank adjusts it against the loan. B sues for the deposit.</w:t>
      </w:r>
    </w:p>
    <w:p>
      <w:pPr>
        <w:spacing w:after="120" w:line="300"/>
        <w:jc w:val="both"/>
      </w:pPr>
      <w:r>
        <w:rPr>
          <w:sz w:val="22"/>
          <w:szCs w:val="22"/>
          <w:rFonts w:ascii="Arial" w:cs="Arial" w:eastAsia="Arial" w:hAnsi="Arial"/>
        </w:rPr>
        <w:t xml:space="preserve">Issue: can the bank set off against a time-barred guarantee liability? Rule: limitation bars the remedy, not the right; the bank may set off a deposit against a time-barred debt (Punjab National Bank v. Surendra Prasad Sinha); Sec 128 co-extensive liability; Sec 171 lien where the FDR was lodged. Application: the debt subsists; B is a guarantor liable co-extensively; the deposit is in the same right. Conclusion: the set-off is valid; B's suit fails.</w:t>
      </w:r>
    </w:p>
    <w:p>
      <w:pPr>
        <w:spacing w:before="240" w:after="120"/>
      </w:pPr>
      <w:r>
        <w:rPr>
          <w:b/>
          <w:bCs/>
          <w:color w:val="404040"/>
          <w:sz w:val="23"/>
          <w:szCs w:val="23"/>
          <w:rFonts w:ascii="Arial" w:cs="Arial" w:eastAsia="Arial" w:hAnsi="Arial"/>
        </w:rPr>
        <w:t xml:space="preserve">4. Notice out of time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cheque for five lakh rupees bounces on 1 March; the payee receives the memo on 3 March and sends a demand notice on 5 April; the drawer does not pay; a complaint is filed on 30 April.</w:t>
      </w:r>
    </w:p>
    <w:p>
      <w:pPr>
        <w:spacing w:after="120" w:line="300"/>
        <w:jc w:val="both"/>
      </w:pPr>
      <w:r>
        <w:rPr>
          <w:sz w:val="22"/>
          <w:szCs w:val="22"/>
          <w:rFonts w:ascii="Arial" w:cs="Arial" w:eastAsia="Arial" w:hAnsi="Arial"/>
        </w:rPr>
        <w:t xml:space="preserve">Issue: maintainability under Sec 138. Rule: the notice must be given within thirty days of receipt of the dishonour information (Sec 138 proviso (b)); a fresh presentation within validity gives a fresh cause of action (MSR Leathers). Application: the notice on 5 April is thirty-three days after 3 March — out of time. Conclusion: the complaint on this cause of action is not maintainable; the payee should re-present the cheque within its three-month validity, and on a second dishonour send notice within thirty days.</w:t>
      </w:r>
    </w:p>
    <w:p>
      <w:pPr>
        <w:spacing w:before="240" w:after="120"/>
      </w:pPr>
      <w:r>
        <w:rPr>
          <w:b/>
          <w:bCs/>
          <w:color w:val="404040"/>
          <w:sz w:val="23"/>
          <w:szCs w:val="23"/>
          <w:rFonts w:ascii="Arial" w:cs="Arial" w:eastAsia="Arial" w:hAnsi="Arial"/>
        </w:rPr>
        <w:t xml:space="preserve">5. The director without the company</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cheque of XYZ Pvt. Ltd. signed by its managing director bounces. The payee files a Sec 138 complaint against the managing director alone.</w:t>
      </w:r>
    </w:p>
    <w:p>
      <w:pPr>
        <w:spacing w:after="120" w:line="300"/>
        <w:jc w:val="both"/>
      </w:pPr>
      <w:r>
        <w:rPr>
          <w:sz w:val="22"/>
          <w:szCs w:val="22"/>
          <w:rFonts w:ascii="Arial" w:cs="Arial" w:eastAsia="Arial" w:hAnsi="Arial"/>
        </w:rPr>
        <w:t xml:space="preserve">Issue: vicarious liability under Sec 141. Rule: the company must be arraigned as an accused for the officers to be liable (Aneeta Hada); the managing director is liable by virtue of office once the company is prosecuted (SMS Pharmaceuticals). Application: the company is not an accused. Conclusion: the complaint is not maintainable against the director alone; it may be amended or a fresh complaint filed against the company and the director within limitation (with Sec 142 proviso condonation if needed).</w:t>
      </w:r>
    </w:p>
    <w:p>
      <w:pPr>
        <w:spacing w:before="240" w:after="120"/>
      </w:pPr>
      <w:r>
        <w:rPr>
          <w:b/>
          <w:bCs/>
          <w:color w:val="404040"/>
          <w:sz w:val="23"/>
          <w:szCs w:val="23"/>
          <w:rFonts w:ascii="Arial" w:cs="Arial" w:eastAsia="Arial" w:hAnsi="Arial"/>
        </w:rPr>
        <w:t xml:space="preserve">6. The altered amount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customer draws a cheque for 'Rs 3,000' leaving space; the payee alters it to 'Rs 30,000' skilfully; the bank pays. The customer sues for the wrongly debited 27,000.</w:t>
      </w:r>
    </w:p>
    <w:p>
      <w:pPr>
        <w:spacing w:after="120" w:line="300"/>
        <w:jc w:val="both"/>
      </w:pPr>
      <w:r>
        <w:rPr>
          <w:sz w:val="22"/>
          <w:szCs w:val="22"/>
          <w:rFonts w:ascii="Arial" w:cs="Arial" w:eastAsia="Arial" w:hAnsi="Arial"/>
        </w:rPr>
        <w:t xml:space="preserve">Issue: who bears the loss of a non-apparent material alteration. Rule: Sec 87 — material alteration voids the instrument against the non-consenting drawer; Sec 89 — payment in due course of an altered instrument not apparent discharges the banker; the drawer's negligence in drawing (Macmillan) is relevant. Application: the alteration was not apparent; the bank paid in due course; the customer left space. Conclusion: the bank is protected under Sec 89; the customer bears the loss and may proceed against the payee (forgery under IPC/BNS).</w:t>
      </w:r>
    </w:p>
    <w:p>
      <w:pPr>
        <w:spacing w:before="240" w:after="120"/>
      </w:pPr>
      <w:r>
        <w:rPr>
          <w:b/>
          <w:bCs/>
          <w:color w:val="404040"/>
          <w:sz w:val="23"/>
          <w:szCs w:val="23"/>
          <w:rFonts w:ascii="Arial" w:cs="Arial" w:eastAsia="Arial" w:hAnsi="Arial"/>
        </w:rPr>
        <w:t xml:space="preserve">7. Injunction against a bank guarantee</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contractor obtains an unconditional bank guarantee in favour of a Government department. A dispute arises about defective work; the department invokes the guarantee. The contractor seeks an injunction restraining the bank from paying.</w:t>
      </w:r>
    </w:p>
    <w:p>
      <w:pPr>
        <w:spacing w:after="120" w:line="300"/>
        <w:jc w:val="both"/>
      </w:pPr>
      <w:r>
        <w:rPr>
          <w:sz w:val="22"/>
          <w:szCs w:val="22"/>
          <w:rFonts w:ascii="Arial" w:cs="Arial" w:eastAsia="Arial" w:hAnsi="Arial"/>
        </w:rPr>
        <w:t xml:space="preserve">Issue: can the court restrain payment? Rule: an unconditional bank guarantee is an independent contract; the bank must pay on demand; injunction only for egregious fraud or irretrievable injustice (U.P. Co-operative Federation; Hindustan Steelworks; Standard Chartered v. HEC). Application: a dispute about the underlying contract is not fraud; no irretrievable injustice shown. Conclusion: no injunction; the bank must pay; the contractor's remedy is against the department in arbitration or suit.</w:t>
      </w:r>
    </w:p>
    <w:p>
      <w:pPr>
        <w:spacing w:before="240" w:after="120"/>
      </w:pPr>
      <w:r>
        <w:rPr>
          <w:b/>
          <w:bCs/>
          <w:color w:val="404040"/>
          <w:sz w:val="23"/>
          <w:szCs w:val="23"/>
          <w:rFonts w:ascii="Arial" w:cs="Arial" w:eastAsia="Arial" w:hAnsi="Arial"/>
        </w:rPr>
        <w:t xml:space="preserve">8. Loan to a director's firm</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bank lends fifty lakh rupees to a partnership in which one of the bank's directors is a partner, on ordinary terms. The RBI objects.</w:t>
      </w:r>
    </w:p>
    <w:p>
      <w:pPr>
        <w:spacing w:after="120" w:line="300"/>
        <w:jc w:val="both"/>
      </w:pPr>
      <w:r>
        <w:rPr>
          <w:sz w:val="22"/>
          <w:szCs w:val="22"/>
          <w:rFonts w:ascii="Arial" w:cs="Arial" w:eastAsia="Arial" w:hAnsi="Arial"/>
        </w:rPr>
        <w:t xml:space="preserve">Issue: legality of the advance. Rule: Sec 20(1)(b) of the Banking Regulation Act prohibits loans to a firm in which a director is interested as partner; Sec 20(3)-(4) — recovery within the period fixed by the RBI and the director's vacation of office on default; Sec 46 penalties. Application: the advance falls within the prohibition irrespective of terms. Conclusion: the advance is in contravention; the bank must recover it, the director may be required to vacate office, and the bank is liable to penalty under Sec 47A.</w:t>
      </w:r>
    </w:p>
    <w:p>
      <w:pPr>
        <w:spacing w:before="240" w:after="120"/>
      </w:pPr>
      <w:r>
        <w:rPr>
          <w:b/>
          <w:bCs/>
          <w:color w:val="404040"/>
          <w:sz w:val="23"/>
          <w:szCs w:val="23"/>
          <w:rFonts w:ascii="Arial" w:cs="Arial" w:eastAsia="Arial" w:hAnsi="Arial"/>
        </w:rPr>
        <w:t xml:space="preserve">9. The frozen deposits</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The Central Government, on the RBI's application, imposes a moratorium on a bank limiting withdrawals to ten thousand rupees for thirty days and the RBI publishes a scheme merging it with another bank, which reduces the value of the bank's bonds to zero. Depositors and bondholders challenge the action.</w:t>
      </w:r>
    </w:p>
    <w:p>
      <w:pPr>
        <w:spacing w:after="120" w:line="300"/>
        <w:jc w:val="both"/>
      </w:pPr>
      <w:r>
        <w:rPr>
          <w:sz w:val="22"/>
          <w:szCs w:val="22"/>
          <w:rFonts w:ascii="Arial" w:cs="Arial" w:eastAsia="Arial" w:hAnsi="Arial"/>
        </w:rPr>
        <w:t xml:space="preserve">Issue: validity of the moratorium and scheme. Rule: Sec 45 of the BR Act — the RBI may apply and the Central Government may order a moratorium up to six months; the RBI may frame a scheme of reconstruction or amalgamation binding on depositors, creditors and members after the consultation procedure and the Government's sanction (Sec 45(4)-(8)); the scheme's provisions must be within the sanctioned scheme (Axis Trustee, Yes Bank AT-1 case). Application: the moratorium and merger follow the statutory route; the bond write-off is valid only if it forms part of the sanctioned scheme and is within Sec 45(5). Conclusion: the moratorium and amalgamation are valid; the write-off is open to challenge if it was not part of the final scheme or exceeds the scheme-making power.</w:t>
      </w:r>
    </w:p>
    <w:p>
      <w:pPr>
        <w:spacing w:before="240" w:after="120"/>
      </w:pPr>
      <w:r>
        <w:rPr>
          <w:b/>
          <w:bCs/>
          <w:color w:val="404040"/>
          <w:sz w:val="23"/>
          <w:szCs w:val="23"/>
          <w:rFonts w:ascii="Arial" w:cs="Arial" w:eastAsia="Arial" w:hAnsi="Arial"/>
        </w:rPr>
        <w:t xml:space="preserve">10. The drained account</w:t>
      </w:r>
    </w:p>
    <w:p>
      <w:pPr>
        <w:spacing w:after="120" w:line="300"/>
        <w:jc w:val="both"/>
      </w:pPr>
      <w:r>
        <w:rPr>
          <w:sz w:val="22"/>
          <w:szCs w:val="22"/>
          <w:rFonts w:ascii="Arial" w:cs="Arial" w:eastAsia="Arial" w:hAnsi="Arial"/>
        </w:rPr>
      </w:r>
      <w:r>
        <w:rPr>
          <w:b/>
          <w:bCs/>
          <w:sz w:val="22"/>
          <w:szCs w:val="22"/>
          <w:rFonts w:ascii="Arial" w:cs="Arial" w:eastAsia="Arial" w:hAnsi="Arial"/>
        </w:rPr>
        <w:t xml:space="preserve">Facts:</w:t>
      </w:r>
      <w:r>
        <w:rPr>
          <w:sz w:val="22"/>
          <w:szCs w:val="22"/>
          <w:rFonts w:ascii="Arial" w:cs="Arial" w:eastAsia="Arial" w:hAnsi="Arial"/>
        </w:rPr>
        <w:t xml:space="preserve"> A customer receives an SMS asking him to update KYC, enters his card details and OTP on a fake site, and loses one lakh rupees in three transfers within an hour; he reports to the bank the next morning.</w:t>
      </w:r>
    </w:p>
    <w:p>
      <w:pPr>
        <w:spacing w:after="120" w:line="300"/>
        <w:jc w:val="both"/>
      </w:pPr>
      <w:r>
        <w:rPr>
          <w:sz w:val="22"/>
          <w:szCs w:val="22"/>
          <w:rFonts w:ascii="Arial" w:cs="Arial" w:eastAsia="Arial" w:hAnsi="Arial"/>
        </w:rPr>
        <w:t xml:space="preserve">Issue: allocation of loss for an unauthorised electronic transaction. Rule: the RBI's 2017 customer-protection circular — where the loss is due to the customer's negligence (sharing credentials) the customer bears the loss until he reports and the bank bears any loss thereafter; zero liability applies where the bank is at fault or in a third-party breach not involving the customer; the burden of proving negligence is on the bank; Sec 66C-66D IT Act for the fraudster. Application: the customer shared his OTP — prima facie negligence — but reported within one day; the bank must prove the negligence and must show that its systems (transaction alerts, velocity checks) met the RBI's standards. Conclusion: the customer likely bears the pre-report loss unless he shows the bank's alerts failed; any post-report loss is the bank's; he may complain to the Ombudsman and file an FIR under the IT Act.</w:t>
      </w:r>
    </w:p>
    <w:p>
      <w:r>
        <w:br w:type="page"/>
      </w:r>
    </w:p>
    <w:p>
      <w:pPr>
        <w:pStyle w:val="Heading1"/>
        <w:spacing w:before="480" w:after="200"/>
      </w:pPr>
      <w:r>
        <w:rPr>
          <w:b/>
          <w:bCs/>
          <w:color w:val="1F4E79"/>
          <w:sz w:val="32"/>
          <w:szCs w:val="32"/>
          <w:rFonts w:ascii="Arial" w:cs="Arial" w:eastAsia="Arial" w:hAnsi="Arial"/>
        </w:rPr>
        <w:t xml:space="preserve">Section map — Negotiable Instruments Act, Banking Regulation Act, RBI Act</w:t>
      </w:r>
    </w:p>
    <w:p>
      <w:pPr>
        <w:spacing w:after="120" w:line="300"/>
        <w:jc w:val="both"/>
      </w:pPr>
      <w:r>
        <w:rPr>
          <w:sz w:val="22"/>
          <w:szCs w:val="22"/>
          <w:rFonts w:ascii="Arial" w:cs="Arial" w:eastAsia="Arial" w:hAnsi="Arial"/>
        </w:rPr>
        <w:t xml:space="preserve">Learn the Act with the section; examiners cite both. Verify against the bare Acts before the exam; this table is a study aid.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600"/>
        <w:gridCol w:w="3400"/>
      </w:tblGrid>
      <w:tr>
        <w:tc>
          <w:tcPr>
            <w:tcW w:type="dxa" w:w="56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Topic</w:t>
            </w:r>
          </w:p>
        </w:tc>
        <w:tc>
          <w:tcPr>
            <w:tcW w:type="dxa" w:w="3400"/>
            <w:tcBorders>
              <w:top w:val="single" w:color="BBBBBB" w:sz="1"/>
              <w:left w:val="single" w:color="BBBBBB" w:sz="1"/>
              <w:bottom w:val="single" w:color="BBBBBB" w:sz="1"/>
              <w:right w:val="single" w:color="BBBBBB" w:sz="1"/>
            </w:tcBorders>
            <w:shd w:fill="D6E4F0" w:val="clear"/>
            <w:tcMar>
              <w:top w:type="dxa" w:w="60"/>
              <w:left w:type="dxa" w:w="100"/>
              <w:bottom w:type="dxa" w:w="60"/>
              <w:right w:type="dxa" w:w="100"/>
            </w:tcMar>
          </w:tcPr>
          <w:p>
            <w:r>
              <w:rPr>
                <w:b/>
                <w:bCs/>
                <w:sz w:val="19"/>
                <w:szCs w:val="19"/>
                <w:rFonts w:ascii="Arial" w:cs="Arial" w:eastAsia="Arial" w:hAnsi="Arial"/>
              </w:rPr>
              <w:t xml:space="preserve">Act and section</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Definitions: promissory note, bill, cheque, negotiable instrument, holder, holder in due course, payment in due course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4, 5, 6, 13, 8, 9, 10</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Endorsement and kinds; negotiation; restrictive, sans recourse, partial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14-16, 46-56 (50, 52, 56)</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Inchoate instruments; minor; agent's signature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20, 26, 27-28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Liabilities of drawer, drawee, maker, acceptor, endorser; prior parties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30-38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Consideration; fictitious payee; forged endorsement and acceptor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41-45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Defects of title; overdue instrument; shelter rule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53, 58, 59</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Presentment; notice of dishonour; noting and protest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61-77, 91-98, 99-104A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Discharge; material alteration; payment of altered instrument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82-90 (87, 89)</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Paying banker's protection; drafts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85, 85A, 128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Crossing; not negotiable; collecting banker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123-131A (126, 128, 129, 130, 131)</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Presumptions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118-122</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Dishonour of cheques; presumption; companies; cognizance and jurisdiction; trial, compensation, compounding, appeal</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NI Act 138, 139, 140, 141, 142, 142A, 143, 143A, 144-147, 148</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Banking, banking company, banking policy; forms of business; prohibitions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5(b)-(ca), 6, 7, 8, 9</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Boards and management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10, 10A-10D, 35B</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Capital, reserves, cash reserve, SLR, assets in India</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11-13, 17, 18, 24, 25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Loans to directors; remission; RBI control of advances; interest not scrutinised</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20, 20A, 21, 21A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Licensing; branches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22, 23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Unclaimed deposits; DEA Fund</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26, 26A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Accounts, audit, returns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29-32</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Inspection; directions; insolvency directions; removal, additional directors, supersession</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35, 35A, 35AA-35AB, 36, 36AA-36AC, 36ACA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Winding up; amalgamation; moratorium and scheme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36B-39, 44A, 45</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Nomination</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45ZA-45ZF</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Penalties; deposits withdrawable by cheque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46, 47A, 49A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Public sector banks; co-operative banks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BR Act 51, 56</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constitution; Government directions; Central Board; business; emergency lending; prohibited business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3-4, 7, 8, 17, 18, 19</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Banker to Government; State Governments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20, 21, 21A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Note issue; denominations; legal tender; demonetisation; refunds; issue assets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22, 24, 26, 26(2), 28, 33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Scheduled banks and CRR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42, Second Schedule</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Credit information; NBFC chapter; unincorporated bodies; monetary policy chapter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45, 45H-45QB (45IA, 45JA, 45K, 45L, 45N), 45S, 45ZA-45ZO</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Developmental funds; rural credit staff; surplus; bank rate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RBI Act 46A-46D, 54, 47, 49</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Banker's lien; pledge; guarantee; appropriation; bailment</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Contract Act 171; 172-179; 126-147; 59-61; 148-151</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Documents of title to goods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Sale of Goods Act 2(4), 30</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Attachment; exemptions; garnishee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CPC 60, Order XXI Rules 46-46I</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Electronic records and signatures; offences</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IT Act 3-5, 43, 66, 66C, 66D, 72A</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Payment systems; settlement finality</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PSS Act 3, 4, 10, 23</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Recovery</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RDB Act 1993 17-19; SARFAESI 13, 14, 17, 26E; IBC 7, 14, 30-31</w:t>
            </w:r>
          </w:p>
        </w:tc>
      </w:tr>
      <w:tr>
        <w:tc>
          <w:tcPr>
            <w:tcW w:type="dxa" w:w="5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Foreign exchange</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b w:val="false"/>
                <w:bCs w:val="false"/>
                <w:sz w:val="19"/>
                <w:szCs w:val="19"/>
                <w:rFonts w:ascii="Arial" w:cs="Arial" w:eastAsia="Arial" w:hAnsi="Arial"/>
              </w:rPr>
              <w:t xml:space="preserve">FEMA 2, 3, 5, 6, 10, 13</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b/>
      <w:bCs/>
      <w:color w:val="1F4E79"/>
      <w:sz w:val="32"/>
      <w:szCs w:val="32"/>
      <w:rFonts w:ascii="Arial" w:cs="Arial" w:eastAsia="Arial" w:hAnsi="Arial"/>
    </w:rPr>
  </w:style>
  <w:style w:type="paragraph" w:styleId="Heading2">
    <w:name w:val="Heading 2"/>
    <w:basedOn w:val="Normal"/>
    <w:next w:val="Normal"/>
    <w:qFormat/>
    <w:pPr>
      <w:spacing w:before="360" w:after="160"/>
      <w:outlineLvl w:val="1"/>
    </w:pPr>
    <w:rPr>
      <w:b/>
      <w:bCs/>
      <w:color w:val="2E75B6"/>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2026-09-10T06:33:47.956Z</dcterms:created>
  <dcterms:modified xsi:type="dcterms:W3CDTF">2026-09-10T06:33:47.957Z</dcterms:modified>
</cp:coreProperties>
</file>

<file path=docProps/custom.xml><?xml version="1.0" encoding="utf-8"?>
<Properties xmlns="http://schemas.openxmlformats.org/officeDocument/2006/custom-properties" xmlns:vt="http://schemas.openxmlformats.org/officeDocument/2006/docPropsVTypes"/>
</file>