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00"/>
        <w:jc w:val="center"/>
      </w:pPr>
      <w:r>
        <w:rPr>
          <w:b/>
          <w:bCs/>
          <w:color w:val="1F4E79"/>
          <w:sz w:val="52"/>
          <w:szCs w:val="52"/>
          <w:rFonts w:ascii="Arial" w:cs="Arial" w:eastAsia="Arial" w:hAnsi="Arial"/>
        </w:rPr>
        <w:t xml:space="preserve">INTERNATIONAL HUMAN RIGHTS</w:t>
      </w:r>
    </w:p>
    <w:p>
      <w:pPr>
        <w:spacing w:after="100"/>
        <w:jc w:val="center"/>
      </w:pPr>
      <w:r>
        <w:rPr>
          <w:color w:val="444444"/>
          <w:sz w:val="28"/>
          <w:szCs w:val="28"/>
          <w:rFonts w:ascii="Arial" w:cs="Arial" w:eastAsia="Arial" w:hAnsi="Arial"/>
        </w:rPr>
        <w:t xml:space="preserve">with International Humanitarian Law and the Indian mechanism</w:t>
      </w:r>
    </w:p>
    <w:p>
      <w:pPr>
        <w:spacing w:after="100"/>
        <w:jc w:val="center"/>
      </w:pPr>
      <w:r>
        <w:rPr>
          <w:color w:val="666666"/>
          <w:sz w:val="26"/>
          <w:szCs w:val="26"/>
          <w:rFonts w:ascii="Arial" w:cs="Arial" w:eastAsia="Arial" w:hAnsi="Arial"/>
        </w:rPr>
        <w:t xml:space="preserve">Paper XXIX (Optional Paper III) · LL.B Semester V · AKNU</w:t>
      </w:r>
    </w:p>
    <w:p>
      <w:pPr>
        <w:spacing w:after="600"/>
        <w:jc w:val="center"/>
      </w:pPr>
      <w:r>
        <w:rPr>
          <w:i/>
          <w:iCs/>
          <w:color w:val="888888"/>
          <w:sz w:val="22"/>
          <w:szCs w:val="22"/>
          <w:rFonts w:ascii="Arial" w:cs="Arial" w:eastAsia="Arial" w:hAnsi="Arial"/>
        </w:rPr>
        <w:t xml:space="preserve">Twelve stories, one syllabus. From Nuremberg to the NHRC — the ideas, the instruments, the institutions and the cases.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How to read this:</w:t>
      </w:r>
      <w:r>
        <w:rPr>
          <w:sz w:val="22"/>
          <w:szCs w:val="22"/>
          <w:rFonts w:ascii="Arial" w:cs="Arial" w:eastAsia="Arial" w:hAnsi="Arial"/>
        </w:rPr>
        <w:t xml:space="preserve"> every episode opens with a real case or event told as a story (purple bar). Then the law it settled, article by article, naming the instrument each article belongs to. Red bars are cases to cite; green bars are the digital angle; blue bars tell you how the topic is asked. Read the story first — the articles will stick to it.</w:t>
      </w:r>
    </w:p>
    <w:p>
      <w:pPr>
        <w:pBdr>
          <w:bottom w:val="single" w:color="CCCCCC" w:sz="1" w:space="4"/>
        </w:pBdr>
        <w:spacing w:before="160" w:after="160"/>
      </w:pPr>
      <w:r>
        <w:rPr>
          <w:sz w:val="4"/>
          <w:szCs w:val="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00"/>
      </w:tblGrid>
      <w:tr>
        <w:tc>
          <w:tcPr>
            <w:tcW w:type="dxa" w:w="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Ep</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Story</w:t>
            </w:r>
          </w:p>
        </w:tc>
        <w:tc>
          <w:tcPr>
            <w:tcW w:type="dxa" w:w="5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Syllabus topics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Nuremberg</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Meaning of human rights; jurisprudential dimensions; evolution of the concept</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Rwanda 1994</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Three generations; sovereignty vs human rights; human rights and the UN Charter and organs; promotion and protection</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Hansa Mehta and the UDHR</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Universal Declaration — drafting, contents, legal status; Tehran 1968; Vienna 1993</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Toonen v Australia</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ICCPR and ICESCR — rights, machinery, Optional Protocols; India and the Covenants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Soering v UK</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European Convention and Court; European Social Charter; EU Charter and Court of Justice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Velásquez Rodríguez</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American Convention; African Charter; Arab and ASEAN; comparison</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Forgotten Prisoners (Amnesty)</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Commission/Council, OHCHR, treaty bodies, ILO, UNICEF, UNHCR, NGOs, ICRC</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08</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Bhanwari Devi (Vishaka)</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CEDAW and women's rights; the 1959 Declaration and the CRC; India's law on women and children</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09</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Niyamgiri</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Indigenous peoples (ILO 107/169, UNDRIP); refugees (1951 Convention, India's practice); other vulnerable groups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Solferino</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IHL — principles, Geneva Conventions, POWs, civilians, common Art 3, women and IHL; Geneva Conventions Act 1960</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Kulbhushan Jadhav</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ICJ, ad hoc tribunals, ICC, European courts as enforcement; universal jurisdiction</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Chandrima Das (Howrah)</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Constitutional mechanism; PIL; Protection of Human Rights Act 1993 — NHRC, SHRCs, Human Rights Courts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Drill bank</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 Part C problems with IRAC answers + article map</w:t>
            </w:r>
          </w:p>
        </w:tc>
      </w:tr>
    </w:tbl>
    <w:p>
      <w:r>
        <w:br w:type="page"/>
      </w:r>
    </w:p>
    <w:p>
      <w:pPr>
        <w:pStyle w:val="Heading1"/>
        <w:spacing w:before="480" w:after="200"/>
      </w:pPr>
      <w:r>
        <w:rPr>
          <w:b/>
          <w:bCs/>
          <w:color w:val="1F4E79"/>
          <w:sz w:val="32"/>
          <w:szCs w:val="32"/>
          <w:rFonts w:ascii="Arial" w:cs="Arial" w:eastAsia="Arial" w:hAnsi="Arial"/>
        </w:rPr>
        <w:t xml:space="preserve">Episode 01 — Judgment at Nuremberg: The Origin, Meaning and Evolution of Human Rights</w:t>
      </w:r>
    </w:p>
    <w:p>
      <w:pPr>
        <w:pStyle w:val="Heading2"/>
        <w:spacing w:before="360" w:after="160"/>
      </w:pPr>
      <w:r>
        <w:rPr>
          <w:b/>
          <w:bCs/>
          <w:color w:val="2E75B6"/>
          <w:sz w:val="26"/>
          <w:szCs w:val="26"/>
          <w:rFonts w:ascii="Arial" w:cs="Arial" w:eastAsia="Arial" w:hAnsi="Arial"/>
        </w:rPr>
        <w:t xml:space="preserve">Covers: What 'human rights' means · The jurisprudential dimensions — natural law, positivism, social contract, utilitarian, Marxist, feminist and capability views · The evolution — Magna Carta to the Universal Declaration · Nuremberg and the birth of the modern law · Characteristics of human rights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Nuremberg, 20 November 1945. In Courtroom 600 of the Palace of Justice, twenty-one leaders of the Third Reich sat in the dock before four judges from the United States, Britain, France and the Soviet Union. The London Charter of August 1945 had given the International Military Tribunal jurisdiction over three crimes — crimes against peace, war crimes, and a new one, crimes against humanity: 'murder, extermination, enslavement, deportation, and other inhumane acts committed against any civilian population, before or during the war, or persecutions on political, racial or religious grounds'. The defence made the argument that had always been unanswerable in international law: what a State did to its own citizens, inside its own borders, under its own laws, was its own affair; the Nuremberg Laws of 1935 were German law; the defendants had obeyed orders under a sovereign; and there was no law under which to try them — nullum crimen sine lege. The Tribunal's answer, delivered on 1 October 1946, was that individuals have international duties which transcend the national obligations of obedience imposed by the individual State; that crimes against international law are committed by men, not by abstract entities; that superior orders are no defence; and that the principle of legality is a principle of justice which cannot protect those who knew their acts were wrong. Twelve were sentenced to death. Within three years the General Assembly had affirmed the 'Nuremberg principles', adopted the Genocide Convention, and proclaimed the Universal Declaration of Human Rights. The trial is the point at which the individual became a subject of international law, and sovereignty stopped being an answer.</w:t>
      </w:r>
    </w:p>
    <w:p>
      <w:pPr>
        <w:spacing w:before="240" w:after="120"/>
      </w:pPr>
      <w:r>
        <w:rPr>
          <w:b/>
          <w:bCs/>
          <w:color w:val="404040"/>
          <w:sz w:val="23"/>
          <w:szCs w:val="23"/>
          <w:rFonts w:ascii="Arial" w:cs="Arial" w:eastAsia="Arial" w:hAnsi="Arial"/>
        </w:rPr>
        <w:t xml:space="preserve">Meaning of human rights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Human rights</w:t>
      </w:r>
      <w:r>
        <w:rPr>
          <w:sz w:val="22"/>
          <w:szCs w:val="22"/>
          <w:rFonts w:ascii="Arial" w:cs="Arial" w:eastAsia="Arial" w:hAnsi="Arial"/>
        </w:rPr>
        <w:t xml:space="preserve"> are the rights that belong to every human being by virtue of being human — not granted by the State, not earned, not dependent on citizenship, status, conduct or merit, and not capable of being taken away, though they may be limited. The </w:t>
      </w:r>
      <w:r>
        <w:rPr>
          <w:b/>
          <w:bCs/>
          <w:sz w:val="22"/>
          <w:szCs w:val="22"/>
          <w:rFonts w:ascii="Arial" w:cs="Arial" w:eastAsia="Arial" w:hAnsi="Arial"/>
        </w:rPr>
        <w:t xml:space="preserve">Protection of Human Rights Act 1993, Sec 2(1)(d)</w:t>
      </w:r>
      <w:r>
        <w:rPr>
          <w:sz w:val="22"/>
          <w:szCs w:val="22"/>
          <w:rFonts w:ascii="Arial" w:cs="Arial" w:eastAsia="Arial" w:hAnsi="Arial"/>
        </w:rPr>
        <w:t xml:space="preserve"> (India's statutory definition): 'human rights' means the rights relating to life, liberty, equality and dignity of the individual guaranteed by the Constitution or embodied in the International Covenants and enforceable by courts in India. The UN's definition (the Vienna Declaration 1993, para 1): human rights and fundamental freedoms are the birthright of all human beings; their protection and promotion is the first responsibility of Governments. The older vocabulary — 'natural rights' (Locke), 'rights of man' (Paine, the French Declaration of 1789), 'fundamental rights' (the Constitution's Part III), 'civil liberties' — points to the same idea from different angles: natural rights emphasise the source (nature or God), rights of man the holder, fundamental rights the constitutional status, human rights the universality. </w:t>
      </w:r>
      <w:r>
        <w:rPr>
          <w:b/>
          <w:bCs/>
          <w:sz w:val="22"/>
          <w:szCs w:val="22"/>
          <w:rFonts w:ascii="Arial" w:cs="Arial" w:eastAsia="Arial" w:hAnsi="Arial"/>
        </w:rPr>
        <w:t xml:space="preserve">Characteristics</w:t>
      </w:r>
      <w:r>
        <w:rPr>
          <w:sz w:val="22"/>
          <w:szCs w:val="22"/>
          <w:rFonts w:ascii="Arial" w:cs="Arial" w:eastAsia="Arial" w:hAnsi="Arial"/>
        </w:rPr>
        <w:t xml:space="preserve"> (from the Vienna Declaration and the literature): (1) </w:t>
      </w:r>
      <w:r>
        <w:rPr>
          <w:b/>
          <w:bCs/>
          <w:sz w:val="22"/>
          <w:szCs w:val="22"/>
          <w:rFonts w:ascii="Arial" w:cs="Arial" w:eastAsia="Arial" w:hAnsi="Arial"/>
        </w:rPr>
        <w:t xml:space="preserve">universal</w:t>
      </w:r>
      <w:r>
        <w:rPr>
          <w:sz w:val="22"/>
          <w:szCs w:val="22"/>
          <w:rFonts w:ascii="Arial" w:cs="Arial" w:eastAsia="Arial" w:hAnsi="Arial"/>
        </w:rPr>
        <w:t xml:space="preserve"> — for everyone, everywhere; (2) </w:t>
      </w:r>
      <w:r>
        <w:rPr>
          <w:b/>
          <w:bCs/>
          <w:sz w:val="22"/>
          <w:szCs w:val="22"/>
          <w:rFonts w:ascii="Arial" w:cs="Arial" w:eastAsia="Arial" w:hAnsi="Arial"/>
        </w:rPr>
        <w:t xml:space="preserve">inherent</w:t>
      </w:r>
      <w:r>
        <w:rPr>
          <w:sz w:val="22"/>
          <w:szCs w:val="22"/>
          <w:rFonts w:ascii="Arial" w:cs="Arial" w:eastAsia="Arial" w:hAnsi="Arial"/>
        </w:rPr>
        <w:t xml:space="preserve"> — they arise from human dignity, not from grant; (3) </w:t>
      </w:r>
      <w:r>
        <w:rPr>
          <w:b/>
          <w:bCs/>
          <w:sz w:val="22"/>
          <w:szCs w:val="22"/>
          <w:rFonts w:ascii="Arial" w:cs="Arial" w:eastAsia="Arial" w:hAnsi="Arial"/>
        </w:rPr>
        <w:t xml:space="preserve">inalienable</w:t>
      </w:r>
      <w:r>
        <w:rPr>
          <w:sz w:val="22"/>
          <w:szCs w:val="22"/>
          <w:rFonts w:ascii="Arial" w:cs="Arial" w:eastAsia="Arial" w:hAnsi="Arial"/>
        </w:rPr>
        <w:t xml:space="preserve"> — they cannot be surrendered or taken away, though their exercise may be restricted; (4) </w:t>
      </w:r>
      <w:r>
        <w:rPr>
          <w:b/>
          <w:bCs/>
          <w:sz w:val="22"/>
          <w:szCs w:val="22"/>
          <w:rFonts w:ascii="Arial" w:cs="Arial" w:eastAsia="Arial" w:hAnsi="Arial"/>
        </w:rPr>
        <w:t xml:space="preserve">indivisible and interdependent</w:t>
      </w:r>
      <w:r>
        <w:rPr>
          <w:sz w:val="22"/>
          <w:szCs w:val="22"/>
          <w:rFonts w:ascii="Arial" w:cs="Arial" w:eastAsia="Arial" w:hAnsi="Arial"/>
        </w:rPr>
        <w:t xml:space="preserve"> — civil, political, economic, social and cultural rights are of equal importance and each depends on the others (Vienna para 5: 'all human rights are universal, indivisible and interdependent and interrelated'); (5) </w:t>
      </w:r>
      <w:r>
        <w:rPr>
          <w:b/>
          <w:bCs/>
          <w:sz w:val="22"/>
          <w:szCs w:val="22"/>
          <w:rFonts w:ascii="Arial" w:cs="Arial" w:eastAsia="Arial" w:hAnsi="Arial"/>
        </w:rPr>
        <w:t xml:space="preserve">equal and non-discriminatory</w:t>
      </w:r>
      <w:r>
        <w:rPr>
          <w:sz w:val="22"/>
          <w:szCs w:val="22"/>
          <w:rFonts w:ascii="Arial" w:cs="Arial" w:eastAsia="Arial" w:hAnsi="Arial"/>
        </w:rPr>
        <w:t xml:space="preserve"> — Art 2 UDHR; (6) they impose </w:t>
      </w:r>
      <w:r>
        <w:rPr>
          <w:b/>
          <w:bCs/>
          <w:sz w:val="22"/>
          <w:szCs w:val="22"/>
          <w:rFonts w:ascii="Arial" w:cs="Arial" w:eastAsia="Arial" w:hAnsi="Arial"/>
        </w:rPr>
        <w:t xml:space="preserve">duties</w:t>
      </w:r>
      <w:r>
        <w:rPr>
          <w:sz w:val="22"/>
          <w:szCs w:val="22"/>
          <w:rFonts w:ascii="Arial" w:cs="Arial" w:eastAsia="Arial" w:hAnsi="Arial"/>
        </w:rPr>
        <w:t xml:space="preserve"> on States — to respect (not to interfere), to protect (against third parties) and to fulfil (to take positive measures) — the tripartite typology of Shue and the Maastricht Guidelines; (7) they are </w:t>
      </w:r>
      <w:r>
        <w:rPr>
          <w:b/>
          <w:bCs/>
          <w:sz w:val="22"/>
          <w:szCs w:val="22"/>
          <w:rFonts w:ascii="Arial" w:cs="Arial" w:eastAsia="Arial" w:hAnsi="Arial"/>
        </w:rPr>
        <w:t xml:space="preserve">dynamic</w:t>
      </w:r>
      <w:r>
        <w:rPr>
          <w:sz w:val="22"/>
          <w:szCs w:val="22"/>
          <w:rFonts w:ascii="Arial" w:cs="Arial" w:eastAsia="Arial" w:hAnsi="Arial"/>
        </w:rPr>
        <w:t xml:space="preserve"> — new rights are recognised (the environment, water, the internet, a healthy environment — the General Assembly's 2022 resolution); and (8) they carry </w:t>
      </w:r>
      <w:r>
        <w:rPr>
          <w:b/>
          <w:bCs/>
          <w:sz w:val="22"/>
          <w:szCs w:val="22"/>
          <w:rFonts w:ascii="Arial" w:cs="Arial" w:eastAsia="Arial" w:hAnsi="Arial"/>
        </w:rPr>
        <w:t xml:space="preserve">correlative responsibilities</w:t>
      </w:r>
      <w:r>
        <w:rPr>
          <w:sz w:val="22"/>
          <w:szCs w:val="22"/>
          <w:rFonts w:ascii="Arial" w:cs="Arial" w:eastAsia="Arial" w:hAnsi="Arial"/>
        </w:rPr>
        <w:t xml:space="preserve"> of the individual (Art 29 UDHR; the African Charter's duties).</w:t>
      </w:r>
    </w:p>
    <w:p>
      <w:pPr>
        <w:spacing w:before="240" w:after="120"/>
      </w:pPr>
      <w:r>
        <w:rPr>
          <w:b/>
          <w:bCs/>
          <w:color w:val="404040"/>
          <w:sz w:val="23"/>
          <w:szCs w:val="23"/>
          <w:rFonts w:ascii="Arial" w:cs="Arial" w:eastAsia="Arial" w:hAnsi="Arial"/>
        </w:rPr>
        <w:t xml:space="preserve">Jurisprudential dimensions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(1) Natural law</w:t>
      </w:r>
      <w:r>
        <w:rPr>
          <w:sz w:val="22"/>
          <w:szCs w:val="22"/>
          <w:rFonts w:ascii="Arial" w:cs="Arial" w:eastAsia="Arial" w:hAnsi="Arial"/>
        </w:rPr>
        <w:t xml:space="preserve"> — the oldest foundation: rights exist by nature, discoverable by reason, prior to and higher than the State's law. The Stoics (a universal law of reason binding all humans), Cicero, the Christian natural law of Aquinas (lex naturalis participating in eternal law), the Spanish scholastics Vitoria and Suárez (the rights of the Indians of the Americas against the conquistadors — the first 'human rights' argument in international law), Grotius (natural law would exist 'even if God did not exist'), and the seventeenth-century social-contract theorists. </w:t>
      </w:r>
      <w:r>
        <w:rPr>
          <w:b/>
          <w:bCs/>
          <w:sz w:val="22"/>
          <w:szCs w:val="22"/>
          <w:rFonts w:ascii="Arial" w:cs="Arial" w:eastAsia="Arial" w:hAnsi="Arial"/>
        </w:rPr>
        <w:t xml:space="preserve">Locke</w:t>
      </w:r>
      <w:r>
        <w:rPr>
          <w:sz w:val="22"/>
          <w:szCs w:val="22"/>
          <w:rFonts w:ascii="Arial" w:cs="Arial" w:eastAsia="Arial" w:hAnsi="Arial"/>
        </w:rPr>
        <w:t xml:space="preserve"> (Two Treatises, 1689): men in the state of nature have natural rights to life, liberty and property; government is created by consent to protect them and may be overthrown when it violates them — the theory behind the English Bill of Rights (1689), the American Declaration of Independence (1776: 'endowed by their Creator with certain unalienable Rights... Life, Liberty and the pursuit of Happiness') and the French Declaration of the Rights of Man and of the Citizen (1789: 'Men are born and remain free and equal in rights'). </w:t>
      </w:r>
      <w:r>
        <w:rPr>
          <w:b/>
          <w:bCs/>
          <w:sz w:val="22"/>
          <w:szCs w:val="22"/>
          <w:rFonts w:ascii="Arial" w:cs="Arial" w:eastAsia="Arial" w:hAnsi="Arial"/>
        </w:rPr>
        <w:t xml:space="preserve">Rousseau</w:t>
      </w:r>
      <w:r>
        <w:rPr>
          <w:sz w:val="22"/>
          <w:szCs w:val="22"/>
          <w:rFonts w:ascii="Arial" w:cs="Arial" w:eastAsia="Arial" w:hAnsi="Arial"/>
        </w:rPr>
        <w:t xml:space="preserve"> — the general will; </w:t>
      </w:r>
      <w:r>
        <w:rPr>
          <w:b/>
          <w:bCs/>
          <w:sz w:val="22"/>
          <w:szCs w:val="22"/>
          <w:rFonts w:ascii="Arial" w:cs="Arial" w:eastAsia="Arial" w:hAnsi="Arial"/>
        </w:rPr>
        <w:t xml:space="preserve">Kant</w:t>
      </w:r>
      <w:r>
        <w:rPr>
          <w:sz w:val="22"/>
          <w:szCs w:val="22"/>
          <w:rFonts w:ascii="Arial" w:cs="Arial" w:eastAsia="Arial" w:hAnsi="Arial"/>
        </w:rPr>
        <w:t xml:space="preserve"> — human dignity as an end in itself, the categorical imperative, the cosmopolitan right. The revival of natural law after 1945 (Radbruch's formula — a law that is intolerably unjust is not law; Nuremberg; Finnis's Natural Law and Natural Rights, 1980) is the direct answer to legal positivism's inability to condemn Nazi law. </w:t>
      </w:r>
      <w:r>
        <w:rPr>
          <w:b/>
          <w:bCs/>
          <w:sz w:val="22"/>
          <w:szCs w:val="22"/>
          <w:rFonts w:ascii="Arial" w:cs="Arial" w:eastAsia="Arial" w:hAnsi="Arial"/>
        </w:rPr>
        <w:t xml:space="preserve">(2) Positivism</w:t>
      </w:r>
      <w:r>
        <w:rPr>
          <w:sz w:val="22"/>
          <w:szCs w:val="22"/>
          <w:rFonts w:ascii="Arial" w:cs="Arial" w:eastAsia="Arial" w:hAnsi="Arial"/>
        </w:rPr>
        <w:t xml:space="preserve"> — rights exist only as posited by law; Bentham called natural rights 'nonsense upon stilts' and imprescriptible rights 'nonsense upon stilts'; Austin — law is the command of the sovereign; rights are creations of the legal system. The positivist contribution to human rights is paradoxically the largest: the treaties, the covenants, the constitutions are positive law, and the movement's strategy has been to convert moral claims into enforceable rules (Hart's later concession that there is a 'minimum content of natural law'). </w:t>
      </w:r>
      <w:r>
        <w:rPr>
          <w:b/>
          <w:bCs/>
          <w:sz w:val="22"/>
          <w:szCs w:val="22"/>
          <w:rFonts w:ascii="Arial" w:cs="Arial" w:eastAsia="Arial" w:hAnsi="Arial"/>
        </w:rPr>
        <w:t xml:space="preserve">(3) Utilitarianism</w:t>
      </w:r>
      <w:r>
        <w:rPr>
          <w:sz w:val="22"/>
          <w:szCs w:val="22"/>
          <w:rFonts w:ascii="Arial" w:cs="Arial" w:eastAsia="Arial" w:hAnsi="Arial"/>
        </w:rPr>
        <w:t xml:space="preserve"> — Bentham and Mill: rights are justified by their tendency to promote the greatest happiness; Mill's harm principle (On Liberty, 1859) as the basis of civil liberties; the criticism (Dworkin: rights as 'trumps' over utilitarian calculations of the collective good) that utility can justify sacrificing the individual. </w:t>
      </w:r>
      <w:r>
        <w:rPr>
          <w:b/>
          <w:bCs/>
          <w:sz w:val="22"/>
          <w:szCs w:val="22"/>
          <w:rFonts w:ascii="Arial" w:cs="Arial" w:eastAsia="Arial" w:hAnsi="Arial"/>
        </w:rPr>
        <w:t xml:space="preserve">(4) The historical and sociological schools</w:t>
      </w:r>
      <w:r>
        <w:rPr>
          <w:sz w:val="22"/>
          <w:szCs w:val="22"/>
          <w:rFonts w:ascii="Arial" w:cs="Arial" w:eastAsia="Arial" w:hAnsi="Arial"/>
        </w:rPr>
        <w:t xml:space="preserve"> — Savigny (rights as products of the Volksgeist), Maine, Duguit (social solidarity), Pound (interests) — explain rights as evolving social claims. </w:t>
      </w:r>
      <w:r>
        <w:rPr>
          <w:b/>
          <w:bCs/>
          <w:sz w:val="22"/>
          <w:szCs w:val="22"/>
          <w:rFonts w:ascii="Arial" w:cs="Arial" w:eastAsia="Arial" w:hAnsi="Arial"/>
        </w:rPr>
        <w:t xml:space="preserve">(5) Marxism</w:t>
      </w:r>
      <w:r>
        <w:rPr>
          <w:sz w:val="22"/>
          <w:szCs w:val="22"/>
          <w:rFonts w:ascii="Arial" w:cs="Arial" w:eastAsia="Arial" w:hAnsi="Arial"/>
        </w:rPr>
        <w:t xml:space="preserve"> — Marx's 'On the Jewish Question' (1843): the rights of man are the rights of egoistic bourgeois man separated from the community; real emancipation is economic; the Soviet constitutions emphasised social and economic rights and collective rights; the Cold War split of the Covenants (Episode 04) is this debate institutionalised. </w:t>
      </w:r>
      <w:r>
        <w:rPr>
          <w:b/>
          <w:bCs/>
          <w:sz w:val="22"/>
          <w:szCs w:val="22"/>
          <w:rFonts w:ascii="Arial" w:cs="Arial" w:eastAsia="Arial" w:hAnsi="Arial"/>
        </w:rPr>
        <w:t xml:space="preserve">(6) Rawls</w:t>
      </w:r>
      <w:r>
        <w:rPr>
          <w:sz w:val="22"/>
          <w:szCs w:val="22"/>
          <w:rFonts w:ascii="Arial" w:cs="Arial" w:eastAsia="Arial" w:hAnsi="Arial"/>
        </w:rPr>
        <w:t xml:space="preserve"> — A Theory of Justice (1971): the two principles chosen behind the veil of ignorance — equal basic liberties, and the difference principle; The Law of Peoples (1999) — a minimal list of 'human rights proper' as the standard for international toleration. </w:t>
      </w:r>
      <w:r>
        <w:rPr>
          <w:b/>
          <w:bCs/>
          <w:sz w:val="22"/>
          <w:szCs w:val="22"/>
          <w:rFonts w:ascii="Arial" w:cs="Arial" w:eastAsia="Arial" w:hAnsi="Arial"/>
        </w:rPr>
        <w:t xml:space="preserve">(7) Dworkin</w:t>
      </w:r>
      <w:r>
        <w:rPr>
          <w:sz w:val="22"/>
          <w:szCs w:val="22"/>
          <w:rFonts w:ascii="Arial" w:cs="Arial" w:eastAsia="Arial" w:hAnsi="Arial"/>
        </w:rPr>
        <w:t xml:space="preserve"> — rights as trumps; Taking Rights Seriously (1977); the right to equal concern and respect as the foundational right. </w:t>
      </w:r>
      <w:r>
        <w:rPr>
          <w:b/>
          <w:bCs/>
          <w:sz w:val="22"/>
          <w:szCs w:val="22"/>
          <w:rFonts w:ascii="Arial" w:cs="Arial" w:eastAsia="Arial" w:hAnsi="Arial"/>
        </w:rPr>
        <w:t xml:space="preserve">(8) Sen and Nussbaum</w:t>
      </w:r>
      <w:r>
        <w:rPr>
          <w:sz w:val="22"/>
          <w:szCs w:val="22"/>
          <w:rFonts w:ascii="Arial" w:cs="Arial" w:eastAsia="Arial" w:hAnsi="Arial"/>
        </w:rPr>
        <w:t xml:space="preserve"> — the </w:t>
      </w:r>
      <w:r>
        <w:rPr>
          <w:b/>
          <w:bCs/>
          <w:sz w:val="22"/>
          <w:szCs w:val="22"/>
          <w:rFonts w:ascii="Arial" w:cs="Arial" w:eastAsia="Arial" w:hAnsi="Arial"/>
        </w:rPr>
        <w:t xml:space="preserve">capabilities approach</w:t>
      </w:r>
      <w:r>
        <w:rPr>
          <w:sz w:val="22"/>
          <w:szCs w:val="22"/>
          <w:rFonts w:ascii="Arial" w:cs="Arial" w:eastAsia="Arial" w:hAnsi="Arial"/>
        </w:rPr>
        <w:t xml:space="preserve">: human rights are claims to the substantive freedoms (capabilities) people need to lead lives they have reason to value; Sen's Development as Freedom (1999), Nussbaum's list of ten central capabilities — the basis of the Human Development Index and the Indian Supreme Court's expansive reading of Art 21. </w:t>
      </w:r>
      <w:r>
        <w:rPr>
          <w:b/>
          <w:bCs/>
          <w:sz w:val="22"/>
          <w:szCs w:val="22"/>
          <w:rFonts w:ascii="Arial" w:cs="Arial" w:eastAsia="Arial" w:hAnsi="Arial"/>
        </w:rPr>
        <w:t xml:space="preserve">(9) Feminist jurisprudence</w:t>
      </w:r>
      <w:r>
        <w:rPr>
          <w:sz w:val="22"/>
          <w:szCs w:val="22"/>
          <w:rFonts w:ascii="Arial" w:cs="Arial" w:eastAsia="Arial" w:hAnsi="Arial"/>
        </w:rPr>
        <w:t xml:space="preserve"> — MacKinnon, Charlesworth and Chinkin: the public/private divide in human rights law leaves violence against women in the 'private' sphere unaddressed; CEDAW and the 1993 Vienna recognition that 'women's rights are human rights'. </w:t>
      </w:r>
      <w:r>
        <w:rPr>
          <w:b/>
          <w:bCs/>
          <w:sz w:val="22"/>
          <w:szCs w:val="22"/>
          <w:rFonts w:ascii="Arial" w:cs="Arial" w:eastAsia="Arial" w:hAnsi="Arial"/>
        </w:rPr>
        <w:t xml:space="preserve">(10) Cultural relativism vs universalism</w:t>
      </w:r>
      <w:r>
        <w:rPr>
          <w:sz w:val="22"/>
          <w:szCs w:val="22"/>
          <w:rFonts w:ascii="Arial" w:cs="Arial" w:eastAsia="Arial" w:hAnsi="Arial"/>
        </w:rPr>
        <w:t xml:space="preserve"> — the 'Asian values' debate of the 1990s (the Bangkok Declaration 1993), the Vienna Declaration's answer (universality 'beyond question' while national and regional particularities are borne in mind), and the responses of Donnelly ('relative universality'), An-Na'im (cross-cultural legitimacy) and Sen (the argumentative Indian). </w:t>
      </w:r>
      <w:r>
        <w:rPr>
          <w:b/>
          <w:bCs/>
          <w:sz w:val="22"/>
          <w:szCs w:val="22"/>
          <w:rFonts w:ascii="Arial" w:cs="Arial" w:eastAsia="Arial" w:hAnsi="Arial"/>
        </w:rPr>
        <w:t xml:space="preserve">(11) The Indian tradition</w:t>
      </w:r>
      <w:r>
        <w:rPr>
          <w:sz w:val="22"/>
          <w:szCs w:val="22"/>
          <w:rFonts w:ascii="Arial" w:cs="Arial" w:eastAsia="Arial" w:hAnsi="Arial"/>
        </w:rPr>
        <w:t xml:space="preserve"> — dharma as duty-based order, the Buddhist and Jain ethics of ahimsa, Ashoka's edicts of tolerance, Kautilya's raja-dharma, the Bhakti and Sufi egalitarianism, the reformers (Ram Mohan Roy, Phule, Ambedkar — 'Annihilation of Caste' as a human-rights text), Gandhi's insistence that rights flow from duties (his 1947 letter to UNESCO), and the Constitution's synthesis of liberty (Part III), social justice (Part IV) and fraternity (the Preamble).</w:t>
      </w:r>
    </w:p>
    <w:p>
      <w:pPr>
        <w:spacing w:before="240" w:after="120"/>
      </w:pPr>
      <w:r>
        <w:rPr>
          <w:b/>
          <w:bCs/>
          <w:color w:val="404040"/>
          <w:sz w:val="23"/>
          <w:szCs w:val="23"/>
          <w:rFonts w:ascii="Arial" w:cs="Arial" w:eastAsia="Arial" w:hAnsi="Arial"/>
        </w:rPr>
        <w:t xml:space="preserve">Evolution — the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00"/>
      </w:tblGrid>
      <w:tr>
        <w:tc>
          <w:tcPr>
            <w:tcW w:type="dxa" w:w="1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Year</w:t>
            </w:r>
          </w:p>
        </w:tc>
        <w:tc>
          <w:tcPr>
            <w:tcW w:type="dxa" w:w="3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Document / event</w:t>
            </w:r>
          </w:p>
        </w:tc>
        <w:tc>
          <w:tcPr>
            <w:tcW w:type="dxa" w:w="4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Contribution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 539 BC</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Cyrus Cylinder</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Religious freedom and the release of slaves — claimed as the first charter (contested)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1215</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Magna Carta (England)</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 free man to be imprisoned or dispossessed except by lawful judgment of his peers or the law of the land (cl. 39); the origin of due process and habeas corpus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1628 / 1679 / 1689</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Petition of Right; Habeas Corpus Act; Bill of Rights (England)</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 taxation without Parliament; no arbitrary imprisonment; no cruel and unusual punishment; free elections and speech in Parliament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1776</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Virginia Declaration of Rights; US Declaration of Independence</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Inherent rights of all men; government by consent; the right of revolution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1789 / 1791</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French Declaration of the Rights of Man and of the Citizen; US Bill of Rights</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Liberty, property, security, resistance to oppression; equality before the law; the first ten amendments — speech, religion, arms, search, due process, jury</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1807-1888</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Abolition of the slave trade (Britain 1807) and slavery (Britain 1833, US 1865, Brazil 1888)</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first international human-rights campaign; the 1926 Slavery Convention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1864</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First Geneva Convention (Dunant, ICRC)</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Humanitarian law — the wounded in war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1919</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League of Nations Covenant; ILO; minorities treaties; mandates</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International labour standards; protection of minorities in the new States; the 'sacred trust' for mandated peoples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1941</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Roosevelt's Four Freedoms; the Atlantic Charter</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Freedom of speech and worship, freedom from want and fear — the wartime programme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1945</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UN Charter; the London Charter; Nuremberg</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'Faith in fundamental human rights' (Preamble); Arts 1(3), 55, 56; crimes against humanity; individual responsibility</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1948</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Genocide Convention (9 Dec); Universal Declaration (10 Dec); American Declaration; ILO Convention 87</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International Bill of Rights begins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1950 / 1966</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European Convention; the two Covenants</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Regional enforcement; binding universal treaties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1965-2006</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CERD, CEDAW, CAT, CRC, ICRMW, CRPD, CED</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specialised conventions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1993</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Vienna Declaration; OHCHR</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Universality, indivisibility; the High Commissioner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1998 / 2002</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Rome Statute; ICC</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Permanent international criminal court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2005 / 2006</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Responsibility to Protect; Human Rights Council</w:t>
            </w:r>
          </w:p>
        </w:tc>
        <w:tc>
          <w:tcPr>
            <w:tcW w:type="dxa" w:w="4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Sovereignty as responsibility; the UPR</w:t>
            </w:r>
          </w:p>
        </w:tc>
      </w:tr>
    </w:tbl>
    <w:p>
      <w:pPr>
        <w:spacing w:before="240" w:after="120"/>
      </w:pPr>
      <w:r>
        <w:rPr>
          <w:b/>
          <w:bCs/>
          <w:color w:val="404040"/>
          <w:sz w:val="23"/>
          <w:szCs w:val="23"/>
          <w:rFonts w:ascii="Arial" w:cs="Arial" w:eastAsia="Arial" w:hAnsi="Arial"/>
        </w:rPr>
        <w:t xml:space="preserve">Nuremberg and the birth of the modern law</w:t>
      </w:r>
    </w:p>
    <w:p>
      <w:pPr>
        <w:spacing w:after="120" w:line="300"/>
        <w:jc w:val="both"/>
      </w:pPr>
      <w:r>
        <w:rPr>
          <w:sz w:val="22"/>
          <w:szCs w:val="22"/>
          <w:rFonts w:ascii="Arial" w:cs="Arial" w:eastAsia="Arial" w:hAnsi="Arial"/>
        </w:rPr>
        <w:t xml:space="preserve">Before 1945 international law was a law between States; the individual was an 'object', protected — if at all — through his own State (diplomatic protection), and the way a State treated its own nationals was within its domestic jurisdiction. The exceptions were partial: the abolition of the slave trade, the humanitarian law of war (Geneva 1864, Hague 1899 and 1907), the minorities treaties of 1919 (enforceable by petition to the League Council — the Upper Silesia cases at the Permanent Court), the ILO conventions, and the mandates system. The Holocaust destroyed the premise. The </w:t>
      </w:r>
      <w:r>
        <w:rPr>
          <w:b/>
          <w:bCs/>
          <w:sz w:val="22"/>
          <w:szCs w:val="22"/>
          <w:rFonts w:ascii="Arial" w:cs="Arial" w:eastAsia="Arial" w:hAnsi="Arial"/>
        </w:rPr>
        <w:t xml:space="preserve">London Charter (8 August 1945)</w:t>
      </w:r>
      <w:r>
        <w:rPr>
          <w:sz w:val="22"/>
          <w:szCs w:val="22"/>
          <w:rFonts w:ascii="Arial" w:cs="Arial" w:eastAsia="Arial" w:hAnsi="Arial"/>
        </w:rPr>
        <w:t xml:space="preserve"> defined crimes against humanity; the </w:t>
      </w:r>
      <w:r>
        <w:rPr>
          <w:b/>
          <w:bCs/>
          <w:sz w:val="22"/>
          <w:szCs w:val="22"/>
          <w:rFonts w:ascii="Arial" w:cs="Arial" w:eastAsia="Arial" w:hAnsi="Arial"/>
        </w:rPr>
        <w:t xml:space="preserve">Nuremberg Tribunal</w:t>
      </w:r>
      <w:r>
        <w:rPr>
          <w:sz w:val="22"/>
          <w:szCs w:val="22"/>
          <w:rFonts w:ascii="Arial" w:cs="Arial" w:eastAsia="Arial" w:hAnsi="Arial"/>
        </w:rPr>
        <w:t xml:space="preserve"> (1945-46) and the </w:t>
      </w:r>
      <w:r>
        <w:rPr>
          <w:b/>
          <w:bCs/>
          <w:sz w:val="22"/>
          <w:szCs w:val="22"/>
          <w:rFonts w:ascii="Arial" w:cs="Arial" w:eastAsia="Arial" w:hAnsi="Arial"/>
        </w:rPr>
        <w:t xml:space="preserve">Tokyo Tribunal</w:t>
      </w:r>
      <w:r>
        <w:rPr>
          <w:sz w:val="22"/>
          <w:szCs w:val="22"/>
          <w:rFonts w:ascii="Arial" w:cs="Arial" w:eastAsia="Arial" w:hAnsi="Arial"/>
        </w:rPr>
        <w:t xml:space="preserve"> (1946-48) applied it; the </w:t>
      </w:r>
      <w:r>
        <w:rPr>
          <w:b/>
          <w:bCs/>
          <w:sz w:val="22"/>
          <w:szCs w:val="22"/>
          <w:rFonts w:ascii="Arial" w:cs="Arial" w:eastAsia="Arial" w:hAnsi="Arial"/>
        </w:rPr>
        <w:t xml:space="preserve">General Assembly's Resolution 95(I) (1946)</w:t>
      </w:r>
      <w:r>
        <w:rPr>
          <w:sz w:val="22"/>
          <w:szCs w:val="22"/>
          <w:rFonts w:ascii="Arial" w:cs="Arial" w:eastAsia="Arial" w:hAnsi="Arial"/>
        </w:rPr>
        <w:t xml:space="preserve"> affirmed the 'principles of international law recognised by the Charter of the Nuremberg Tribunal and the judgment of the Tribunal', later formulated by the International Law Commission (1950) as the seven Nuremberg Principles (individual responsibility; internal law no defence; head-of-State immunity no defence; superior orders no defence; the right to a fair trial; the three crimes; complicity). The </w:t>
      </w:r>
      <w:r>
        <w:rPr>
          <w:b/>
          <w:bCs/>
          <w:sz w:val="22"/>
          <w:szCs w:val="22"/>
          <w:rFonts w:ascii="Arial" w:cs="Arial" w:eastAsia="Arial" w:hAnsi="Arial"/>
        </w:rPr>
        <w:t xml:space="preserve">UN Charter (26 June 1945)</w:t>
      </w:r>
      <w:r>
        <w:rPr>
          <w:sz w:val="22"/>
          <w:szCs w:val="22"/>
          <w:rFonts w:ascii="Arial" w:cs="Arial" w:eastAsia="Arial" w:hAnsi="Arial"/>
        </w:rPr>
        <w:t xml:space="preserve"> made human rights a purpose of the Organisation (Art 1(3)) and a pledge of the members (Arts 55-56); the </w:t>
      </w:r>
      <w:r>
        <w:rPr>
          <w:b/>
          <w:bCs/>
          <w:sz w:val="22"/>
          <w:szCs w:val="22"/>
          <w:rFonts w:ascii="Arial" w:cs="Arial" w:eastAsia="Arial" w:hAnsi="Arial"/>
        </w:rPr>
        <w:t xml:space="preserve">Genocide Convention (9 December 1948)</w:t>
      </w:r>
      <w:r>
        <w:rPr>
          <w:sz w:val="22"/>
          <w:szCs w:val="22"/>
          <w:rFonts w:ascii="Arial" w:cs="Arial" w:eastAsia="Arial" w:hAnsi="Arial"/>
        </w:rPr>
        <w:t xml:space="preserve"> made genocide an international crime in peace or war; the </w:t>
      </w:r>
      <w:r>
        <w:rPr>
          <w:b/>
          <w:bCs/>
          <w:sz w:val="22"/>
          <w:szCs w:val="22"/>
          <w:rFonts w:ascii="Arial" w:cs="Arial" w:eastAsia="Arial" w:hAnsi="Arial"/>
        </w:rPr>
        <w:t xml:space="preserve">Universal Declaration (10 December 1948)</w:t>
      </w:r>
      <w:r>
        <w:rPr>
          <w:sz w:val="22"/>
          <w:szCs w:val="22"/>
          <w:rFonts w:ascii="Arial" w:cs="Arial" w:eastAsia="Arial" w:hAnsi="Arial"/>
        </w:rPr>
        <w:t xml:space="preserve"> stated the rights; and the Geneva Conventions of 1949 rewrote the law of war around the protection of persons. The doctrinal consequences: the individual is a subject of international law with rights (the Covenants, the petition procedures) and duties (international crimes); a State's treatment of its own nationals is a matter of international concern, not domestic jurisdiction alone (Art 2(7) is read subject to Chapter VII and the human-rights obligations); and certain norms are </w:t>
      </w:r>
      <w:r>
        <w:rPr>
          <w:b/>
          <w:bCs/>
          <w:sz w:val="22"/>
          <w:szCs w:val="22"/>
          <w:rFonts w:ascii="Arial" w:cs="Arial" w:eastAsia="Arial" w:hAnsi="Arial"/>
        </w:rPr>
        <w:t xml:space="preserve">jus cogens</w:t>
      </w:r>
      <w:r>
        <w:rPr>
          <w:sz w:val="22"/>
          <w:szCs w:val="22"/>
          <w:rFonts w:ascii="Arial" w:cs="Arial" w:eastAsia="Arial" w:hAnsi="Arial"/>
        </w:rPr>
        <w:t xml:space="preserve"> (the prohibitions of genocide, slavery, torture, racial discrimination — Art 53 of the Vienna Convention on the Law of Treaties; the ICJ in Belgium v. Senegal, 2012) with obligations </w:t>
      </w:r>
      <w:r>
        <w:rPr>
          <w:b/>
          <w:bCs/>
          <w:sz w:val="22"/>
          <w:szCs w:val="22"/>
          <w:rFonts w:ascii="Arial" w:cs="Arial" w:eastAsia="Arial" w:hAnsi="Arial"/>
        </w:rPr>
        <w:t xml:space="preserve">erga omnes</w:t>
      </w:r>
      <w:r>
        <w:rPr>
          <w:sz w:val="22"/>
          <w:szCs w:val="22"/>
          <w:rFonts w:ascii="Arial" w:cs="Arial" w:eastAsia="Arial" w:hAnsi="Arial"/>
        </w:rPr>
        <w:t xml:space="preserve"> (Barcelona Traction, 1970 — 'the principles and rules concerning the basic rights of the human person').</w:t>
      </w:r>
    </w:p>
    <w:p>
      <w:pPr>
        <w:pBdr>
          <w:left w:val="single" w:color="CC0000" w:sz="6" w:space="8"/>
        </w:pBdr>
        <w:spacing w:before="80" w:after="80"/>
        <w:ind w:left="300"/>
      </w:pPr>
      <w:r>
        <w:rPr>
          <w:b/>
          <w:bCs/>
          <w:color w:val="CC0000"/>
          <w:sz w:val="21"/>
          <w:szCs w:val="21"/>
          <w:rFonts w:ascii="Arial" w:cs="Arial" w:eastAsia="Arial" w:hAnsi="Arial"/>
        </w:rPr>
        <w:t xml:space="preserve">The Nuremberg Judgment (1946) 41 AJIL 172 — </w:t>
      </w:r>
      <w:r>
        <w:rPr>
          <w:sz w:val="21"/>
          <w:szCs w:val="21"/>
          <w:rFonts w:ascii="Arial" w:cs="Arial" w:eastAsia="Arial" w:hAnsi="Arial"/>
        </w:rPr>
        <w:t xml:space="preserve">Crimes against international law are committed by men; individuals have international duties transcending national obedience; superior orders are no defence; the principle of legality is a principle of justice, not a shield for those who knew their acts were criminal.</w:t>
      </w:r>
    </w:p>
    <w:p>
      <w:pPr>
        <w:pBdr>
          <w:left w:val="single" w:color="CC0000" w:sz="6" w:space="8"/>
        </w:pBdr>
        <w:spacing w:before="80" w:after="80"/>
        <w:ind w:left="300"/>
      </w:pPr>
      <w:r>
        <w:rPr>
          <w:b/>
          <w:bCs/>
          <w:color w:val="CC0000"/>
          <w:sz w:val="21"/>
          <w:szCs w:val="21"/>
          <w:rFonts w:ascii="Arial" w:cs="Arial" w:eastAsia="Arial" w:hAnsi="Arial"/>
        </w:rPr>
        <w:t xml:space="preserve">Barcelona Traction (Belgium v. Spain), ICJ 1970 — </w:t>
      </w:r>
      <w:r>
        <w:rPr>
          <w:sz w:val="21"/>
          <w:szCs w:val="21"/>
          <w:rFonts w:ascii="Arial" w:cs="Arial" w:eastAsia="Arial" w:hAnsi="Arial"/>
        </w:rPr>
        <w:t xml:space="preserve">Obligations erga omnes — owed to the international community as a whole — include those derived from the outlawing of aggression and genocide and from 'the principles and rules concerning the basic rights of the human person, including protection from slavery and racial discrimination'.</w:t>
      </w:r>
    </w:p>
    <w:p>
      <w:pPr>
        <w:pBdr>
          <w:left w:val="single" w:color="CC0000" w:sz="6" w:space="8"/>
        </w:pBdr>
        <w:spacing w:before="80" w:after="80"/>
        <w:ind w:left="300"/>
      </w:pPr>
      <w:r>
        <w:rPr>
          <w:b/>
          <w:bCs/>
          <w:color w:val="CC0000"/>
          <w:sz w:val="21"/>
          <w:szCs w:val="21"/>
          <w:rFonts w:ascii="Arial" w:cs="Arial" w:eastAsia="Arial" w:hAnsi="Arial"/>
        </w:rPr>
        <w:t xml:space="preserve">Filartiga v. Pena-Irala, 630 F.2d 876 (2d Cir. 1980) — </w:t>
      </w:r>
      <w:r>
        <w:rPr>
          <w:sz w:val="21"/>
          <w:szCs w:val="21"/>
          <w:rFonts w:ascii="Arial" w:cs="Arial" w:eastAsia="Arial" w:hAnsi="Arial"/>
        </w:rPr>
        <w:t xml:space="preserve">The prohibition of official torture is part of customary international law, so that a Paraguayan torturer could be sued in a US court under the Alien Tort Statute — 'the torturer has become, like the pirate and slave trader before him, hostis humani generis'.</w:t>
      </w:r>
    </w:p>
    <w:p>
      <w:pPr>
        <w:pBdr>
          <w:left w:val="single" w:color="CC0000" w:sz="6" w:space="8"/>
        </w:pBdr>
        <w:spacing w:before="80" w:after="80"/>
        <w:ind w:left="300"/>
      </w:pPr>
      <w:r>
        <w:rPr>
          <w:b/>
          <w:bCs/>
          <w:color w:val="CC0000"/>
          <w:sz w:val="21"/>
          <w:szCs w:val="21"/>
          <w:rFonts w:ascii="Arial" w:cs="Arial" w:eastAsia="Arial" w:hAnsi="Arial"/>
        </w:rPr>
        <w:t xml:space="preserve">Questions relating to the Obligation to Prosecute or Extradite (Belgium v. Senegal), ICJ 2012 — </w:t>
      </w:r>
      <w:r>
        <w:rPr>
          <w:sz w:val="21"/>
          <w:szCs w:val="21"/>
          <w:rFonts w:ascii="Arial" w:cs="Arial" w:eastAsia="Arial" w:hAnsi="Arial"/>
        </w:rPr>
        <w:t xml:space="preserve">The prohibition of torture is jus cogens; the Torture Convention's obligation to prosecute or extradite (Hissène Habré) is owed erga omnes partes, so that any State party may invoke it.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Nuremberg Principles live on in the Rome Statute (Art 25, 27, 33); the UN's digital archives of the trial (the Harvard Nuremberg Trials Project) and the OHCHR's Universal Human Rights Index put the sources online; and the 'right to internet access' and 'digital rights' (the 2016 Human Rights Council resolution that the same rights people have offline must be protected online) are the newest chapter of the evolution.</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'Define human rights', 'Characteristics of human rights', 'Natural rights theory', 'Nuremberg principles', 'Magna Carta', 'Jus cogens', 'Obligations erga omnes', 'Capabilities approach'. Part B: 'Explain the meaning of human rights and discuss the jurisprudential foundations — natural law, positivism, utilitarianism, Marxism and the modern theories' — the definitions, the eleven dimensions with one thinker each; or 'Trace the evolution of the concept of human rights from Magna Carta to the Universal Declaration' — the table with Nuremberg as the turning point. Part C: a State argues that its treatment of its own citizens is a domestic matter — Nuremberg, Art 55-56 UN Charter, Barcelona Traction; a soldier pleads superior orders for killing prisoners — Nuremberg Principle IV, Art 33 Rome Statute (orders to commit genocide or crimes against humanity are manifestly unlawful); a Government says human rights are a Western concept — Vienna 1993 universality, the Indian tradition, Sen.</w:t>
      </w:r>
    </w:p>
    <w:p>
      <w:r>
        <w:br w:type="page"/>
      </w:r>
    </w:p>
    <w:p>
      <w:pPr>
        <w:pStyle w:val="Heading1"/>
        <w:spacing w:before="480" w:after="200"/>
      </w:pPr>
      <w:r>
        <w:rPr>
          <w:b/>
          <w:bCs/>
          <w:color w:val="1F4E79"/>
          <w:sz w:val="32"/>
          <w:szCs w:val="32"/>
          <w:rFonts w:ascii="Arial" w:cs="Arial" w:eastAsia="Arial" w:hAnsi="Arial"/>
        </w:rPr>
        <w:t xml:space="preserve">Episode 02 — Rwanda, 1994: The Three Generations, Sovereignty and the United Nations</w:t>
      </w:r>
    </w:p>
    <w:p>
      <w:pPr>
        <w:pStyle w:val="Heading2"/>
        <w:spacing w:before="360" w:after="160"/>
      </w:pPr>
      <w:r>
        <w:rPr>
          <w:b/>
          <w:bCs/>
          <w:color w:val="2E75B6"/>
          <w:sz w:val="26"/>
          <w:szCs w:val="26"/>
          <w:rFonts w:ascii="Arial" w:cs="Arial" w:eastAsia="Arial" w:hAnsi="Arial"/>
        </w:rPr>
        <w:t xml:space="preserve">Covers: First, second and third generation rights (Vasak) · Sovereignty vs human rights — domestic jurisdiction (Art 2(7)), humanitarian intervention, the Responsibility to Protect · Human rights and the United Nations — the Charter provisions (Preamble, Arts 1(3), 13, 55, 56, 62, 68, 76) and the organs (General Assembly, Security Council, ECOSOC, Trusteeship Council, ICJ, Secretariat) · Promotion and protection — the standard-setting, monitoring and enforcement functions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Kigali, April 1994. On 6 April the aircraft carrying the Presidents of Rwanda and Burundi was shot down over Kigali airport. Within hours, roadblocks went up and the killing began: the Interahamwe militia and the army, with lists prepared in advance, began to murder Tutsi and moderate Hutu, house by house, with machetes and clubs, while Radio Mille Collines broadcast the names of those to be found. The United Nations had 2,500 peacekeepers in the country under General Roméo Dallaire, who had warned New York in January of the plan and been told not to act; on 21 April the Security Council reduced the force to 270. In a hundred days about 800,000 people were killed — the fastest genocide in recorded history — while the Council debated whether to use the word 'genocide', because the word carried obligations under the 1948 Convention. The Rwandan Patriotic Front ended the killing in July; the Council created the International Criminal Tribunal for Rwanda in November; the Tribunal's Akayesu judgment (1998) was the first conviction for genocide by an international court, and the first to hold that rape can be an act of genocide. The failure changed the doctrine. Kofi Annan asked the General Assembly in 1999 whether sovereignty could be a shield for mass atrocity; the Canadian-sponsored International Commission on Intervention and State Sovereignty answered in 2001 with the 'Responsibility to Protect'; and the 2005 World Summit's Outcome Document (paras 138-139) made it the UN's position: each State has the responsibility to protect its population from genocide, war crimes, ethnic cleansing and crimes against humanity; the international community should help; and when a State manifestly fails, the Security Council may act under Chapter VII. Rwanda is the case that stands at the intersection of every theme of this episode: the generations of rights, the limits of sovereignty, and the machinery of the United Nations.</w:t>
      </w:r>
    </w:p>
    <w:p>
      <w:pPr>
        <w:spacing w:before="240" w:after="120"/>
      </w:pPr>
      <w:r>
        <w:rPr>
          <w:b/>
          <w:bCs/>
          <w:color w:val="404040"/>
          <w:sz w:val="23"/>
          <w:szCs w:val="23"/>
          <w:rFonts w:ascii="Arial" w:cs="Arial" w:eastAsia="Arial" w:hAnsi="Arial"/>
        </w:rPr>
        <w:t xml:space="preserve">The three generations</w:t>
      </w:r>
    </w:p>
    <w:p>
      <w:pPr>
        <w:spacing w:after="120" w:line="300"/>
        <w:jc w:val="both"/>
      </w:pPr>
      <w:r>
        <w:rPr>
          <w:sz w:val="22"/>
          <w:szCs w:val="22"/>
          <w:rFonts w:ascii="Arial" w:cs="Arial" w:eastAsia="Arial" w:hAnsi="Arial"/>
        </w:rPr>
        <w:t xml:space="preserve">The Czech-French jurist </w:t>
      </w:r>
      <w:r>
        <w:rPr>
          <w:b/>
          <w:bCs/>
          <w:sz w:val="22"/>
          <w:szCs w:val="22"/>
          <w:rFonts w:ascii="Arial" w:cs="Arial" w:eastAsia="Arial" w:hAnsi="Arial"/>
        </w:rPr>
        <w:t xml:space="preserve">Karel Vasak</w:t>
      </w:r>
      <w:r>
        <w:rPr>
          <w:sz w:val="22"/>
          <w:szCs w:val="22"/>
          <w:rFonts w:ascii="Arial" w:cs="Arial" w:eastAsia="Arial" w:hAnsi="Arial"/>
        </w:rPr>
        <w:t xml:space="preserve"> (1977, at the International Institute of Human Rights, Strasbourg) borrowed the French Revolution's slogan to classify rights by their historical emergence and their character. </w:t>
      </w:r>
      <w:r>
        <w:rPr>
          <w:b/>
          <w:bCs/>
          <w:sz w:val="22"/>
          <w:szCs w:val="22"/>
          <w:rFonts w:ascii="Arial" w:cs="Arial" w:eastAsia="Arial" w:hAnsi="Arial"/>
        </w:rPr>
        <w:t xml:space="preserve">First generation — liberté — civil and political rights</w:t>
      </w:r>
      <w:r>
        <w:rPr>
          <w:sz w:val="22"/>
          <w:szCs w:val="22"/>
          <w:rFonts w:ascii="Arial" w:cs="Arial" w:eastAsia="Arial" w:hAnsi="Arial"/>
        </w:rPr>
        <w:t xml:space="preserve">: the rights of the eighteenth-century revolutions — life, liberty and security of the person; freedom from torture, slavery and arbitrary arrest; fair trial; privacy; freedom of movement, thought, conscience, religion, expression, assembly and association; participation in government, the vote; equality before the law. They are 'negative' rights (the State must refrain), immediately enforceable, justiciable, and the subject of the ICCPR (1966) and the Constitution's Part III. </w:t>
      </w:r>
      <w:r>
        <w:rPr>
          <w:b/>
          <w:bCs/>
          <w:sz w:val="22"/>
          <w:szCs w:val="22"/>
          <w:rFonts w:ascii="Arial" w:cs="Arial" w:eastAsia="Arial" w:hAnsi="Arial"/>
        </w:rPr>
        <w:t xml:space="preserve">Second generation — égalité — economic, social and cultural rights</w:t>
      </w:r>
      <w:r>
        <w:rPr>
          <w:sz w:val="22"/>
          <w:szCs w:val="22"/>
          <w:rFonts w:ascii="Arial" w:cs="Arial" w:eastAsia="Arial" w:hAnsi="Arial"/>
        </w:rPr>
        <w:t xml:space="preserve">: the rights of the nineteenth- and twentieth-century labour and socialist movements and the welfare State — work and just conditions, trade unions, social security, an adequate standard of living (food, clothing, housing), health, education, participation in cultural life; the Mexican Constitution of 1917, the Weimar Constitution of 1919, the Soviet constitutions, the ILO; 'positive' rights requiring State action and resources, subject to 'progressive realisation' (Art 2(1) ICESCR), traditionally regarded as non-justiciable programmes — the Constitution's Part IV — though the Indian Supreme Court's reading of Art 21 (Olga Tellis, Paschim Banga, Unni Krishnan, PUCL's food case), the South African Constitutional Court (Grootboom, Treatment Action Campaign) and the 2008 Optional Protocol to the ICESCR have made them increasingly justiciable. </w:t>
      </w:r>
      <w:r>
        <w:rPr>
          <w:b/>
          <w:bCs/>
          <w:sz w:val="22"/>
          <w:szCs w:val="22"/>
          <w:rFonts w:ascii="Arial" w:cs="Arial" w:eastAsia="Arial" w:hAnsi="Arial"/>
        </w:rPr>
        <w:t xml:space="preserve">Third generation — fraternité — solidarity or collective rights</w:t>
      </w:r>
      <w:r>
        <w:rPr>
          <w:sz w:val="22"/>
          <w:szCs w:val="22"/>
          <w:rFonts w:ascii="Arial" w:cs="Arial" w:eastAsia="Arial" w:hAnsi="Arial"/>
        </w:rPr>
        <w:t xml:space="preserve">: the rights that emerged with decolonisation and the environmental movement, held by peoples and communities rather than individuals, and requiring international cooperation — the right to self-determination (common Art 1 of the Covenants), to development (the 1986 Declaration on the Right to Development), to peace (the 1984 Declaration), to a healthy environment (Stockholm 1972, Rio 1992, the 2022 General Assembly resolution), to the common heritage of mankind (the Law of the Sea Convention's deep seabed; the Moon Treaty), to humanitarian assistance, to communication, and the rights of minorities and indigenous peoples; the African Charter (1981) is the treaty that most fully embodies them ('peoples' rights' in Arts 19-24). </w:t>
      </w:r>
      <w:r>
        <w:rPr>
          <w:b/>
          <w:bCs/>
          <w:sz w:val="22"/>
          <w:szCs w:val="22"/>
          <w:rFonts w:ascii="Arial" w:cs="Arial" w:eastAsia="Arial" w:hAnsi="Arial"/>
        </w:rPr>
        <w:t xml:space="preserve">Critique</w:t>
      </w:r>
      <w:r>
        <w:rPr>
          <w:sz w:val="22"/>
          <w:szCs w:val="22"/>
          <w:rFonts w:ascii="Arial" w:cs="Arial" w:eastAsia="Arial" w:hAnsi="Arial"/>
        </w:rPr>
        <w:t xml:space="preserve">: the generations are not sequential (the ILO's social rights predate many civil rights; the UDHR contains all three), not hierarchical (Vienna 1993: indivisible and interdependent), and the 'negative/positive' distinction is false — a fair trial needs courts (positive), and the right to food includes freedom from State interference with one's livelihood (negative); Shue's tripartite duties (respect, protect, fulfil) apply to every right. Some writers add a </w:t>
      </w:r>
      <w:r>
        <w:rPr>
          <w:b/>
          <w:bCs/>
          <w:sz w:val="22"/>
          <w:szCs w:val="22"/>
          <w:rFonts w:ascii="Arial" w:cs="Arial" w:eastAsia="Arial" w:hAnsi="Arial"/>
        </w:rPr>
        <w:t xml:space="preserve">fourth generation</w:t>
      </w:r>
      <w:r>
        <w:rPr>
          <w:sz w:val="22"/>
          <w:szCs w:val="22"/>
          <w:rFonts w:ascii="Arial" w:cs="Arial" w:eastAsia="Arial" w:hAnsi="Arial"/>
        </w:rPr>
        <w:t xml:space="preserve"> (the rights of future generations, genetic and digital rights). The classification survives as a teaching device and as the explanation of the two Covenants.</w:t>
      </w:r>
    </w:p>
    <w:p>
      <w:pPr>
        <w:spacing w:before="240" w:after="120"/>
      </w:pPr>
      <w:r>
        <w:rPr>
          <w:b/>
          <w:bCs/>
          <w:color w:val="404040"/>
          <w:sz w:val="23"/>
          <w:szCs w:val="23"/>
          <w:rFonts w:ascii="Arial" w:cs="Arial" w:eastAsia="Arial" w:hAnsi="Arial"/>
        </w:rPr>
        <w:t xml:space="preserve">Sovereignty vs human rights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Sovereignty</w:t>
      </w:r>
      <w:r>
        <w:rPr>
          <w:sz w:val="22"/>
          <w:szCs w:val="22"/>
          <w:rFonts w:ascii="Arial" w:cs="Arial" w:eastAsia="Arial" w:hAnsi="Arial"/>
        </w:rPr>
        <w:t xml:space="preserve"> — Bodin (1576) and Hobbes: the supreme authority within a territory, and in international law (Westphalia 1648; the Island of Palmas award, 1928) the independence of States from external control — has three legal expressions in the UN Charter: the </w:t>
      </w:r>
      <w:r>
        <w:rPr>
          <w:b/>
          <w:bCs/>
          <w:sz w:val="22"/>
          <w:szCs w:val="22"/>
          <w:rFonts w:ascii="Arial" w:cs="Arial" w:eastAsia="Arial" w:hAnsi="Arial"/>
        </w:rPr>
        <w:t xml:space="preserve">sovereign equality</w:t>
      </w:r>
      <w:r>
        <w:rPr>
          <w:sz w:val="22"/>
          <w:szCs w:val="22"/>
          <w:rFonts w:ascii="Arial" w:cs="Arial" w:eastAsia="Arial" w:hAnsi="Arial"/>
        </w:rPr>
        <w:t xml:space="preserve"> of members (Art 2(1)); the prohibition of the </w:t>
      </w:r>
      <w:r>
        <w:rPr>
          <w:b/>
          <w:bCs/>
          <w:sz w:val="22"/>
          <w:szCs w:val="22"/>
          <w:rFonts w:ascii="Arial" w:cs="Arial" w:eastAsia="Arial" w:hAnsi="Arial"/>
        </w:rPr>
        <w:t xml:space="preserve">use of force</w:t>
      </w:r>
      <w:r>
        <w:rPr>
          <w:sz w:val="22"/>
          <w:szCs w:val="22"/>
          <w:rFonts w:ascii="Arial" w:cs="Arial" w:eastAsia="Arial" w:hAnsi="Arial"/>
        </w:rPr>
        <w:t xml:space="preserve"> against territorial integrity or political independence (Art 2(4)); and </w:t>
      </w:r>
      <w:r>
        <w:rPr>
          <w:b/>
          <w:bCs/>
          <w:sz w:val="22"/>
          <w:szCs w:val="22"/>
          <w:rFonts w:ascii="Arial" w:cs="Arial" w:eastAsia="Arial" w:hAnsi="Arial"/>
        </w:rPr>
        <w:t xml:space="preserve">domestic jurisdiction</w:t>
      </w:r>
      <w:r>
        <w:rPr>
          <w:sz w:val="22"/>
          <w:szCs w:val="22"/>
          <w:rFonts w:ascii="Arial" w:cs="Arial" w:eastAsia="Arial" w:hAnsi="Arial"/>
        </w:rPr>
        <w:t xml:space="preserve"> — </w:t>
      </w:r>
      <w:r>
        <w:rPr>
          <w:b/>
          <w:bCs/>
          <w:sz w:val="22"/>
          <w:szCs w:val="22"/>
          <w:rFonts w:ascii="Arial" w:cs="Arial" w:eastAsia="Arial" w:hAnsi="Arial"/>
        </w:rPr>
        <w:t xml:space="preserve">Art 2(7)</w:t>
      </w:r>
      <w:r>
        <w:rPr>
          <w:sz w:val="22"/>
          <w:szCs w:val="22"/>
          <w:rFonts w:ascii="Arial" w:cs="Arial" w:eastAsia="Arial" w:hAnsi="Arial"/>
        </w:rPr>
        <w:t xml:space="preserve">: 'Nothing contained in the present Charter shall authorise the United Nations to intervene in matters which are essentially within the domestic jurisdiction of any State or shall require the Members to submit such matters to settlement under the present Charter; but this principle shall not prejudice the application of enforcement measures under Chapter VII.' The human-rights answer developed in four stages. </w:t>
      </w:r>
      <w:r>
        <w:rPr>
          <w:b/>
          <w:bCs/>
          <w:sz w:val="22"/>
          <w:szCs w:val="22"/>
          <w:rFonts w:ascii="Arial" w:cs="Arial" w:eastAsia="Arial" w:hAnsi="Arial"/>
        </w:rPr>
        <w:t xml:space="preserve">(1) The matter is not 'essentially domestic'</w:t>
      </w:r>
      <w:r>
        <w:rPr>
          <w:sz w:val="22"/>
          <w:szCs w:val="22"/>
          <w:rFonts w:ascii="Arial" w:cs="Arial" w:eastAsia="Arial" w:hAnsi="Arial"/>
        </w:rPr>
        <w:t xml:space="preserve"> — from the General Assembly's first years (South Africa's treatment of Indians, 1946; apartheid from 1952; the ICJ's Namibia opinion, 1971), the practice established that a State's human-rights record is a legitimate subject of UN discussion, resolutions and investigation (the 1235 and 1503 procedures of 1967 and 1970), because the members have pledged themselves under Arts 55-56 and because gross violations threaten peace. </w:t>
      </w:r>
      <w:r>
        <w:rPr>
          <w:b/>
          <w:bCs/>
          <w:sz w:val="22"/>
          <w:szCs w:val="22"/>
          <w:rFonts w:ascii="Arial" w:cs="Arial" w:eastAsia="Arial" w:hAnsi="Arial"/>
        </w:rPr>
        <w:t xml:space="preserve">(2) Chapter VII</w:t>
      </w:r>
      <w:r>
        <w:rPr>
          <w:sz w:val="22"/>
          <w:szCs w:val="22"/>
          <w:rFonts w:ascii="Arial" w:cs="Arial" w:eastAsia="Arial" w:hAnsi="Arial"/>
        </w:rPr>
        <w:t xml:space="preserve"> — the Security Council may determine that a humanitarian catastrophe is a threat to international peace and security (Art 39) and authorise measures: sanctions against Rhodesia (1966) and South Africa (1977, the arms embargo), the no-fly zones and 'safe havens' in Iraq (Resolution 688, 1991), Somalia (794, 1992 — the first purely humanitarian Chapter VII intervention), Bosnia, Haiti (940, 1994), Rwanda (929, 1994 — Opération Turquoise, too late), East Timor (1264, 1999), Libya (1973, 2011 — the first invocation of R2P to authorise force). </w:t>
      </w:r>
      <w:r>
        <w:rPr>
          <w:b/>
          <w:bCs/>
          <w:sz w:val="22"/>
          <w:szCs w:val="22"/>
          <w:rFonts w:ascii="Arial" w:cs="Arial" w:eastAsia="Arial" w:hAnsi="Arial"/>
        </w:rPr>
        <w:t xml:space="preserve">(3) Humanitarian intervention without Council authorisation</w:t>
      </w:r>
      <w:r>
        <w:rPr>
          <w:sz w:val="22"/>
          <w:szCs w:val="22"/>
          <w:rFonts w:ascii="Arial" w:cs="Arial" w:eastAsia="Arial" w:hAnsi="Arial"/>
        </w:rPr>
        <w:t xml:space="preserve"> — the unilateral doctrine: India in East Pakistan (1971, which India first justified on humanitarian grounds and then on self-defence), Tanzania in Uganda (1979), Vietnam in Cambodia (1978), NATO in Kosovo (1999 — 'illegal but legitimate', the Independent International Commission); the doctrine is contested as a breach of Art 2(4) (Nicaragua v. United States, 1986 — the ICJ rejected the use of force as a method of ensuring respect for human rights) and as open to abuse (Russia's Georgia 2008 and Ukraine 2022 justifications). </w:t>
      </w:r>
      <w:r>
        <w:rPr>
          <w:b/>
          <w:bCs/>
          <w:sz w:val="22"/>
          <w:szCs w:val="22"/>
          <w:rFonts w:ascii="Arial" w:cs="Arial" w:eastAsia="Arial" w:hAnsi="Arial"/>
        </w:rPr>
        <w:t xml:space="preserve">(4) The Responsibility to Protect (R2P)</w:t>
      </w:r>
      <w:r>
        <w:rPr>
          <w:sz w:val="22"/>
          <w:szCs w:val="22"/>
          <w:rFonts w:ascii="Arial" w:cs="Arial" w:eastAsia="Arial" w:hAnsi="Arial"/>
        </w:rPr>
        <w:t xml:space="preserve"> — the ICISS report (2001) reframed sovereignty as responsibility: the primary responsibility of the State to protect its people, the international community's responsibility to prevent, to react and to rebuild, and force as a last resort under 'just cause', 'right intention', 'proportional means', 'reasonable prospects' and 'right authority' (the Council); the </w:t>
      </w:r>
      <w:r>
        <w:rPr>
          <w:b/>
          <w:bCs/>
          <w:sz w:val="22"/>
          <w:szCs w:val="22"/>
          <w:rFonts w:ascii="Arial" w:cs="Arial" w:eastAsia="Arial" w:hAnsi="Arial"/>
        </w:rPr>
        <w:t xml:space="preserve">2005 World Summit Outcome, paras 138-139</w:t>
      </w:r>
      <w:r>
        <w:rPr>
          <w:sz w:val="22"/>
          <w:szCs w:val="22"/>
          <w:rFonts w:ascii="Arial" w:cs="Arial" w:eastAsia="Arial" w:hAnsi="Arial"/>
        </w:rPr>
        <w:t xml:space="preserve">, adopted the first two pillars and limited the third to Council action under Chapters VI and VII 'on a case-by-case basis'; the Secretary-General's 2009 report set out the three pillars; Libya (2011) was its first and, after the regime change, most contested application; Syria (2011-) its most conspicuous failure (Russian and Chinese vetoes). The current law: sovereignty is no shield against international scrutiny, reporting, censure and sanctions; forcible intervention requires Council authorisation; and the Council's failures (Rwanda, Srebrenica, Syria, Myanmar) are political, not legal, limits. India's position — traditionally strong on Art 2(7) and non-intervention (its objections to the Kosovo bombing and to R2P's third pillar; its abstention on Libya), while accepting the first two pillars and the UN's human-rights machinery.</w:t>
      </w:r>
    </w:p>
    <w:p>
      <w:pPr>
        <w:spacing w:before="240" w:after="120"/>
      </w:pPr>
      <w:r>
        <w:rPr>
          <w:b/>
          <w:bCs/>
          <w:color w:val="404040"/>
          <w:sz w:val="23"/>
          <w:szCs w:val="23"/>
          <w:rFonts w:ascii="Arial" w:cs="Arial" w:eastAsia="Arial" w:hAnsi="Arial"/>
        </w:rPr>
        <w:t xml:space="preserve">Human rights and the UN Charter</w:t>
      </w:r>
    </w:p>
    <w:p>
      <w:pPr>
        <w:spacing w:after="120" w:line="300"/>
        <w:jc w:val="both"/>
      </w:pPr>
      <w:r>
        <w:rPr>
          <w:sz w:val="22"/>
          <w:szCs w:val="22"/>
          <w:rFonts w:ascii="Arial" w:cs="Arial" w:eastAsia="Arial" w:hAnsi="Arial"/>
        </w:rPr>
        <w:t xml:space="preserve">The Charter mentions human rights seven times, the result of the pressure of NGOs and the smaller States at San Francisco (1945) against the great powers' draft (Dumbarton Oaks, 1944) which had mentioned them once. </w:t>
      </w:r>
      <w:r>
        <w:rPr>
          <w:b/>
          <w:bCs/>
          <w:sz w:val="22"/>
          <w:szCs w:val="22"/>
          <w:rFonts w:ascii="Arial" w:cs="Arial" w:eastAsia="Arial" w:hAnsi="Arial"/>
        </w:rPr>
        <w:t xml:space="preserve">Preamble</w:t>
      </w:r>
      <w:r>
        <w:rPr>
          <w:sz w:val="22"/>
          <w:szCs w:val="22"/>
          <w:rFonts w:ascii="Arial" w:cs="Arial" w:eastAsia="Arial" w:hAnsi="Arial"/>
        </w:rPr>
        <w:t xml:space="preserve">: 'We the peoples of the United Nations determined... to reaffirm faith in fundamental human rights, in the dignity and worth of the human person, in the equal rights of men and women and of nations large and small'. </w:t>
      </w:r>
      <w:r>
        <w:rPr>
          <w:b/>
          <w:bCs/>
          <w:sz w:val="22"/>
          <w:szCs w:val="22"/>
          <w:rFonts w:ascii="Arial" w:cs="Arial" w:eastAsia="Arial" w:hAnsi="Arial"/>
        </w:rPr>
        <w:t xml:space="preserve">Art 1(3)</w:t>
      </w:r>
      <w:r>
        <w:rPr>
          <w:sz w:val="22"/>
          <w:szCs w:val="22"/>
          <w:rFonts w:ascii="Arial" w:cs="Arial" w:eastAsia="Arial" w:hAnsi="Arial"/>
        </w:rPr>
        <w:t xml:space="preserve"> — a purpose of the UN: 'to achieve international co-operation in solving international problems of an economic, social, cultural, or humanitarian character, and in promoting and encouraging respect for human rights and for fundamental freedoms for all without distinction as to race, sex, language, or religion'. </w:t>
      </w:r>
      <w:r>
        <w:rPr>
          <w:b/>
          <w:bCs/>
          <w:sz w:val="22"/>
          <w:szCs w:val="22"/>
          <w:rFonts w:ascii="Arial" w:cs="Arial" w:eastAsia="Arial" w:hAnsi="Arial"/>
        </w:rPr>
        <w:t xml:space="preserve">Art 13(1)(b)</w:t>
      </w:r>
      <w:r>
        <w:rPr>
          <w:sz w:val="22"/>
          <w:szCs w:val="22"/>
          <w:rFonts w:ascii="Arial" w:cs="Arial" w:eastAsia="Arial" w:hAnsi="Arial"/>
        </w:rPr>
        <w:t xml:space="preserve"> — the General Assembly shall initiate studies and make recommendations for 'assisting in the realisation of human rights and fundamental freedoms for all'. </w:t>
      </w:r>
      <w:r>
        <w:rPr>
          <w:b/>
          <w:bCs/>
          <w:sz w:val="22"/>
          <w:szCs w:val="22"/>
          <w:rFonts w:ascii="Arial" w:cs="Arial" w:eastAsia="Arial" w:hAnsi="Arial"/>
        </w:rPr>
        <w:t xml:space="preserve">Art 55</w:t>
      </w:r>
      <w:r>
        <w:rPr>
          <w:sz w:val="22"/>
          <w:szCs w:val="22"/>
          <w:rFonts w:ascii="Arial" w:cs="Arial" w:eastAsia="Arial" w:hAnsi="Arial"/>
        </w:rPr>
        <w:t xml:space="preserve"> — 'With a view to the creation of conditions of stability and well-being... the United Nations shall promote: (a) higher standards of living, full employment, and conditions of economic and social progress and development; (b) solutions of international economic, social, health, and related problems; and international cultural and educational co-operation; and (c) universal respect for, and observance of, human rights and fundamental freedoms for all without distinction as to race, sex, language, or religion.' </w:t>
      </w:r>
      <w:r>
        <w:rPr>
          <w:b/>
          <w:bCs/>
          <w:sz w:val="22"/>
          <w:szCs w:val="22"/>
          <w:rFonts w:ascii="Arial" w:cs="Arial" w:eastAsia="Arial" w:hAnsi="Arial"/>
        </w:rPr>
        <w:t xml:space="preserve">Art 56</w:t>
      </w:r>
      <w:r>
        <w:rPr>
          <w:sz w:val="22"/>
          <w:szCs w:val="22"/>
          <w:rFonts w:ascii="Arial" w:cs="Arial" w:eastAsia="Arial" w:hAnsi="Arial"/>
        </w:rPr>
        <w:t xml:space="preserve"> — 'All Members pledge themselves to take joint and separate action in co-operation with the Organisation for the achievement of the purposes set forth in Article 55' — the legal obligation (the ICJ in Namibia, 1971: South Africa's apartheid in the mandated territory was 'a flagrant violation of the purposes and principles of the Charter'). </w:t>
      </w:r>
      <w:r>
        <w:rPr>
          <w:b/>
          <w:bCs/>
          <w:sz w:val="22"/>
          <w:szCs w:val="22"/>
          <w:rFonts w:ascii="Arial" w:cs="Arial" w:eastAsia="Arial" w:hAnsi="Arial"/>
        </w:rPr>
        <w:t xml:space="preserve">Art 62(2)</w:t>
      </w:r>
      <w:r>
        <w:rPr>
          <w:sz w:val="22"/>
          <w:szCs w:val="22"/>
          <w:rFonts w:ascii="Arial" w:cs="Arial" w:eastAsia="Arial" w:hAnsi="Arial"/>
        </w:rPr>
        <w:t xml:space="preserve"> — ECOSOC may make recommendations for the purpose of promoting respect for and observance of human rights; </w:t>
      </w:r>
      <w:r>
        <w:rPr>
          <w:b/>
          <w:bCs/>
          <w:sz w:val="22"/>
          <w:szCs w:val="22"/>
          <w:rFonts w:ascii="Arial" w:cs="Arial" w:eastAsia="Arial" w:hAnsi="Arial"/>
        </w:rPr>
        <w:t xml:space="preserve">Art 68</w:t>
      </w:r>
      <w:r>
        <w:rPr>
          <w:sz w:val="22"/>
          <w:szCs w:val="22"/>
          <w:rFonts w:ascii="Arial" w:cs="Arial" w:eastAsia="Arial" w:hAnsi="Arial"/>
        </w:rPr>
        <w:t xml:space="preserve"> — ECOSOC 'shall set up commissions in economic and social fields and for the promotion of human rights' — the only commission the Charter names, created as the Commission on Human Rights in 1946. </w:t>
      </w:r>
      <w:r>
        <w:rPr>
          <w:b/>
          <w:bCs/>
          <w:sz w:val="22"/>
          <w:szCs w:val="22"/>
          <w:rFonts w:ascii="Arial" w:cs="Arial" w:eastAsia="Arial" w:hAnsi="Arial"/>
        </w:rPr>
        <w:t xml:space="preserve">Art 76(c)</w:t>
      </w:r>
      <w:r>
        <w:rPr>
          <w:sz w:val="22"/>
          <w:szCs w:val="22"/>
          <w:rFonts w:ascii="Arial" w:cs="Arial" w:eastAsia="Arial" w:hAnsi="Arial"/>
        </w:rPr>
        <w:t xml:space="preserve"> — a basic objective of the trusteeship system: to encourage respect for human rights. The Charter does not define the rights (the UDHR was to do that) and the argument whether Arts 55-56 impose binding obligations was settled by practice and by the ICJ (Namibia; the Tehran Hostages case, 1980 — 'wrongfully to deprive human beings of their freedom... is manifestly incompatible with the principles of the Charter'). The </w:t>
      </w:r>
      <w:r>
        <w:rPr>
          <w:b/>
          <w:bCs/>
          <w:sz w:val="22"/>
          <w:szCs w:val="22"/>
          <w:rFonts w:ascii="Arial" w:cs="Arial" w:eastAsia="Arial" w:hAnsi="Arial"/>
        </w:rPr>
        <w:t xml:space="preserve">organs</w:t>
      </w:r>
      <w:r>
        <w:rPr>
          <w:sz w:val="22"/>
          <w:szCs w:val="22"/>
          <w:rFonts w:ascii="Arial" w:cs="Arial" w:eastAsia="Arial" w:hAnsi="Arial"/>
        </w:rPr>
        <w:t xml:space="preserve">: (1) the </w:t>
      </w:r>
      <w:r>
        <w:rPr>
          <w:b/>
          <w:bCs/>
          <w:sz w:val="22"/>
          <w:szCs w:val="22"/>
          <w:rFonts w:ascii="Arial" w:cs="Arial" w:eastAsia="Arial" w:hAnsi="Arial"/>
        </w:rPr>
        <w:t xml:space="preserve">General Assembly</w:t>
      </w:r>
      <w:r>
        <w:rPr>
          <w:sz w:val="22"/>
          <w:szCs w:val="22"/>
          <w:rFonts w:ascii="Arial" w:cs="Arial" w:eastAsia="Arial" w:hAnsi="Arial"/>
        </w:rPr>
        <w:t xml:space="preserve"> — resolutions (the UDHR, the Declarations, the conventions adopted for signature), the Third Committee (social, humanitarian and cultural), the election of the Council's members, the Special Sessions; (2) the </w:t>
      </w:r>
      <w:r>
        <w:rPr>
          <w:b/>
          <w:bCs/>
          <w:sz w:val="22"/>
          <w:szCs w:val="22"/>
          <w:rFonts w:ascii="Arial" w:cs="Arial" w:eastAsia="Arial" w:hAnsi="Arial"/>
        </w:rPr>
        <w:t xml:space="preserve">Security Council</w:t>
      </w:r>
      <w:r>
        <w:rPr>
          <w:sz w:val="22"/>
          <w:szCs w:val="22"/>
          <w:rFonts w:ascii="Arial" w:cs="Arial" w:eastAsia="Arial" w:hAnsi="Arial"/>
        </w:rPr>
        <w:t xml:space="preserve"> — Chapter VII action, the ad hoc tribunals (ICTY 1993, ICTR 1994 — created under Chapter VII), referrals to the ICC (Darfur 2005, Libya 2011), sanctions committees, the 'Women, Peace and Security' (1325, 2000) and 'Children and Armed Conflict' agendas, the Arria-formula meetings; (3) </w:t>
      </w:r>
      <w:r>
        <w:rPr>
          <w:b/>
          <w:bCs/>
          <w:sz w:val="22"/>
          <w:szCs w:val="22"/>
          <w:rFonts w:ascii="Arial" w:cs="Arial" w:eastAsia="Arial" w:hAnsi="Arial"/>
        </w:rPr>
        <w:t xml:space="preserve">ECOSOC</w:t>
      </w:r>
      <w:r>
        <w:rPr>
          <w:sz w:val="22"/>
          <w:szCs w:val="22"/>
          <w:rFonts w:ascii="Arial" w:cs="Arial" w:eastAsia="Arial" w:hAnsi="Arial"/>
        </w:rPr>
        <w:t xml:space="preserve"> — the Commission on Human Rights (1946-2006, replaced by the Human Rights Council, a subsidiary of the General Assembly), the Commission on the Status of Women (1946), the Permanent Forum on Indigenous Issues (2000), consultative status for NGOs (Art 71); (4) the </w:t>
      </w:r>
      <w:r>
        <w:rPr>
          <w:b/>
          <w:bCs/>
          <w:sz w:val="22"/>
          <w:szCs w:val="22"/>
          <w:rFonts w:ascii="Arial" w:cs="Arial" w:eastAsia="Arial" w:hAnsi="Arial"/>
        </w:rPr>
        <w:t xml:space="preserve">Trusteeship Council</w:t>
      </w:r>
      <w:r>
        <w:rPr>
          <w:sz w:val="22"/>
          <w:szCs w:val="22"/>
          <w:rFonts w:ascii="Arial" w:cs="Arial" w:eastAsia="Arial" w:hAnsi="Arial"/>
        </w:rPr>
        <w:t xml:space="preserve"> — suspended in 1994 after Palau's independence; (5) the </w:t>
      </w:r>
      <w:r>
        <w:rPr>
          <w:b/>
          <w:bCs/>
          <w:sz w:val="22"/>
          <w:szCs w:val="22"/>
          <w:rFonts w:ascii="Arial" w:cs="Arial" w:eastAsia="Arial" w:hAnsi="Arial"/>
        </w:rPr>
        <w:t xml:space="preserve">International Court of Justice</w:t>
      </w:r>
      <w:r>
        <w:rPr>
          <w:sz w:val="22"/>
          <w:szCs w:val="22"/>
          <w:rFonts w:ascii="Arial" w:cs="Arial" w:eastAsia="Arial" w:hAnsi="Arial"/>
        </w:rPr>
        <w:t xml:space="preserve"> — contentious cases and advisory opinions (Episode 11); (6) the </w:t>
      </w:r>
      <w:r>
        <w:rPr>
          <w:b/>
          <w:bCs/>
          <w:sz w:val="22"/>
          <w:szCs w:val="22"/>
          <w:rFonts w:ascii="Arial" w:cs="Arial" w:eastAsia="Arial" w:hAnsi="Arial"/>
        </w:rPr>
        <w:t xml:space="preserve">Secretariat</w:t>
      </w:r>
      <w:r>
        <w:rPr>
          <w:sz w:val="22"/>
          <w:szCs w:val="22"/>
          <w:rFonts w:ascii="Arial" w:cs="Arial" w:eastAsia="Arial" w:hAnsi="Arial"/>
        </w:rPr>
        <w:t xml:space="preserve"> — the Secretary-General's good offices and reports, and the </w:t>
      </w:r>
      <w:r>
        <w:rPr>
          <w:b/>
          <w:bCs/>
          <w:sz w:val="22"/>
          <w:szCs w:val="22"/>
          <w:rFonts w:ascii="Arial" w:cs="Arial" w:eastAsia="Arial" w:hAnsi="Arial"/>
        </w:rPr>
        <w:t xml:space="preserve">Office of the High Commissioner for Human Rights</w:t>
      </w:r>
      <w:r>
        <w:rPr>
          <w:sz w:val="22"/>
          <w:szCs w:val="22"/>
          <w:rFonts w:ascii="Arial" w:cs="Arial" w:eastAsia="Arial" w:hAnsi="Arial"/>
        </w:rPr>
        <w:t xml:space="preserve"> (1993) in Geneva; plus the specialised agencies (ILO, UNESCO, WHO, FAO), the funds and programmes (UNICEF, UNDP, UNHCR, UN Women, UNFPA), and the treaty bodies (Episode 07).</w:t>
      </w:r>
    </w:p>
    <w:p>
      <w:pPr>
        <w:spacing w:before="240" w:after="120"/>
      </w:pPr>
      <w:r>
        <w:rPr>
          <w:b/>
          <w:bCs/>
          <w:color w:val="404040"/>
          <w:sz w:val="23"/>
          <w:szCs w:val="23"/>
          <w:rFonts w:ascii="Arial" w:cs="Arial" w:eastAsia="Arial" w:hAnsi="Arial"/>
        </w:rPr>
        <w:t xml:space="preserve">Promotion and protection</w:t>
      </w:r>
    </w:p>
    <w:p>
      <w:pPr>
        <w:spacing w:after="120" w:line="300"/>
        <w:jc w:val="both"/>
      </w:pPr>
      <w:r>
        <w:rPr>
          <w:sz w:val="22"/>
          <w:szCs w:val="22"/>
          <w:rFonts w:ascii="Arial" w:cs="Arial" w:eastAsia="Arial" w:hAnsi="Arial"/>
        </w:rPr>
        <w:t xml:space="preserve">The UN's human-rights work is conventionally divided into </w:t>
      </w:r>
      <w:r>
        <w:rPr>
          <w:b/>
          <w:bCs/>
          <w:sz w:val="22"/>
          <w:szCs w:val="22"/>
          <w:rFonts w:ascii="Arial" w:cs="Arial" w:eastAsia="Arial" w:hAnsi="Arial"/>
        </w:rPr>
        <w:t xml:space="preserve">promotion</w:t>
      </w:r>
      <w:r>
        <w:rPr>
          <w:sz w:val="22"/>
          <w:szCs w:val="22"/>
          <w:rFonts w:ascii="Arial" w:cs="Arial" w:eastAsia="Arial" w:hAnsi="Arial"/>
        </w:rPr>
        <w:t xml:space="preserve"> (standard-setting, education, technical assistance, the advancement of rights) and </w:t>
      </w:r>
      <w:r>
        <w:rPr>
          <w:b/>
          <w:bCs/>
          <w:sz w:val="22"/>
          <w:szCs w:val="22"/>
          <w:rFonts w:ascii="Arial" w:cs="Arial" w:eastAsia="Arial" w:hAnsi="Arial"/>
        </w:rPr>
        <w:t xml:space="preserve">protection</w:t>
      </w:r>
      <w:r>
        <w:rPr>
          <w:sz w:val="22"/>
          <w:szCs w:val="22"/>
          <w:rFonts w:ascii="Arial" w:cs="Arial" w:eastAsia="Arial" w:hAnsi="Arial"/>
        </w:rPr>
        <w:t xml:space="preserve"> (monitoring, investigation, condemnation, remedies). </w:t>
      </w:r>
      <w:r>
        <w:rPr>
          <w:b/>
          <w:bCs/>
          <w:sz w:val="22"/>
          <w:szCs w:val="22"/>
          <w:rFonts w:ascii="Arial" w:cs="Arial" w:eastAsia="Arial" w:hAnsi="Arial"/>
        </w:rPr>
        <w:t xml:space="preserve">Standard-setting</w:t>
      </w:r>
      <w:r>
        <w:rPr>
          <w:sz w:val="22"/>
          <w:szCs w:val="22"/>
          <w:rFonts w:ascii="Arial" w:cs="Arial" w:eastAsia="Arial" w:hAnsi="Arial"/>
        </w:rPr>
        <w:t xml:space="preserve">: the Declarations (UDHR 1948; the Rights of the Child 1959; the Elimination of Racial Discrimination 1963; Women 1967; Torture 1975; Development 1986; Minorities 1992; Human Rights Defenders 1998; Indigenous Peoples 2007) and the treaties (the nine core conventions with their optional protocols — Episode 07), drafted in the Commission/Council and adopted by the General Assembly. </w:t>
      </w:r>
      <w:r>
        <w:rPr>
          <w:b/>
          <w:bCs/>
          <w:sz w:val="22"/>
          <w:szCs w:val="22"/>
          <w:rFonts w:ascii="Arial" w:cs="Arial" w:eastAsia="Arial" w:hAnsi="Arial"/>
        </w:rPr>
        <w:t xml:space="preserve">Monitoring</w:t>
      </w:r>
      <w:r>
        <w:rPr>
          <w:sz w:val="22"/>
          <w:szCs w:val="22"/>
          <w:rFonts w:ascii="Arial" w:cs="Arial" w:eastAsia="Arial" w:hAnsi="Arial"/>
        </w:rPr>
        <w:t xml:space="preserve">: the treaty bodies' periodic reports, the Council's Universal Periodic Review (every State every four and a half years), the Special Procedures (thematic and country rapporteurs, working groups, independent experts — about 60 mandates), the High Commissioner's reports and country offices, the commissions of inquiry (Syria, North Korea, Myanmar, Gaza). </w:t>
      </w:r>
      <w:r>
        <w:rPr>
          <w:b/>
          <w:bCs/>
          <w:sz w:val="22"/>
          <w:szCs w:val="22"/>
          <w:rFonts w:ascii="Arial" w:cs="Arial" w:eastAsia="Arial" w:hAnsi="Arial"/>
        </w:rPr>
        <w:t xml:space="preserve">Complaints</w:t>
      </w:r>
      <w:r>
        <w:rPr>
          <w:sz w:val="22"/>
          <w:szCs w:val="22"/>
          <w:rFonts w:ascii="Arial" w:cs="Arial" w:eastAsia="Arial" w:hAnsi="Arial"/>
        </w:rPr>
        <w:t xml:space="preserve">: the individual communications under the optional protocols, the Council's confidential complaint procedure (the successor of 1503), the ILO's freedom-of-association committee. </w:t>
      </w:r>
      <w:r>
        <w:rPr>
          <w:b/>
          <w:bCs/>
          <w:sz w:val="22"/>
          <w:szCs w:val="22"/>
          <w:rFonts w:ascii="Arial" w:cs="Arial" w:eastAsia="Arial" w:hAnsi="Arial"/>
        </w:rPr>
        <w:t xml:space="preserve">Enforcement</w:t>
      </w:r>
      <w:r>
        <w:rPr>
          <w:sz w:val="22"/>
          <w:szCs w:val="22"/>
          <w:rFonts w:ascii="Arial" w:cs="Arial" w:eastAsia="Arial" w:hAnsi="Arial"/>
        </w:rPr>
        <w:t xml:space="preserve">: the Council's resolutions and special sessions, the General Assembly's condemnations, the Security Council's Chapter VII measures, the international criminal tribunals, the ICJ (the Genocide Convention cases), and 'naming and shaming' through reports — the weakest link in the system, where the machinery of States judging States meets the politics of the Council (the election of violators to the Human Rights Council; the vetoes). </w:t>
      </w:r>
      <w:r>
        <w:rPr>
          <w:b/>
          <w:bCs/>
          <w:sz w:val="22"/>
          <w:szCs w:val="22"/>
          <w:rFonts w:ascii="Arial" w:cs="Arial" w:eastAsia="Arial" w:hAnsi="Arial"/>
        </w:rPr>
        <w:t xml:space="preserve">Technical cooperation</w:t>
      </w:r>
      <w:r>
        <w:rPr>
          <w:sz w:val="22"/>
          <w:szCs w:val="22"/>
          <w:rFonts w:ascii="Arial" w:cs="Arial" w:eastAsia="Arial" w:hAnsi="Arial"/>
        </w:rPr>
        <w:t xml:space="preserve"> (the OHCHR's advisory services, the national human-rights institutions under the Paris Principles) and </w:t>
      </w:r>
      <w:r>
        <w:rPr>
          <w:b/>
          <w:bCs/>
          <w:sz w:val="22"/>
          <w:szCs w:val="22"/>
          <w:rFonts w:ascii="Arial" w:cs="Arial" w:eastAsia="Arial" w:hAnsi="Arial"/>
        </w:rPr>
        <w:t xml:space="preserve">education</w:t>
      </w:r>
      <w:r>
        <w:rPr>
          <w:sz w:val="22"/>
          <w:szCs w:val="22"/>
          <w:rFonts w:ascii="Arial" w:cs="Arial" w:eastAsia="Arial" w:hAnsi="Arial"/>
        </w:rPr>
        <w:t xml:space="preserve"> (the 2011 Declaration on Human Rights Education and Training) are the promotion side. The </w:t>
      </w:r>
      <w:r>
        <w:rPr>
          <w:b/>
          <w:bCs/>
          <w:sz w:val="22"/>
          <w:szCs w:val="22"/>
          <w:rFonts w:ascii="Arial" w:cs="Arial" w:eastAsia="Arial" w:hAnsi="Arial"/>
        </w:rPr>
        <w:t xml:space="preserve">Vienna World Conference (1993)</w:t>
      </w:r>
      <w:r>
        <w:rPr>
          <w:sz w:val="22"/>
          <w:szCs w:val="22"/>
          <w:rFonts w:ascii="Arial" w:cs="Arial" w:eastAsia="Arial" w:hAnsi="Arial"/>
        </w:rPr>
        <w:t xml:space="preserve"> — with its Declaration and Programme of Action — set the modern agenda: universality and indivisibility, the High Commissioner, national institutions, women's rights as human rights, the rights of the child, the elimination of racism, the right to development; and the </w:t>
      </w:r>
      <w:r>
        <w:rPr>
          <w:b/>
          <w:bCs/>
          <w:sz w:val="22"/>
          <w:szCs w:val="22"/>
          <w:rFonts w:ascii="Arial" w:cs="Arial" w:eastAsia="Arial" w:hAnsi="Arial"/>
        </w:rPr>
        <w:t xml:space="preserve">Millennium Declaration (2000)</w:t>
      </w:r>
      <w:r>
        <w:rPr>
          <w:sz w:val="22"/>
          <w:szCs w:val="22"/>
          <w:rFonts w:ascii="Arial" w:cs="Arial" w:eastAsia="Arial" w:hAnsi="Arial"/>
        </w:rPr>
        <w:t xml:space="preserve"> and the </w:t>
      </w:r>
      <w:r>
        <w:rPr>
          <w:b/>
          <w:bCs/>
          <w:sz w:val="22"/>
          <w:szCs w:val="22"/>
          <w:rFonts w:ascii="Arial" w:cs="Arial" w:eastAsia="Arial" w:hAnsi="Arial"/>
        </w:rPr>
        <w:t xml:space="preserve">Sustainable Development Goals (2015)</w:t>
      </w:r>
      <w:r>
        <w:rPr>
          <w:sz w:val="22"/>
          <w:szCs w:val="22"/>
          <w:rFonts w:ascii="Arial" w:cs="Arial" w:eastAsia="Arial" w:hAnsi="Arial"/>
        </w:rPr>
        <w:t xml:space="preserve"> are the development-rights agenda.</w:t>
      </w:r>
    </w:p>
    <w:p>
      <w:pPr>
        <w:pBdr>
          <w:left w:val="single" w:color="CC0000" w:sz="6" w:space="8"/>
        </w:pBdr>
        <w:spacing w:before="80" w:after="80"/>
        <w:ind w:left="300"/>
      </w:pPr>
      <w:r>
        <w:rPr>
          <w:b/>
          <w:bCs/>
          <w:color w:val="CC0000"/>
          <w:sz w:val="21"/>
          <w:szCs w:val="21"/>
          <w:rFonts w:ascii="Arial" w:cs="Arial" w:eastAsia="Arial" w:hAnsi="Arial"/>
        </w:rPr>
        <w:t xml:space="preserve">Prosecutor v. Akayesu, ICTR 1998 — </w:t>
      </w:r>
      <w:r>
        <w:rPr>
          <w:sz w:val="21"/>
          <w:szCs w:val="21"/>
          <w:rFonts w:ascii="Arial" w:cs="Arial" w:eastAsia="Arial" w:hAnsi="Arial"/>
        </w:rPr>
        <w:t xml:space="preserve">The first conviction for genocide by an international tribunal; rape and sexual violence can constitute genocide when committed with intent to destroy a group; the definition of the protected 'ethnic group' by the perpetrators' perception.</w:t>
      </w:r>
    </w:p>
    <w:p>
      <w:pPr>
        <w:pBdr>
          <w:left w:val="single" w:color="CC0000" w:sz="6" w:space="8"/>
        </w:pBdr>
        <w:spacing w:before="80" w:after="80"/>
        <w:ind w:left="300"/>
      </w:pPr>
      <w:r>
        <w:rPr>
          <w:b/>
          <w:bCs/>
          <w:color w:val="CC0000"/>
          <w:sz w:val="21"/>
          <w:szCs w:val="21"/>
          <w:rFonts w:ascii="Arial" w:cs="Arial" w:eastAsia="Arial" w:hAnsi="Arial"/>
        </w:rPr>
        <w:t xml:space="preserve">Legal Consequences for States of the Continued Presence of South Africa in Namibia, ICJ Advisory Opinion 1971 — </w:t>
      </w:r>
      <w:r>
        <w:rPr>
          <w:sz w:val="21"/>
          <w:szCs w:val="21"/>
          <w:rFonts w:ascii="Arial" w:cs="Arial" w:eastAsia="Arial" w:hAnsi="Arial"/>
        </w:rPr>
        <w:t xml:space="preserve">Apartheid in the mandated territory violated the Charter's human-rights purposes and principles; Arts 55-56 are legal obligations; the Assembly could terminate the mandate.</w:t>
      </w:r>
    </w:p>
    <w:p>
      <w:pPr>
        <w:pBdr>
          <w:left w:val="single" w:color="CC0000" w:sz="6" w:space="8"/>
        </w:pBdr>
        <w:spacing w:before="80" w:after="80"/>
        <w:ind w:left="300"/>
      </w:pPr>
      <w:r>
        <w:rPr>
          <w:b/>
          <w:bCs/>
          <w:color w:val="CC0000"/>
          <w:sz w:val="21"/>
          <w:szCs w:val="21"/>
          <w:rFonts w:ascii="Arial" w:cs="Arial" w:eastAsia="Arial" w:hAnsi="Arial"/>
        </w:rPr>
        <w:t xml:space="preserve">Military and Paramilitary Activities in and against Nicaragua (Nicaragua v. United States), ICJ 1986 — </w:t>
      </w:r>
      <w:r>
        <w:rPr>
          <w:sz w:val="21"/>
          <w:szCs w:val="21"/>
          <w:rFonts w:ascii="Arial" w:cs="Arial" w:eastAsia="Arial" w:hAnsi="Arial"/>
        </w:rPr>
        <w:t xml:space="preserve">The use of force cannot be justified as a method of ensuring respect for human rights; the protection of human rights is not a ground for unilateral intervention; Art 2(4) is customary law.</w:t>
      </w:r>
    </w:p>
    <w:p>
      <w:pPr>
        <w:pBdr>
          <w:left w:val="single" w:color="CC0000" w:sz="6" w:space="8"/>
        </w:pBdr>
        <w:spacing w:before="80" w:after="80"/>
        <w:ind w:left="300"/>
      </w:pPr>
      <w:r>
        <w:rPr>
          <w:b/>
          <w:bCs/>
          <w:color w:val="CC0000"/>
          <w:sz w:val="21"/>
          <w:szCs w:val="21"/>
          <w:rFonts w:ascii="Arial" w:cs="Arial" w:eastAsia="Arial" w:hAnsi="Arial"/>
        </w:rPr>
        <w:t xml:space="preserve">Bosnia and Herzegovina v. Serbia and Montenegro, ICJ 2007 — </w:t>
      </w:r>
      <w:r>
        <w:rPr>
          <w:sz w:val="21"/>
          <w:szCs w:val="21"/>
          <w:rFonts w:ascii="Arial" w:cs="Arial" w:eastAsia="Arial" w:hAnsi="Arial"/>
        </w:rPr>
        <w:t xml:space="preserve">Srebrenica was genocide; Serbia had violated its obligation to prevent genocide (the duty of due diligence under Art I of the Convention) and to punish it by not surrendering Mladić; the duty to prevent arises when a State learns of a serious risk.</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Council's Universal Periodic Review is conducted and archived online (the UPR-Info database); the Security Council's atrocity-prevention framework and the Secretary-General's 'Framework of Analysis for Atrocity Crimes' (2014) use open-source and satellite data; the ICTR's archive is in Arusha and online; and the 'Radio Mille Collines' lesson — incitement through media — is the origin of Art 20 ICCPR's application to broadcasting and the Rome Statute's 'direct and public incitement' offence.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'Three generations of human rights', 'Third generation rights', 'Art 2(7) UN Charter', 'Humanitarian intervention', 'Responsibility to Protect', 'Art 55 and 56', 'Commission on Human Rights', 'Vienna Declaration 1993'. Part B: 'Explain the three generations of human rights and the criticism of the classification'; or 'Sovereignty versus human rights — discuss the tension with reference to Art 2(7), humanitarian intervention and the Responsibility to Protect'; or 'Discuss the provisions of the UN Charter on human rights and the role of the principal organs in their promotion and protection'. Part C: a State massacres a minority and invokes Art 2(7) against a General Assembly resolution — not 'essentially domestic' (South Africa practice, Namibia), Arts 55-56; a neighbouring State intervenes militarily to stop the massacre without Council authorisation — Art 2(4), Nicaragua; legitimacy debate (Kosovo), R2P requires Council authority; the Council is vetoed — the 'Uniting for Peace' resolution (377(V), 1950) lets the Assembly recommend, and the 2022 veto-initiative resolution requires a debate; a State denies that the right to food is a 'right' — Vienna indivisibility, ICESCR Art 11, PUCL v. Union of India.</w:t>
      </w:r>
    </w:p>
    <w:p>
      <w:r>
        <w:br w:type="page"/>
      </w:r>
    </w:p>
    <w:p>
      <w:pPr>
        <w:pStyle w:val="Heading1"/>
        <w:spacing w:before="480" w:after="200"/>
      </w:pPr>
      <w:r>
        <w:rPr>
          <w:b/>
          <w:bCs/>
          <w:color w:val="1F4E79"/>
          <w:sz w:val="32"/>
          <w:szCs w:val="32"/>
          <w:rFonts w:ascii="Arial" w:cs="Arial" w:eastAsia="Arial" w:hAnsi="Arial"/>
        </w:rPr>
        <w:t xml:space="preserve">Episode 03 — All Human Beings: Hansa Mehta and the Universal Declaration of Human Rights</w:t>
      </w:r>
    </w:p>
    <w:p>
      <w:pPr>
        <w:pStyle w:val="Heading2"/>
        <w:spacing w:before="360" w:after="160"/>
      </w:pPr>
      <w:r>
        <w:rPr>
          <w:b/>
          <w:bCs/>
          <w:color w:val="2E75B6"/>
          <w:sz w:val="26"/>
          <w:szCs w:val="26"/>
          <w:rFonts w:ascii="Arial" w:cs="Arial" w:eastAsia="Arial" w:hAnsi="Arial"/>
        </w:rPr>
        <w:t xml:space="preserve">Covers: The drafting — the Commission on Human Rights, the Drafting Committee, the personalities · The structure and the thirty articles · The legal status — a declaration, not a treaty; customary law; the 'International Bill of Rights' · The influence on constitutions, including India's · The Proclamation of Tehran (1968) and the Vienna Declaration (1993) · Criticisms and the relativist debate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Lake Success, New York, 1947-48. The Commission on Human Rights, chaired by Eleanor Roosevelt, had eighteen members and a drafting committee of eight; the first draft was written by the Canadian John Humphrey, the Secretariat's director of human rights, from four hundred pages of constitutions and proposals; the Frenchman René Cassin turned it into a structured text; the Lebanese philosopher Charles Malik and the Chinese Confucian scholar Peng-chun Chang argued over its foundations — natural law or a plural ethic — and agreed to leave God out; the Soviet delegate insisted on economic and social rights; the Latin Americans brought the Bogotá Declaration of the Rights and Duties of Man. India's representative was Hansa Mehta — a Gujarati educationist, a member of the Constituent Assembly, the first woman Vice-Chancellor of an Indian university. When the draft of Article 1 read 'All men are born free and equal', she objected: in most of the world 'men' would be read to mean men, and the Declaration would be used to deny women what it promised. Eleanor Roosevelt thought 'men' was understood generically; Mehta, supported by the Danish delegate Bodil Begtrup and the Dominican Minerva Bernardino, persisted. The final text reads 'All human beings are born free and equal in dignity and rights.' The Declaration was adopted by the General Assembly in Paris on 10 December 1948 by forty-eight votes to none, with eight abstentions — the Soviet bloc, Saudi Arabia and South Africa. Cassin called it a portico: a foundation (dignity, liberty, equality, fraternity — Arts 1-2), four columns (the personal rights, Arts 3-11; the rights of the individual in civil society, Arts 12-17; the political rights, Arts 18-21; the economic, social and cultural rights, Arts 22-27), and a pediment (the duties and limits, Arts 28-30). It is the most translated document in the world, and Hansa Mehta's phrase is its first sentence.</w:t>
      </w:r>
    </w:p>
    <w:p>
      <w:pPr>
        <w:spacing w:before="240" w:after="120"/>
      </w:pPr>
      <w:r>
        <w:rPr>
          <w:b/>
          <w:bCs/>
          <w:color w:val="404040"/>
          <w:sz w:val="23"/>
          <w:szCs w:val="23"/>
          <w:rFonts w:ascii="Arial" w:cs="Arial" w:eastAsia="Arial" w:hAnsi="Arial"/>
        </w:rPr>
        <w:t xml:space="preserve">The drafting</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Commission on Human Rights</w:t>
      </w:r>
      <w:r>
        <w:rPr>
          <w:sz w:val="22"/>
          <w:szCs w:val="22"/>
          <w:rFonts w:ascii="Arial" w:cs="Arial" w:eastAsia="Arial" w:hAnsi="Arial"/>
        </w:rPr>
        <w:t xml:space="preserve"> was set up by ECOSOC under Art 68 in 1946 (the 'nuclear' commission of nine, then eighteen members) and asked to prepare an international bill of rights; it decided on three parts — a declaration, a convention and measures of implementation — the last two becoming the Covenants of 1966. </w:t>
      </w:r>
      <w:r>
        <w:rPr>
          <w:b/>
          <w:bCs/>
          <w:sz w:val="22"/>
          <w:szCs w:val="22"/>
          <w:rFonts w:ascii="Arial" w:cs="Arial" w:eastAsia="Arial" w:hAnsi="Arial"/>
        </w:rPr>
        <w:t xml:space="preserve">The Drafting Committee</w:t>
      </w:r>
      <w:r>
        <w:rPr>
          <w:sz w:val="22"/>
          <w:szCs w:val="22"/>
          <w:rFonts w:ascii="Arial" w:cs="Arial" w:eastAsia="Arial" w:hAnsi="Arial"/>
        </w:rPr>
        <w:t xml:space="preserve"> (1947): Eleanor Roosevelt (United States, chair), Peng-chun Chang (China, vice-chair), Charles Malik (Lebanon, rapporteur), René Cassin (France), Hernán Santa Cruz (Chile), Alexander Bogomolov (USSR), Geoffrey Wilson (UK), William Hodgson (Australia), with </w:t>
      </w:r>
      <w:r>
        <w:rPr>
          <w:b/>
          <w:bCs/>
          <w:sz w:val="22"/>
          <w:szCs w:val="22"/>
          <w:rFonts w:ascii="Arial" w:cs="Arial" w:eastAsia="Arial" w:hAnsi="Arial"/>
        </w:rPr>
        <w:t xml:space="preserve">John Humphrey</w:t>
      </w:r>
      <w:r>
        <w:rPr>
          <w:sz w:val="22"/>
          <w:szCs w:val="22"/>
          <w:rFonts w:ascii="Arial" w:cs="Arial" w:eastAsia="Arial" w:hAnsi="Arial"/>
        </w:rPr>
        <w:t xml:space="preserve"> (Canada, Secretariat) as the author of the first 48-article outline drawn from the constitutions of the world and the proposals of the American Law Institute, the Inter-American Juridical Committee and NGOs; </w:t>
      </w:r>
      <w:r>
        <w:rPr>
          <w:b/>
          <w:bCs/>
          <w:sz w:val="22"/>
          <w:szCs w:val="22"/>
          <w:rFonts w:ascii="Arial" w:cs="Arial" w:eastAsia="Arial" w:hAnsi="Arial"/>
        </w:rPr>
        <w:t xml:space="preserve">Hansa Mehta</w:t>
      </w:r>
      <w:r>
        <w:rPr>
          <w:sz w:val="22"/>
          <w:szCs w:val="22"/>
          <w:rFonts w:ascii="Arial" w:cs="Arial" w:eastAsia="Arial" w:hAnsi="Arial"/>
        </w:rPr>
        <w:t xml:space="preserve"> (India), Bodil Begtrup (Denmark, chair of the Commission on the Status of Women), Minerva Bernardino (Dominican Republic) and Lakshmi Menon (India, in the Third Committee) shaped the gender-neutral language and the non-discrimination clause; </w:t>
      </w:r>
      <w:r>
        <w:rPr>
          <w:b/>
          <w:bCs/>
          <w:sz w:val="22"/>
          <w:szCs w:val="22"/>
          <w:rFonts w:ascii="Arial" w:cs="Arial" w:eastAsia="Arial" w:hAnsi="Arial"/>
        </w:rPr>
        <w:t xml:space="preserve">Cassin's</w:t>
      </w:r>
      <w:r>
        <w:rPr>
          <w:sz w:val="22"/>
          <w:szCs w:val="22"/>
          <w:rFonts w:ascii="Arial" w:cs="Arial" w:eastAsia="Arial" w:hAnsi="Arial"/>
        </w:rPr>
        <w:t xml:space="preserve"> redraft gave the structure and the preamble; the Commission's second and third sessions (December 1947, June 1948), the Third Committee's 81 meetings in the autumn of 1948 (with over 160 amendments, Malik chairing), and the plenary of 10 December 1948 completed it. The abstentions: the six Soviet-bloc States (the Declaration was insufficiently attentive to economic rights and to the State's role, and lacked a condemnation of fascism), Saudi Arabia (Art 16's equal marriage rights and Art 18's right to change religion), South Africa (the whole, given apartheid). Honduras and Yemen were absent.</w:t>
      </w:r>
    </w:p>
    <w:p>
      <w:pPr>
        <w:spacing w:before="240" w:after="120"/>
      </w:pPr>
      <w:r>
        <w:rPr>
          <w:b/>
          <w:bCs/>
          <w:color w:val="404040"/>
          <w:sz w:val="23"/>
          <w:szCs w:val="23"/>
          <w:rFonts w:ascii="Arial" w:cs="Arial" w:eastAsia="Arial" w:hAnsi="Arial"/>
        </w:rPr>
        <w:t xml:space="preserve">Structure and the thirty articles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7900"/>
      </w:tblGrid>
      <w:tr>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Article</w:t>
            </w:r>
          </w:p>
        </w:tc>
        <w:tc>
          <w:tcPr>
            <w:tcW w:type="dxa" w:w="7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Right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Preamble</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Inherent dignity and equal and inalienable rights as the foundation of freedom, justice and peace; barbarous acts; the four freedoms; the Charter pledge; 'a common standard of achievement for all peoples and all nations'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All human beings are born free and equal in dignity and rights; reason and conscience; the spirit of brotherhood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Entitlement to all rights without distinction of any kind — race, colour, sex, language, religion, political or other opinion, national or social origin, property, birth or other status; no distinction on the basis of the status of the territory</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Life, liberty and security of person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4</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 slavery or servitude; the slave trade prohibited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5</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 torture or cruel, inhuman or degrading treatment or punishment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6</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Recognition everywhere as a person before the law</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7</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Equality before the law and equal protection without discrimination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8</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Effective remedy by national tribunals for violations of fundamental rights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9</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 arbitrary arrest, detention or exile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Fair and public hearing by an independent and impartial tribunal</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11</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Presumption of innocence; no retroactive penal law</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 arbitrary interference with privacy, family, home or correspondence; protection of honour and reputation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13</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Freedom of movement and residence within the State; the right to leave any country and return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14</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right to seek and enjoy asylum from persecution (not for non-political crimes)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15</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right to a nationality; no arbitrary deprivation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16</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Marriage and family — equal rights of men and women; free and full consent; the family as the natural and fundamental group unit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17</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Property — alone or in association; no arbitrary deprivation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18</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Freedom of thought, conscience and religion, including to change religion and to manifest it</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Freedom of opinion and expression, including to seek, receive and impart information through any media regardless of frontiers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20</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Peaceful assembly and association; no compulsion to belong to an association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21</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Participation in government directly or through representatives; equal access to public service; the will of the people expressed in periodic and genuine elections by universal and equal suffrage and secret vote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22</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Social security; economic, social and cultural rights indispensable for dignity and the free development of personality</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23</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Work, free choice of employment, just and favourable conditions, protection against unemployment; equal pay for equal work; just remuneration; trade unions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24</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Rest and leisure, reasonable limitation of working hours, periodic holidays with pay</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25</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 standard of living adequate for health and well-being — food, clothing, housing, medical care, social services; security in unemployment, sickness, disability, widowhood, old age; motherhood and childhood entitled to special care; equal protection for all children</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26</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Education — free and compulsory at the elementary stage; technical and professional education generally available; higher education on merit; directed to the full development of personality and respect for human rights; parents' prior right to choose</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27</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Participation in cultural life, the arts and scientific advancement; protection of moral and material interests in one's works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28</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 social and international order in which the rights can be fully realised</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29</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Duties to the community; limitations only as determined by law for the rights of others, morality, public order and general welfare; never contrary to the UN's purposes</w:t>
            </w:r>
          </w:p>
        </w:tc>
      </w:tr>
      <w:tr>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30</w:t>
            </w:r>
          </w:p>
        </w:tc>
        <w:tc>
          <w:tcPr>
            <w:tcW w:type="dxa" w:w="7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 State, group or person may engage in any activity aimed at the destruction of the rights (the abuse-of-rights clause)</w:t>
            </w:r>
          </w:p>
        </w:tc>
      </w:tr>
    </w:tbl>
    <w:p>
      <w:pPr>
        <w:spacing w:before="240" w:after="120"/>
      </w:pPr>
      <w:r>
        <w:rPr>
          <w:b/>
          <w:bCs/>
          <w:color w:val="404040"/>
          <w:sz w:val="23"/>
          <w:szCs w:val="23"/>
          <w:rFonts w:ascii="Arial" w:cs="Arial" w:eastAsia="Arial" w:hAnsi="Arial"/>
        </w:rPr>
        <w:t xml:space="preserve">Legal status</w:t>
      </w:r>
    </w:p>
    <w:p>
      <w:pPr>
        <w:spacing w:after="120" w:line="300"/>
        <w:jc w:val="both"/>
      </w:pPr>
      <w:r>
        <w:rPr>
          <w:sz w:val="22"/>
          <w:szCs w:val="22"/>
          <w:rFonts w:ascii="Arial" w:cs="Arial" w:eastAsia="Arial" w:hAnsi="Arial"/>
        </w:rPr>
        <w:t xml:space="preserve">The UDHR was adopted as a </w:t>
      </w:r>
      <w:r>
        <w:rPr>
          <w:b/>
          <w:bCs/>
          <w:sz w:val="22"/>
          <w:szCs w:val="22"/>
          <w:rFonts w:ascii="Arial" w:cs="Arial" w:eastAsia="Arial" w:hAnsi="Arial"/>
        </w:rPr>
        <w:t xml:space="preserve">General Assembly resolution (217A (III))</w:t>
      </w:r>
      <w:r>
        <w:rPr>
          <w:sz w:val="22"/>
          <w:szCs w:val="22"/>
          <w:rFonts w:ascii="Arial" w:cs="Arial" w:eastAsia="Arial" w:hAnsi="Arial"/>
        </w:rPr>
        <w:t xml:space="preserve"> — a 'declaration', not a treaty; it created no legal obligations at the time and Eleanor Roosevelt said so ('not a treaty... not an international agreement... not and does not purport to be a statement of law or of legal obligation'). Its status has grown by four routes. </w:t>
      </w:r>
      <w:r>
        <w:rPr>
          <w:b/>
          <w:bCs/>
          <w:sz w:val="22"/>
          <w:szCs w:val="22"/>
          <w:rFonts w:ascii="Arial" w:cs="Arial" w:eastAsia="Arial" w:hAnsi="Arial"/>
        </w:rPr>
        <w:t xml:space="preserve">(1) Customary international law</w:t>
      </w:r>
      <w:r>
        <w:rPr>
          <w:sz w:val="22"/>
          <w:szCs w:val="22"/>
          <w:rFonts w:ascii="Arial" w:cs="Arial" w:eastAsia="Arial" w:hAnsi="Arial"/>
        </w:rPr>
        <w:t xml:space="preserve">: State practice and opinio juris — the constant invocation of the Declaration by the General Assembly, the Security Council, the ICJ (the Tehran Hostages case, 1980, cited 'the fundamental principles enunciated in the Universal Declaration'), regional courts and national courts, and its incorporation in constitutions — have made at least its core (the prohibitions of slavery, torture, genocide, racial discrimination, arbitrary detention, the fair-trial and non-retroactivity guarantees) customary law binding on all States; the Restatement (Third) of US Foreign Relations Law §702 and Filartiga (1980) are the standard citations; the more contested view (Humphrey, Sohn) is that the whole Declaration is now customary. </w:t>
      </w:r>
      <w:r>
        <w:rPr>
          <w:b/>
          <w:bCs/>
          <w:sz w:val="22"/>
          <w:szCs w:val="22"/>
          <w:rFonts w:ascii="Arial" w:cs="Arial" w:eastAsia="Arial" w:hAnsi="Arial"/>
        </w:rPr>
        <w:t xml:space="preserve">(2) Authoritative interpretation of the Charter</w:t>
      </w:r>
      <w:r>
        <w:rPr>
          <w:sz w:val="22"/>
          <w:szCs w:val="22"/>
          <w:rFonts w:ascii="Arial" w:cs="Arial" w:eastAsia="Arial" w:hAnsi="Arial"/>
        </w:rPr>
        <w:t xml:space="preserve">: the Declaration gives content to the 'human rights and fundamental freedoms' of Arts 55-56, so that a member's obligations under the Charter are measured by it (the Proclamation of Tehran, 1968, para 2: 'The Universal Declaration... states a common understanding of the peoples of the world concerning the inalienable and inviolable rights of all members of the human family and constitutes an obligation for the members of the international community'). </w:t>
      </w:r>
      <w:r>
        <w:rPr>
          <w:b/>
          <w:bCs/>
          <w:sz w:val="22"/>
          <w:szCs w:val="22"/>
          <w:rFonts w:ascii="Arial" w:cs="Arial" w:eastAsia="Arial" w:hAnsi="Arial"/>
        </w:rPr>
        <w:t xml:space="preserve">(3) Incorporation in treaties</w:t>
      </w:r>
      <w:r>
        <w:rPr>
          <w:sz w:val="22"/>
          <w:szCs w:val="22"/>
          <w:rFonts w:ascii="Arial" w:cs="Arial" w:eastAsia="Arial" w:hAnsi="Arial"/>
        </w:rPr>
        <w:t xml:space="preserve">: the Covenants (whose preambles recall it), the regional conventions (the European Convention's preamble), the specialised conventions, the Helsinki Final Act (1975) and the 1993 Vienna Declaration reaffirm it, and their parties are bound to its standards through those treaties. </w:t>
      </w:r>
      <w:r>
        <w:rPr>
          <w:b/>
          <w:bCs/>
          <w:sz w:val="22"/>
          <w:szCs w:val="22"/>
          <w:rFonts w:ascii="Arial" w:cs="Arial" w:eastAsia="Arial" w:hAnsi="Arial"/>
        </w:rPr>
        <w:t xml:space="preserve">(4) National law</w:t>
      </w:r>
      <w:r>
        <w:rPr>
          <w:sz w:val="22"/>
          <w:szCs w:val="22"/>
          <w:rFonts w:ascii="Arial" w:cs="Arial" w:eastAsia="Arial" w:hAnsi="Arial"/>
        </w:rPr>
        <w:t xml:space="preserve">: over ninety constitutions written since 1948 draw on it (India's Part III and IV, 1949-50 — the Constituent Assembly's debates cite it; the Supreme Court in Kesavananda Bharati, 1973, and in Chairman, Railway Board v. Chandrima Das, 2000, treated its principles as applicable, and in Vishaka, 1997, read international norms into Art 21), and courts use it as an aid to interpretation. Together with the two Covenants and their protocols, the Declaration forms the </w:t>
      </w:r>
      <w:r>
        <w:rPr>
          <w:b/>
          <w:bCs/>
          <w:sz w:val="22"/>
          <w:szCs w:val="22"/>
          <w:rFonts w:ascii="Arial" w:cs="Arial" w:eastAsia="Arial" w:hAnsi="Arial"/>
        </w:rPr>
        <w:t xml:space="preserve">International Bill of Human Rights</w:t>
      </w:r>
      <w:r>
        <w:rPr>
          <w:sz w:val="22"/>
          <w:szCs w:val="22"/>
          <w:rFonts w:ascii="Arial" w:cs="Arial" w:eastAsia="Arial" w:hAnsi="Arial"/>
        </w:rPr>
        <w:t xml:space="preserve"> — the Commission's 1946 plan completed in 1966 and in force in 1976.</w:t>
      </w:r>
    </w:p>
    <w:p>
      <w:pPr>
        <w:spacing w:before="240" w:after="120"/>
      </w:pPr>
      <w:r>
        <w:rPr>
          <w:b/>
          <w:bCs/>
          <w:color w:val="404040"/>
          <w:sz w:val="23"/>
          <w:szCs w:val="23"/>
          <w:rFonts w:ascii="Arial" w:cs="Arial" w:eastAsia="Arial" w:hAnsi="Arial"/>
        </w:rPr>
        <w:t xml:space="preserve">Tehran 1968 and Vienna 1993</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International Conference on Human Rights, Tehran (April-May 1968)</w:t>
      </w:r>
      <w:r>
        <w:rPr>
          <w:sz w:val="22"/>
          <w:szCs w:val="22"/>
          <w:rFonts w:ascii="Arial" w:cs="Arial" w:eastAsia="Arial" w:hAnsi="Arial"/>
        </w:rPr>
        <w:t xml:space="preserve"> — the International Year for Human Rights, the twentieth anniversary — adopted the </w:t>
      </w:r>
      <w:r>
        <w:rPr>
          <w:b/>
          <w:bCs/>
          <w:sz w:val="22"/>
          <w:szCs w:val="22"/>
          <w:rFonts w:ascii="Arial" w:cs="Arial" w:eastAsia="Arial" w:hAnsi="Arial"/>
        </w:rPr>
        <w:t xml:space="preserve">Proclamation of Tehran</w:t>
      </w:r>
      <w:r>
        <w:rPr>
          <w:sz w:val="22"/>
          <w:szCs w:val="22"/>
          <w:rFonts w:ascii="Arial" w:cs="Arial" w:eastAsia="Arial" w:hAnsi="Arial"/>
        </w:rPr>
        <w:t xml:space="preserve">: the Declaration is an obligation for the international community (para 2); the gross denials of human rights under apartheid are a crime against humanity (para 7); the massive denials arising from aggression and armed conflict (para 10); the link between human rights and development — 'the achievement of lasting progress in the implementation of human rights is dependent upon sound and effective national and international policies of economic and social development' (para 13, the seed of the right to development); the rights of women (para 15) and the family's right to decide the number and spacing of children (para 16, the first international statement of reproductive rights); human rights in armed conflict (Resolution XXIII, which led the General Assembly to Resolution 2444 and the 1977 Protocols); the concern with science and technology, illiteracy, and youth. The </w:t>
      </w:r>
      <w:r>
        <w:rPr>
          <w:b/>
          <w:bCs/>
          <w:sz w:val="22"/>
          <w:szCs w:val="22"/>
          <w:rFonts w:ascii="Arial" w:cs="Arial" w:eastAsia="Arial" w:hAnsi="Arial"/>
        </w:rPr>
        <w:t xml:space="preserve">World Conference on Human Rights, Vienna (June 1993)</w:t>
      </w:r>
      <w:r>
        <w:rPr>
          <w:sz w:val="22"/>
          <w:szCs w:val="22"/>
          <w:rFonts w:ascii="Arial" w:cs="Arial" w:eastAsia="Arial" w:hAnsi="Arial"/>
        </w:rPr>
        <w:t xml:space="preserve"> — 171 States, 800 NGOs, after the Cold War and the Asian-values challenge (the Bangkok Declaration of the Asian preparatory meeting had stressed sovereignty and particularity) — adopted the </w:t>
      </w:r>
      <w:r>
        <w:rPr>
          <w:b/>
          <w:bCs/>
          <w:sz w:val="22"/>
          <w:szCs w:val="22"/>
          <w:rFonts w:ascii="Arial" w:cs="Arial" w:eastAsia="Arial" w:hAnsi="Arial"/>
        </w:rPr>
        <w:t xml:space="preserve">Vienna Declaration and Programme of Action</w:t>
      </w:r>
      <w:r>
        <w:rPr>
          <w:sz w:val="22"/>
          <w:szCs w:val="22"/>
          <w:rFonts w:ascii="Arial" w:cs="Arial" w:eastAsia="Arial" w:hAnsi="Arial"/>
        </w:rPr>
        <w:t xml:space="preserve">: the universal nature of human rights is 'beyond question' (I.1); all human rights are universal, indivisible, interdependent and interrelated, and 'while the significance of national and regional particularities and various historical, cultural and religious backgrounds must be borne in mind, it is the duty of States, regardless of their political, economic and cultural systems, to promote and protect all human rights' (I.5); democracy, development and respect for human rights are interdependent (I.8); the right to development is a universal and inalienable right (I.10); the human rights of women and the girl-child are 'an inalienable, integral and indivisible part of universal human rights' (I.18) — violence against women, the appointment of a Special Rapporteur; the rights of the child, minorities, indigenous people, migrant workers, the disabled; the recommendation of a </w:t>
      </w:r>
      <w:r>
        <w:rPr>
          <w:b/>
          <w:bCs/>
          <w:sz w:val="22"/>
          <w:szCs w:val="22"/>
          <w:rFonts w:ascii="Arial" w:cs="Arial" w:eastAsia="Arial" w:hAnsi="Arial"/>
        </w:rPr>
        <w:t xml:space="preserve">High Commissioner for Human Rights</w:t>
      </w:r>
      <w:r>
        <w:rPr>
          <w:sz w:val="22"/>
          <w:szCs w:val="22"/>
          <w:rFonts w:ascii="Arial" w:cs="Arial" w:eastAsia="Arial" w:hAnsi="Arial"/>
        </w:rPr>
        <w:t xml:space="preserve"> (II.18 — created by General Assembly Resolution 48/141, December 1993); national institutions under the Paris Principles (I.36); the strengthening of the treaty bodies; the universal ratification of the core treaties; and human rights education. Vienna is the constitutional moment of the post-Cold War system and the answer to relativism.</w:t>
      </w:r>
    </w:p>
    <w:p>
      <w:pPr>
        <w:spacing w:before="240" w:after="120"/>
      </w:pPr>
      <w:r>
        <w:rPr>
          <w:b/>
          <w:bCs/>
          <w:color w:val="404040"/>
          <w:sz w:val="23"/>
          <w:szCs w:val="23"/>
          <w:rFonts w:ascii="Arial" w:cs="Arial" w:eastAsia="Arial" w:hAnsi="Arial"/>
        </w:rPr>
        <w:t xml:space="preserve">Criticisms and the relativist debate</w:t>
      </w:r>
    </w:p>
    <w:p>
      <w:pPr>
        <w:spacing w:after="120" w:line="300"/>
        <w:jc w:val="both"/>
      </w:pPr>
      <w:r>
        <w:rPr>
          <w:sz w:val="22"/>
          <w:szCs w:val="22"/>
          <w:rFonts w:ascii="Arial" w:cs="Arial" w:eastAsia="Arial" w:hAnsi="Arial"/>
        </w:rPr>
        <w:t xml:space="preserve">(1) </w:t>
      </w:r>
      <w:r>
        <w:rPr>
          <w:b/>
          <w:bCs/>
          <w:sz w:val="22"/>
          <w:szCs w:val="22"/>
          <w:rFonts w:ascii="Arial" w:cs="Arial" w:eastAsia="Arial" w:hAnsi="Arial"/>
        </w:rPr>
        <w:t xml:space="preserve">Western origin</w:t>
      </w:r>
      <w:r>
        <w:rPr>
          <w:sz w:val="22"/>
          <w:szCs w:val="22"/>
          <w:rFonts w:ascii="Arial" w:cs="Arial" w:eastAsia="Arial" w:hAnsi="Arial"/>
        </w:rPr>
        <w:t xml:space="preserve"> — drafted by a committee dominated by the Atlantic powers, in the language of liberal individualism (the American Anthropological Association's 1947 statement warned of ethnocentrism); the answer: the drafters included China, Lebanon, Chile, India, the Philippines and the USSR; the economic and social articles came from Latin America and the socialist States; the decolonised States endorsed it at Tehran and Vienna. (2) </w:t>
      </w:r>
      <w:r>
        <w:rPr>
          <w:b/>
          <w:bCs/>
          <w:sz w:val="22"/>
          <w:szCs w:val="22"/>
          <w:rFonts w:ascii="Arial" w:cs="Arial" w:eastAsia="Arial" w:hAnsi="Arial"/>
        </w:rPr>
        <w:t xml:space="preserve">Individualism vs community</w:t>
      </w:r>
      <w:r>
        <w:rPr>
          <w:sz w:val="22"/>
          <w:szCs w:val="22"/>
          <w:rFonts w:ascii="Arial" w:cs="Arial" w:eastAsia="Arial" w:hAnsi="Arial"/>
        </w:rPr>
        <w:t xml:space="preserve"> — the 'Asian values' and African critiques that the Declaration ignores duties and the community (answered partly by Art 29 and by the African Charter's Chapter II duties). (3) </w:t>
      </w:r>
      <w:r>
        <w:rPr>
          <w:b/>
          <w:bCs/>
          <w:sz w:val="22"/>
          <w:szCs w:val="22"/>
          <w:rFonts w:ascii="Arial" w:cs="Arial" w:eastAsia="Arial" w:hAnsi="Arial"/>
        </w:rPr>
        <w:t xml:space="preserve">Religious objections</w:t>
      </w:r>
      <w:r>
        <w:rPr>
          <w:sz w:val="22"/>
          <w:szCs w:val="22"/>
          <w:rFonts w:ascii="Arial" w:cs="Arial" w:eastAsia="Arial" w:hAnsi="Arial"/>
        </w:rPr>
        <w:t xml:space="preserve"> — to Art 18 (changing religion) and Art 16 (equal marriage rights) — the Cairo Declaration on Human Rights in Islam (1990) subordinated rights to Sharia; the 2004 Arab Charter is closer to the UDHR. (4) </w:t>
      </w:r>
      <w:r>
        <w:rPr>
          <w:b/>
          <w:bCs/>
          <w:sz w:val="22"/>
          <w:szCs w:val="22"/>
          <w:rFonts w:ascii="Arial" w:cs="Arial" w:eastAsia="Arial" w:hAnsi="Arial"/>
        </w:rPr>
        <w:t xml:space="preserve">Non-binding</w:t>
      </w:r>
      <w:r>
        <w:rPr>
          <w:sz w:val="22"/>
          <w:szCs w:val="22"/>
          <w:rFonts w:ascii="Arial" w:cs="Arial" w:eastAsia="Arial" w:hAnsi="Arial"/>
        </w:rPr>
        <w:t xml:space="preserve"> — the enforcement gap; answered by the Covenants and the customary-law argument. (5) </w:t>
      </w:r>
      <w:r>
        <w:rPr>
          <w:b/>
          <w:bCs/>
          <w:sz w:val="22"/>
          <w:szCs w:val="22"/>
          <w:rFonts w:ascii="Arial" w:cs="Arial" w:eastAsia="Arial" w:hAnsi="Arial"/>
        </w:rPr>
        <w:t xml:space="preserve">Property and the socialist critique</w:t>
      </w:r>
      <w:r>
        <w:rPr>
          <w:sz w:val="22"/>
          <w:szCs w:val="22"/>
          <w:rFonts w:ascii="Arial" w:cs="Arial" w:eastAsia="Arial" w:hAnsi="Arial"/>
        </w:rPr>
        <w:t xml:space="preserve"> — Art 17's protection of property and the absence of a right to self-determination (added in the Covenants' common Art 1). (6) </w:t>
      </w:r>
      <w:r>
        <w:rPr>
          <w:b/>
          <w:bCs/>
          <w:sz w:val="22"/>
          <w:szCs w:val="22"/>
          <w:rFonts w:ascii="Arial" w:cs="Arial" w:eastAsia="Arial" w:hAnsi="Arial"/>
        </w:rPr>
        <w:t xml:space="preserve">Feminist critique</w:t>
      </w:r>
      <w:r>
        <w:rPr>
          <w:sz w:val="22"/>
          <w:szCs w:val="22"/>
          <w:rFonts w:ascii="Arial" w:cs="Arial" w:eastAsia="Arial" w:hAnsi="Arial"/>
        </w:rPr>
        <w:t xml:space="preserve"> — the public/private divide (answered by CEDAW and Vienna). (7) </w:t>
      </w:r>
      <w:r>
        <w:rPr>
          <w:b/>
          <w:bCs/>
          <w:sz w:val="22"/>
          <w:szCs w:val="22"/>
          <w:rFonts w:ascii="Arial" w:cs="Arial" w:eastAsia="Arial" w:hAnsi="Arial"/>
        </w:rPr>
        <w:t xml:space="preserve">Silence on minorities and indigenous peoples</w:t>
      </w:r>
      <w:r>
        <w:rPr>
          <w:sz w:val="22"/>
          <w:szCs w:val="22"/>
          <w:rFonts w:ascii="Arial" w:cs="Arial" w:eastAsia="Arial" w:hAnsi="Arial"/>
        </w:rPr>
        <w:t xml:space="preserve"> (answered by Art 27 ICCPR, the 1992 and 2007 Declarations). The Declaration's defenders (Glendon's 'A World Made New', Morsink's history) show that it was a genuinely plural document, and the relativist debate has settled on Vienna's formula and on Sen's argument that the value of freedom is found in every tradition.</w:t>
      </w:r>
    </w:p>
    <w:p>
      <w:pPr>
        <w:pBdr>
          <w:left w:val="single" w:color="CC0000" w:sz="6" w:space="8"/>
        </w:pBdr>
        <w:spacing w:before="80" w:after="80"/>
        <w:ind w:left="300"/>
      </w:pPr>
      <w:r>
        <w:rPr>
          <w:b/>
          <w:bCs/>
          <w:color w:val="CC0000"/>
          <w:sz w:val="21"/>
          <w:szCs w:val="21"/>
          <w:rFonts w:ascii="Arial" w:cs="Arial" w:eastAsia="Arial" w:hAnsi="Arial"/>
        </w:rPr>
        <w:t xml:space="preserve">United States Diplomatic and Consular Staff in Tehran (United States v. Iran), ICJ 1980 — </w:t>
      </w:r>
      <w:r>
        <w:rPr>
          <w:sz w:val="21"/>
          <w:szCs w:val="21"/>
          <w:rFonts w:ascii="Arial" w:cs="Arial" w:eastAsia="Arial" w:hAnsi="Arial"/>
        </w:rPr>
        <w:t xml:space="preserve">Wrongfully depriving human beings of their freedom and subjecting them to physical constraint in conditions of hardship is 'manifestly incompatible with the principles of the Charter of the United Nations, as well as with the fundamental principles enunciated in the Universal Declaration of Human Rights' — the Court's first reliance on the Declaration.</w:t>
      </w:r>
    </w:p>
    <w:p>
      <w:pPr>
        <w:pBdr>
          <w:left w:val="single" w:color="CC0000" w:sz="6" w:space="8"/>
        </w:pBdr>
        <w:spacing w:before="80" w:after="80"/>
        <w:ind w:left="300"/>
      </w:pPr>
      <w:r>
        <w:rPr>
          <w:b/>
          <w:bCs/>
          <w:color w:val="CC0000"/>
          <w:sz w:val="21"/>
          <w:szCs w:val="21"/>
          <w:rFonts w:ascii="Arial" w:cs="Arial" w:eastAsia="Arial" w:hAnsi="Arial"/>
        </w:rPr>
        <w:t xml:space="preserve">Chairman, Railway Board v. Chandrima Das (2000) 2 SCC 465 — </w:t>
      </w:r>
      <w:r>
        <w:rPr>
          <w:sz w:val="21"/>
          <w:szCs w:val="21"/>
          <w:rFonts w:ascii="Arial" w:cs="Arial" w:eastAsia="Arial" w:hAnsi="Arial"/>
        </w:rPr>
        <w:t xml:space="preserve">A Bangladeshi woman gang-raped by railway employees at Howrah station was entitled to compensation under Art 21, which applies to non-citizens; the Court applied the Universal Declaration's principles (Arts 1, 2, 3, 5, 7, 9) as part of the law through Art 51(c) — 'the international covenants and declarations as adopted by the United Nations have to be respected by all signatory States and the meaning given to the above words in those declarations and covenants has to be such as would help in effective implementation of those rights'.</w:t>
      </w:r>
    </w:p>
    <w:p>
      <w:pPr>
        <w:pBdr>
          <w:left w:val="single" w:color="CC0000" w:sz="6" w:space="8"/>
        </w:pBdr>
        <w:spacing w:before="80" w:after="80"/>
        <w:ind w:left="300"/>
      </w:pPr>
      <w:r>
        <w:rPr>
          <w:b/>
          <w:bCs/>
          <w:color w:val="CC0000"/>
          <w:sz w:val="21"/>
          <w:szCs w:val="21"/>
          <w:rFonts w:ascii="Arial" w:cs="Arial" w:eastAsia="Arial" w:hAnsi="Arial"/>
        </w:rPr>
        <w:t xml:space="preserve">Kesavananda Bharati v. State of Kerala (1973) 4 SCC 225 (Sikri CJ) — </w:t>
      </w:r>
      <w:r>
        <w:rPr>
          <w:sz w:val="21"/>
          <w:szCs w:val="21"/>
          <w:rFonts w:ascii="Arial" w:cs="Arial" w:eastAsia="Arial" w:hAnsi="Arial"/>
        </w:rPr>
        <w:t xml:space="preserve">The Universal Declaration may not be a legally binding instrument but it shows how India understood the nature of human rights when the Constitution was adopted; the fundamental rights of Part III reflect it.</w:t>
      </w:r>
    </w:p>
    <w:p>
      <w:pPr>
        <w:pBdr>
          <w:left w:val="single" w:color="CC0000" w:sz="6" w:space="8"/>
        </w:pBdr>
        <w:spacing w:before="80" w:after="80"/>
        <w:ind w:left="300"/>
      </w:pPr>
      <w:r>
        <w:rPr>
          <w:b/>
          <w:bCs/>
          <w:color w:val="CC0000"/>
          <w:sz w:val="21"/>
          <w:szCs w:val="21"/>
          <w:rFonts w:ascii="Arial" w:cs="Arial" w:eastAsia="Arial" w:hAnsi="Arial"/>
        </w:rPr>
        <w:t xml:space="preserve">Vishaka v. State of Rajasthan (1997) 6 SCC 241 — </w:t>
      </w:r>
      <w:r>
        <w:rPr>
          <w:sz w:val="21"/>
          <w:szCs w:val="21"/>
          <w:rFonts w:ascii="Arial" w:cs="Arial" w:eastAsia="Arial" w:hAnsi="Arial"/>
        </w:rPr>
        <w:t xml:space="preserve">In the absence of domestic law, international conventions and norms (CEDAW) not inconsistent with the fundamental rights are read into Arts 14, 15, 19 and 21 to enlarge their meaning — the rule for using the Declaration and the treaties in Indian courts.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UDHR's official translations exceed 550 languages (the OHCHR's record); the 75th anniversary (2023) produced the 'Human Rights 75' pledges; and the Declaration's Art 19 — 'through any media and regardless of frontiers' — is the text the Human Rights Council applies to the internet, while Art 12's privacy is the basis of the 2013 'right to privacy in the digital age' resolutions after the Snowden revelations.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'Universal Declaration of Human Rights', 'Legal status of the UDHR', 'International Bill of Human Rights', 'Proclamation of Tehran', 'Vienna Declaration 1993', 'Hansa Mehta', 'Art 25 UDHR', 'Art 29 UDHR'. Part B: 'Discuss the drafting, contents and legal significance of the Universal Declaration of Human Rights' — the story, Cassin's portico, the table's groups, the four routes to legal status, Tehran, Vienna, the Indian cases; or 'Is the Universal Declaration binding? Examine the customary-law argument'; or 'Compare the Proclamation of Tehran and the Vienna Declaration'. Part C: a State that never ratified the Covenants tortures a detainee — the prohibition of torture is customary law and jus cogens (Filartiga, Belgium v. Senegal), the UDHR's Art 5 binds; an Indian court is asked to apply Art 25 UDHR to a starvation death — Chandrima Das, Art 51(c), PUCL's food case under Art 21; a State argues the Declaration is Western and inapplicable to its culture — Vienna I.1 and I.5; the drafters' plurality; Sen.</w:t>
      </w:r>
    </w:p>
    <w:p>
      <w:r>
        <w:br w:type="page"/>
      </w:r>
    </w:p>
    <w:p>
      <w:pPr>
        <w:pStyle w:val="Heading1"/>
        <w:spacing w:before="480" w:after="200"/>
      </w:pPr>
      <w:r>
        <w:rPr>
          <w:b/>
          <w:bCs/>
          <w:color w:val="1F4E79"/>
          <w:sz w:val="32"/>
          <w:szCs w:val="32"/>
          <w:rFonts w:ascii="Arial" w:cs="Arial" w:eastAsia="Arial" w:hAnsi="Arial"/>
        </w:rPr>
        <w:t xml:space="preserve">Episode 04 — The Two Covenants: Toonen v Australia, the ICCPR and the ICESCR</w:t>
      </w:r>
    </w:p>
    <w:p>
      <w:pPr>
        <w:pStyle w:val="Heading2"/>
        <w:spacing w:before="360" w:after="160"/>
      </w:pPr>
      <w:r>
        <w:rPr>
          <w:b/>
          <w:bCs/>
          <w:color w:val="2E75B6"/>
          <w:sz w:val="26"/>
          <w:szCs w:val="26"/>
          <w:rFonts w:ascii="Arial" w:cs="Arial" w:eastAsia="Arial" w:hAnsi="Arial"/>
        </w:rPr>
        <w:t xml:space="preserve">Covers: Why two Covenants — the Cold War split · The International Covenant on Civil and Political Rights — the rights, the limitation clauses, derogation (Art 4), the Human Rights Committee, the reporting and communication procedures, the two Optional Protocols · The International Covenant on Economic, Social and Cultural Rights — the rights, progressive realisation (Art 2(1)), minimum core, the CESCR, the 2008 Optional Protocol · India's ratification and reservations · The Covenants in Indian courts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Hobart, Tasmania, 1991. Nicholas Toonen was a gay activist in the one Australian State whose Criminal Code still made sex between consenting adult men a crime, punishable by twenty-one years. The Tasmanian Parliament would not repeal Sections 122 and 123, and the federal Government said it could not force it. Australia had ratified the First Optional Protocol to the International Covenant on Civil and Political Rights in 1991, and Toonen filed a communication with the Human Rights Committee in Geneva: the law, even unenforced, violated his privacy under Article 17 and discriminated against him contrary to Articles 2 and 26. Tasmania answered that the law protected public health and morals — the margin every State claims. The Committee's views of 31 March 1994 were the first international decision that sexual orientation is protected by human rights law. The criminalisation of private homosexual conduct was an 'arbitrary interference' with privacy; morality is not a matter exclusively of domestic concern when it is used to deny the rights of a minority; the reference to 'sex' in Articles 2 and 26 includes sexual orientation. The Committee recommended repeal. The Australian Parliament passed the Human Rights (Sexual Conduct) Act 1994 to override the Tasmanian provisions, and Tasmania repealed them in 1997. Toonen shows what the Covenant is — a treaty with a body that reads it, hears individuals, and expects States to comply — and what it is not — a court whose judgments bind; its 'views' worked in Australia because the federal Government chose to act, and Toonen's reasoning became a source for courts across the world, including the Delhi High Court in Naz Foundation (2009) and the Supreme Court in Navtej Singh Johar (2018), which cited it in reading down Section 377.</w:t>
      </w:r>
    </w:p>
    <w:p>
      <w:pPr>
        <w:spacing w:before="240" w:after="120"/>
      </w:pPr>
      <w:r>
        <w:rPr>
          <w:b/>
          <w:bCs/>
          <w:color w:val="404040"/>
          <w:sz w:val="23"/>
          <w:szCs w:val="23"/>
          <w:rFonts w:ascii="Arial" w:cs="Arial" w:eastAsia="Arial" w:hAnsi="Arial"/>
        </w:rPr>
        <w:t xml:space="preserve">Why two Covenants</w:t>
      </w:r>
    </w:p>
    <w:p>
      <w:pPr>
        <w:spacing w:after="120" w:line="300"/>
        <w:jc w:val="both"/>
      </w:pPr>
      <w:r>
        <w:rPr>
          <w:sz w:val="22"/>
          <w:szCs w:val="22"/>
          <w:rFonts w:ascii="Arial" w:cs="Arial" w:eastAsia="Arial" w:hAnsi="Arial"/>
        </w:rPr>
        <w:t xml:space="preserve">The Commission's plan of 1946 was a single convention; by 1951 the General Assembly, at Western insistence, had decided on two — the Western States arguing that civil and political rights are immediately enforceable, justiciable, 'negative' rights suited to a court-like machinery, while economic and social rights are programmatic, resource-dependent and best supervised through reports; the socialist and many developing States wanting one covenant on the ground of indivisibility (the 1950 Assembly resolution 421(V) had said the two sets of rights are 'interconnected and interdependent'). The compromise: two Covenants, adopted together on 16 December 1966 (Resolution 2200A (XXI)), with common Preambles and a common Art 1 (self-determination), Art 3 (equal rights of men and women) and Art 5 (no destruction of rights), to be opened for signature together. The ICESCR entered into force on 3 January 1976 and the ICCPR on 23 March 1976; today the ICCPR has 173 parties and the ICESCR 171; the United States has not ratified the ICESCR, China has not ratified the ICCPR; India ratified both on 10 April 1979.</w:t>
      </w:r>
    </w:p>
    <w:p>
      <w:pPr>
        <w:spacing w:before="240" w:after="120"/>
      </w:pPr>
      <w:r>
        <w:rPr>
          <w:b/>
          <w:bCs/>
          <w:color w:val="404040"/>
          <w:sz w:val="23"/>
          <w:szCs w:val="23"/>
          <w:rFonts w:ascii="Arial" w:cs="Arial" w:eastAsia="Arial" w:hAnsi="Arial"/>
        </w:rPr>
        <w:t xml:space="preserve">The ICCPR — the rights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Part I — Art 1</w:t>
      </w:r>
      <w:r>
        <w:rPr>
          <w:sz w:val="22"/>
          <w:szCs w:val="22"/>
          <w:rFonts w:ascii="Arial" w:cs="Arial" w:eastAsia="Arial" w:hAnsi="Arial"/>
        </w:rPr>
        <w:t xml:space="preserve">: all peoples have the right of self-determination; to freely dispose of their natural wealth and resources; the parties' duty to promote it. </w:t>
      </w:r>
      <w:r>
        <w:rPr>
          <w:b/>
          <w:bCs/>
          <w:sz w:val="22"/>
          <w:szCs w:val="22"/>
          <w:rFonts w:ascii="Arial" w:cs="Arial" w:eastAsia="Arial" w:hAnsi="Arial"/>
        </w:rPr>
        <w:t xml:space="preserve">Part II — the general provisions</w:t>
      </w:r>
      <w:r>
        <w:rPr>
          <w:sz w:val="22"/>
          <w:szCs w:val="22"/>
          <w:rFonts w:ascii="Arial" w:cs="Arial" w:eastAsia="Arial" w:hAnsi="Arial"/>
        </w:rPr>
        <w:t xml:space="preserve">: </w:t>
      </w:r>
      <w:r>
        <w:rPr>
          <w:b/>
          <w:bCs/>
          <w:sz w:val="22"/>
          <w:szCs w:val="22"/>
          <w:rFonts w:ascii="Arial" w:cs="Arial" w:eastAsia="Arial" w:hAnsi="Arial"/>
        </w:rPr>
        <w:t xml:space="preserve">Art 2</w:t>
      </w:r>
      <w:r>
        <w:rPr>
          <w:sz w:val="22"/>
          <w:szCs w:val="22"/>
          <w:rFonts w:ascii="Arial" w:cs="Arial" w:eastAsia="Arial" w:hAnsi="Arial"/>
        </w:rPr>
        <w:t xml:space="preserve"> — each party undertakes to </w:t>
      </w:r>
      <w:r>
        <w:rPr>
          <w:b/>
          <w:bCs/>
          <w:sz w:val="22"/>
          <w:szCs w:val="22"/>
          <w:rFonts w:ascii="Arial" w:cs="Arial" w:eastAsia="Arial" w:hAnsi="Arial"/>
        </w:rPr>
        <w:t xml:space="preserve">respect and to ensure</w:t>
      </w:r>
      <w:r>
        <w:rPr>
          <w:sz w:val="22"/>
          <w:szCs w:val="22"/>
          <w:rFonts w:ascii="Arial" w:cs="Arial" w:eastAsia="Arial" w:hAnsi="Arial"/>
        </w:rPr>
        <w:t xml:space="preserve"> to all individuals within its territory and subject to its jurisdiction the rights recognised, without distinction of any kind; to adopt laws and measures to give effect to them; and to ensure an </w:t>
      </w:r>
      <w:r>
        <w:rPr>
          <w:b/>
          <w:bCs/>
          <w:sz w:val="22"/>
          <w:szCs w:val="22"/>
          <w:rFonts w:ascii="Arial" w:cs="Arial" w:eastAsia="Arial" w:hAnsi="Arial"/>
        </w:rPr>
        <w:t xml:space="preserve">effective remedy</w:t>
      </w:r>
      <w:r>
        <w:rPr>
          <w:sz w:val="22"/>
          <w:szCs w:val="22"/>
          <w:rFonts w:ascii="Arial" w:cs="Arial" w:eastAsia="Arial" w:hAnsi="Arial"/>
        </w:rPr>
        <w:t xml:space="preserve"> (the obligations of result and conduct; General Comment 31 on the nature of the obligation — including positive obligations and horizontal effect); </w:t>
      </w:r>
      <w:r>
        <w:rPr>
          <w:b/>
          <w:bCs/>
          <w:sz w:val="22"/>
          <w:szCs w:val="22"/>
          <w:rFonts w:ascii="Arial" w:cs="Arial" w:eastAsia="Arial" w:hAnsi="Arial"/>
        </w:rPr>
        <w:t xml:space="preserve">Art 3</w:t>
      </w:r>
      <w:r>
        <w:rPr>
          <w:sz w:val="22"/>
          <w:szCs w:val="22"/>
          <w:rFonts w:ascii="Arial" w:cs="Arial" w:eastAsia="Arial" w:hAnsi="Arial"/>
        </w:rPr>
        <w:t xml:space="preserve"> — equal rights of men and women; </w:t>
      </w:r>
      <w:r>
        <w:rPr>
          <w:b/>
          <w:bCs/>
          <w:sz w:val="22"/>
          <w:szCs w:val="22"/>
          <w:rFonts w:ascii="Arial" w:cs="Arial" w:eastAsia="Arial" w:hAnsi="Arial"/>
        </w:rPr>
        <w:t xml:space="preserve">Art 4 — derogation</w:t>
      </w:r>
      <w:r>
        <w:rPr>
          <w:sz w:val="22"/>
          <w:szCs w:val="22"/>
          <w:rFonts w:ascii="Arial" w:cs="Arial" w:eastAsia="Arial" w:hAnsi="Arial"/>
        </w:rPr>
        <w:t xml:space="preserve">: in time of public emergency which threatens the life of the nation and the existence of which is officially proclaimed, the parties may take measures derogating from their obligations 'to the extent strictly required by the exigencies of the situation', provided the measures are not inconsistent with their other international obligations and do not discriminate solely on race, colour, sex, language, religion or social origin; </w:t>
      </w:r>
      <w:r>
        <w:rPr>
          <w:b/>
          <w:bCs/>
          <w:sz w:val="22"/>
          <w:szCs w:val="22"/>
          <w:rFonts w:ascii="Arial" w:cs="Arial" w:eastAsia="Arial" w:hAnsi="Arial"/>
        </w:rPr>
        <w:t xml:space="preserve">no derogation</w:t>
      </w:r>
      <w:r>
        <w:rPr>
          <w:sz w:val="22"/>
          <w:szCs w:val="22"/>
          <w:rFonts w:ascii="Arial" w:cs="Arial" w:eastAsia="Arial" w:hAnsi="Arial"/>
        </w:rPr>
        <w:t xml:space="preserve"> from Arts 6 (life), 7 (torture), 8(1)-(2) (slavery), 11 (imprisonment for contract), 15 (retroactivity), 16 (legal personality) and 18 (thought, conscience, religion); notification to the Secretary-General (General Comment 29, 2001: the fair-trial and habeas corpus guarantees are also non-derogable in substance); </w:t>
      </w:r>
      <w:r>
        <w:rPr>
          <w:b/>
          <w:bCs/>
          <w:sz w:val="22"/>
          <w:szCs w:val="22"/>
          <w:rFonts w:ascii="Arial" w:cs="Arial" w:eastAsia="Arial" w:hAnsi="Arial"/>
        </w:rPr>
        <w:t xml:space="preserve">Art 5</w:t>
      </w:r>
      <w:r>
        <w:rPr>
          <w:sz w:val="22"/>
          <w:szCs w:val="22"/>
          <w:rFonts w:ascii="Arial" w:cs="Arial" w:eastAsia="Arial" w:hAnsi="Arial"/>
        </w:rPr>
        <w:t xml:space="preserve"> — no destruction or excessive limitation of rights. </w:t>
      </w:r>
      <w:r>
        <w:rPr>
          <w:b/>
          <w:bCs/>
          <w:sz w:val="22"/>
          <w:szCs w:val="22"/>
          <w:rFonts w:ascii="Arial" w:cs="Arial" w:eastAsia="Arial" w:hAnsi="Arial"/>
        </w:rPr>
        <w:t xml:space="preserve">Part III — the substantive rights</w:t>
      </w:r>
      <w:r>
        <w:rPr>
          <w:sz w:val="22"/>
          <w:szCs w:val="22"/>
          <w:rFonts w:ascii="Arial" w:cs="Arial" w:eastAsia="Arial" w:hAnsi="Arial"/>
        </w:rPr>
        <w:t xml:space="preserve">: </w:t>
      </w:r>
      <w:r>
        <w:rPr>
          <w:b/>
          <w:bCs/>
          <w:sz w:val="22"/>
          <w:szCs w:val="22"/>
          <w:rFonts w:ascii="Arial" w:cs="Arial" w:eastAsia="Arial" w:hAnsi="Arial"/>
        </w:rPr>
        <w:t xml:space="preserve">Art 6</w:t>
      </w:r>
      <w:r>
        <w:rPr>
          <w:sz w:val="22"/>
          <w:szCs w:val="22"/>
          <w:rFonts w:ascii="Arial" w:cs="Arial" w:eastAsia="Arial" w:hAnsi="Arial"/>
        </w:rPr>
        <w:t xml:space="preserve"> — the right to life, inherent, protected by law, no arbitrary deprivation; the death penalty only for the most serious crimes, by final judgment, not for persons under eighteen or pregnant women, with the right to seek pardon; genocide prohibited (General Comment 36, 2018); </w:t>
      </w:r>
      <w:r>
        <w:rPr>
          <w:b/>
          <w:bCs/>
          <w:sz w:val="22"/>
          <w:szCs w:val="22"/>
          <w:rFonts w:ascii="Arial" w:cs="Arial" w:eastAsia="Arial" w:hAnsi="Arial"/>
        </w:rPr>
        <w:t xml:space="preserve">Art 7</w:t>
      </w:r>
      <w:r>
        <w:rPr>
          <w:sz w:val="22"/>
          <w:szCs w:val="22"/>
          <w:rFonts w:ascii="Arial" w:cs="Arial" w:eastAsia="Arial" w:hAnsi="Arial"/>
        </w:rPr>
        <w:t xml:space="preserve"> — no torture or cruel, inhuman or degrading treatment or punishment; no medical or scientific experimentation without consent; </w:t>
      </w:r>
      <w:r>
        <w:rPr>
          <w:b/>
          <w:bCs/>
          <w:sz w:val="22"/>
          <w:szCs w:val="22"/>
          <w:rFonts w:ascii="Arial" w:cs="Arial" w:eastAsia="Arial" w:hAnsi="Arial"/>
        </w:rPr>
        <w:t xml:space="preserve">Art 8</w:t>
      </w:r>
      <w:r>
        <w:rPr>
          <w:sz w:val="22"/>
          <w:szCs w:val="22"/>
          <w:rFonts w:ascii="Arial" w:cs="Arial" w:eastAsia="Arial" w:hAnsi="Arial"/>
        </w:rPr>
        <w:t xml:space="preserve"> — no slavery, servitude, forced or compulsory labour; </w:t>
      </w:r>
      <w:r>
        <w:rPr>
          <w:b/>
          <w:bCs/>
          <w:sz w:val="22"/>
          <w:szCs w:val="22"/>
          <w:rFonts w:ascii="Arial" w:cs="Arial" w:eastAsia="Arial" w:hAnsi="Arial"/>
        </w:rPr>
        <w:t xml:space="preserve">Art 9</w:t>
      </w:r>
      <w:r>
        <w:rPr>
          <w:sz w:val="22"/>
          <w:szCs w:val="22"/>
          <w:rFonts w:ascii="Arial" w:cs="Arial" w:eastAsia="Arial" w:hAnsi="Arial"/>
        </w:rPr>
        <w:t xml:space="preserve"> — liberty and security; no arbitrary arrest or detention; reasons and charges promptly; prompt production before a judge; trial within a reasonable time or release; habeas corpus; </w:t>
      </w:r>
      <w:r>
        <w:rPr>
          <w:b/>
          <w:bCs/>
          <w:sz w:val="22"/>
          <w:szCs w:val="22"/>
          <w:rFonts w:ascii="Arial" w:cs="Arial" w:eastAsia="Arial" w:hAnsi="Arial"/>
        </w:rPr>
        <w:t xml:space="preserve">compensation</w:t>
      </w:r>
      <w:r>
        <w:rPr>
          <w:sz w:val="22"/>
          <w:szCs w:val="22"/>
          <w:rFonts w:ascii="Arial" w:cs="Arial" w:eastAsia="Arial" w:hAnsi="Arial"/>
        </w:rPr>
        <w:t xml:space="preserve"> for unlawful arrest (Art 9(5) — Nilabati Behera, 1993, applied it in India); </w:t>
      </w:r>
      <w:r>
        <w:rPr>
          <w:b/>
          <w:bCs/>
          <w:sz w:val="22"/>
          <w:szCs w:val="22"/>
          <w:rFonts w:ascii="Arial" w:cs="Arial" w:eastAsia="Arial" w:hAnsi="Arial"/>
        </w:rPr>
        <w:t xml:space="preserve">Art 10</w:t>
      </w:r>
      <w:r>
        <w:rPr>
          <w:sz w:val="22"/>
          <w:szCs w:val="22"/>
          <w:rFonts w:ascii="Arial" w:cs="Arial" w:eastAsia="Arial" w:hAnsi="Arial"/>
        </w:rPr>
        <w:t xml:space="preserve"> — humane treatment of detainees; separation of accused from convicted, juveniles from adults; the aim of reformation; </w:t>
      </w:r>
      <w:r>
        <w:rPr>
          <w:b/>
          <w:bCs/>
          <w:sz w:val="22"/>
          <w:szCs w:val="22"/>
          <w:rFonts w:ascii="Arial" w:cs="Arial" w:eastAsia="Arial" w:hAnsi="Arial"/>
        </w:rPr>
        <w:t xml:space="preserve">Art 11</w:t>
      </w:r>
      <w:r>
        <w:rPr>
          <w:sz w:val="22"/>
          <w:szCs w:val="22"/>
          <w:rFonts w:ascii="Arial" w:cs="Arial" w:eastAsia="Arial" w:hAnsi="Arial"/>
        </w:rPr>
        <w:t xml:space="preserve"> — no imprisonment for inability to fulfil a contractual obligation (Jolly George Varghese v. Bank of Cochin, 1980 — Sec 51 CPC read consistently); </w:t>
      </w:r>
      <w:r>
        <w:rPr>
          <w:b/>
          <w:bCs/>
          <w:sz w:val="22"/>
          <w:szCs w:val="22"/>
          <w:rFonts w:ascii="Arial" w:cs="Arial" w:eastAsia="Arial" w:hAnsi="Arial"/>
        </w:rPr>
        <w:t xml:space="preserve">Art 12</w:t>
      </w:r>
      <w:r>
        <w:rPr>
          <w:sz w:val="22"/>
          <w:szCs w:val="22"/>
          <w:rFonts w:ascii="Arial" w:cs="Arial" w:eastAsia="Arial" w:hAnsi="Arial"/>
        </w:rPr>
        <w:t xml:space="preserve"> — liberty of movement and residence; the right to leave any country and to enter one's own; </w:t>
      </w:r>
      <w:r>
        <w:rPr>
          <w:b/>
          <w:bCs/>
          <w:sz w:val="22"/>
          <w:szCs w:val="22"/>
          <w:rFonts w:ascii="Arial" w:cs="Arial" w:eastAsia="Arial" w:hAnsi="Arial"/>
        </w:rPr>
        <w:t xml:space="preserve">Art 13</w:t>
      </w:r>
      <w:r>
        <w:rPr>
          <w:sz w:val="22"/>
          <w:szCs w:val="22"/>
          <w:rFonts w:ascii="Arial" w:cs="Arial" w:eastAsia="Arial" w:hAnsi="Arial"/>
        </w:rPr>
        <w:t xml:space="preserve"> — expulsion of aliens only by law with a hearing; </w:t>
      </w:r>
      <w:r>
        <w:rPr>
          <w:b/>
          <w:bCs/>
          <w:sz w:val="22"/>
          <w:szCs w:val="22"/>
          <w:rFonts w:ascii="Arial" w:cs="Arial" w:eastAsia="Arial" w:hAnsi="Arial"/>
        </w:rPr>
        <w:t xml:space="preserve">Art 14</w:t>
      </w:r>
      <w:r>
        <w:rPr>
          <w:sz w:val="22"/>
          <w:szCs w:val="22"/>
          <w:rFonts w:ascii="Arial" w:cs="Arial" w:eastAsia="Arial" w:hAnsi="Arial"/>
        </w:rPr>
        <w:t xml:space="preserve"> — fair trial: equality before courts; a fair and public hearing by a competent, independent and impartial tribunal; presumption of innocence; the minimum guarantees (information of the charge, time and facilities, trial without undue delay, presence and counsel, legal aid, witnesses, interpreter, no self-incrimination); juveniles; appeal; compensation for miscarriage of justice; no double jeopardy; </w:t>
      </w:r>
      <w:r>
        <w:rPr>
          <w:b/>
          <w:bCs/>
          <w:sz w:val="22"/>
          <w:szCs w:val="22"/>
          <w:rFonts w:ascii="Arial" w:cs="Arial" w:eastAsia="Arial" w:hAnsi="Arial"/>
        </w:rPr>
        <w:t xml:space="preserve">Art 15</w:t>
      </w:r>
      <w:r>
        <w:rPr>
          <w:sz w:val="22"/>
          <w:szCs w:val="22"/>
          <w:rFonts w:ascii="Arial" w:cs="Arial" w:eastAsia="Arial" w:hAnsi="Arial"/>
        </w:rPr>
        <w:t xml:space="preserve"> — no retroactive criminal law; the lighter penalty; </w:t>
      </w:r>
      <w:r>
        <w:rPr>
          <w:b/>
          <w:bCs/>
          <w:sz w:val="22"/>
          <w:szCs w:val="22"/>
          <w:rFonts w:ascii="Arial" w:cs="Arial" w:eastAsia="Arial" w:hAnsi="Arial"/>
        </w:rPr>
        <w:t xml:space="preserve">Art 16</w:t>
      </w:r>
      <w:r>
        <w:rPr>
          <w:sz w:val="22"/>
          <w:szCs w:val="22"/>
          <w:rFonts w:ascii="Arial" w:cs="Arial" w:eastAsia="Arial" w:hAnsi="Arial"/>
        </w:rPr>
        <w:t xml:space="preserve"> — recognition as a person; </w:t>
      </w:r>
      <w:r>
        <w:rPr>
          <w:b/>
          <w:bCs/>
          <w:sz w:val="22"/>
          <w:szCs w:val="22"/>
          <w:rFonts w:ascii="Arial" w:cs="Arial" w:eastAsia="Arial" w:hAnsi="Arial"/>
        </w:rPr>
        <w:t xml:space="preserve">Art 17</w:t>
      </w:r>
      <w:r>
        <w:rPr>
          <w:sz w:val="22"/>
          <w:szCs w:val="22"/>
          <w:rFonts w:ascii="Arial" w:cs="Arial" w:eastAsia="Arial" w:hAnsi="Arial"/>
        </w:rPr>
        <w:t xml:space="preserve"> — no arbitrary or unlawful interference with privacy, family, home or correspondence, or attacks on honour (Toonen; PUCL v. Union of India, 1997 — telephone tapping); </w:t>
      </w:r>
      <w:r>
        <w:rPr>
          <w:b/>
          <w:bCs/>
          <w:sz w:val="22"/>
          <w:szCs w:val="22"/>
          <w:rFonts w:ascii="Arial" w:cs="Arial" w:eastAsia="Arial" w:hAnsi="Arial"/>
        </w:rPr>
        <w:t xml:space="preserve">Art 18</w:t>
      </w:r>
      <w:r>
        <w:rPr>
          <w:sz w:val="22"/>
          <w:szCs w:val="22"/>
          <w:rFonts w:ascii="Arial" w:cs="Arial" w:eastAsia="Arial" w:hAnsi="Arial"/>
        </w:rPr>
        <w:t xml:space="preserve"> — thought, conscience and religion, including to adopt a religion; manifestation subject to limitations prescribed by law and necessary to protect public safety, order, health, morals or the rights of others; no coercion; parents' liberty; </w:t>
      </w:r>
      <w:r>
        <w:rPr>
          <w:b/>
          <w:bCs/>
          <w:sz w:val="22"/>
          <w:szCs w:val="22"/>
          <w:rFonts w:ascii="Arial" w:cs="Arial" w:eastAsia="Arial" w:hAnsi="Arial"/>
        </w:rPr>
        <w:t xml:space="preserve">Art 19</w:t>
      </w:r>
      <w:r>
        <w:rPr>
          <w:sz w:val="22"/>
          <w:szCs w:val="22"/>
          <w:rFonts w:ascii="Arial" w:cs="Arial" w:eastAsia="Arial" w:hAnsi="Arial"/>
        </w:rPr>
        <w:t xml:space="preserve"> — opinion (absolute) and expression, including to seek, receive and impart information; restrictions only as provided by law and necessary for the rights or reputations of others, national security, public order, public health or morals (General Comment 34, 2011); </w:t>
      </w:r>
      <w:r>
        <w:rPr>
          <w:b/>
          <w:bCs/>
          <w:sz w:val="22"/>
          <w:szCs w:val="22"/>
          <w:rFonts w:ascii="Arial" w:cs="Arial" w:eastAsia="Arial" w:hAnsi="Arial"/>
        </w:rPr>
        <w:t xml:space="preserve">Art 20</w:t>
      </w:r>
      <w:r>
        <w:rPr>
          <w:sz w:val="22"/>
          <w:szCs w:val="22"/>
          <w:rFonts w:ascii="Arial" w:cs="Arial" w:eastAsia="Arial" w:hAnsi="Arial"/>
        </w:rPr>
        <w:t xml:space="preserve"> — propaganda for war and advocacy of national, racial or religious hatred constituting incitement to be prohibited by law (India's reservation: only to the extent of Art 19 of the Constitution); </w:t>
      </w:r>
      <w:r>
        <w:rPr>
          <w:b/>
          <w:bCs/>
          <w:sz w:val="22"/>
          <w:szCs w:val="22"/>
          <w:rFonts w:ascii="Arial" w:cs="Arial" w:eastAsia="Arial" w:hAnsi="Arial"/>
        </w:rPr>
        <w:t xml:space="preserve">Art 21</w:t>
      </w:r>
      <w:r>
        <w:rPr>
          <w:sz w:val="22"/>
          <w:szCs w:val="22"/>
          <w:rFonts w:ascii="Arial" w:cs="Arial" w:eastAsia="Arial" w:hAnsi="Arial"/>
        </w:rPr>
        <w:t xml:space="preserve"> — peaceful assembly; </w:t>
      </w:r>
      <w:r>
        <w:rPr>
          <w:b/>
          <w:bCs/>
          <w:sz w:val="22"/>
          <w:szCs w:val="22"/>
          <w:rFonts w:ascii="Arial" w:cs="Arial" w:eastAsia="Arial" w:hAnsi="Arial"/>
        </w:rPr>
        <w:t xml:space="preserve">Art 22</w:t>
      </w:r>
      <w:r>
        <w:rPr>
          <w:sz w:val="22"/>
          <w:szCs w:val="22"/>
          <w:rFonts w:ascii="Arial" w:cs="Arial" w:eastAsia="Arial" w:hAnsi="Arial"/>
        </w:rPr>
        <w:t xml:space="preserve"> — association and trade unions; </w:t>
      </w:r>
      <w:r>
        <w:rPr>
          <w:b/>
          <w:bCs/>
          <w:sz w:val="22"/>
          <w:szCs w:val="22"/>
          <w:rFonts w:ascii="Arial" w:cs="Arial" w:eastAsia="Arial" w:hAnsi="Arial"/>
        </w:rPr>
        <w:t xml:space="preserve">Art 23</w:t>
      </w:r>
      <w:r>
        <w:rPr>
          <w:sz w:val="22"/>
          <w:szCs w:val="22"/>
          <w:rFonts w:ascii="Arial" w:cs="Arial" w:eastAsia="Arial" w:hAnsi="Arial"/>
        </w:rPr>
        <w:t xml:space="preserve"> — the family; the right to marry with free and full consent; equality of spouses; </w:t>
      </w:r>
      <w:r>
        <w:rPr>
          <w:b/>
          <w:bCs/>
          <w:sz w:val="22"/>
          <w:szCs w:val="22"/>
          <w:rFonts w:ascii="Arial" w:cs="Arial" w:eastAsia="Arial" w:hAnsi="Arial"/>
        </w:rPr>
        <w:t xml:space="preserve">Art 24</w:t>
      </w:r>
      <w:r>
        <w:rPr>
          <w:sz w:val="22"/>
          <w:szCs w:val="22"/>
          <w:rFonts w:ascii="Arial" w:cs="Arial" w:eastAsia="Arial" w:hAnsi="Arial"/>
        </w:rPr>
        <w:t xml:space="preserve"> — the child's right to protection, registration, name and nationality; </w:t>
      </w:r>
      <w:r>
        <w:rPr>
          <w:b/>
          <w:bCs/>
          <w:sz w:val="22"/>
          <w:szCs w:val="22"/>
          <w:rFonts w:ascii="Arial" w:cs="Arial" w:eastAsia="Arial" w:hAnsi="Arial"/>
        </w:rPr>
        <w:t xml:space="preserve">Art 25</w:t>
      </w:r>
      <w:r>
        <w:rPr>
          <w:sz w:val="22"/>
          <w:szCs w:val="22"/>
          <w:rFonts w:ascii="Arial" w:cs="Arial" w:eastAsia="Arial" w:hAnsi="Arial"/>
        </w:rPr>
        <w:t xml:space="preserve"> — to take part in public affairs, to vote and be elected at genuine periodic elections by universal and equal suffrage and secret ballot, and equal access to public service; </w:t>
      </w:r>
      <w:r>
        <w:rPr>
          <w:b/>
          <w:bCs/>
          <w:sz w:val="22"/>
          <w:szCs w:val="22"/>
          <w:rFonts w:ascii="Arial" w:cs="Arial" w:eastAsia="Arial" w:hAnsi="Arial"/>
        </w:rPr>
        <w:t xml:space="preserve">Art 26</w:t>
      </w:r>
      <w:r>
        <w:rPr>
          <w:sz w:val="22"/>
          <w:szCs w:val="22"/>
          <w:rFonts w:ascii="Arial" w:cs="Arial" w:eastAsia="Arial" w:hAnsi="Arial"/>
        </w:rPr>
        <w:t xml:space="preserve"> — equality before the law and equal protection; the law shall prohibit discrimination on any ground (a free-standing equality guarantee — Broeks v. Netherlands, 1987, applied it to social security); </w:t>
      </w:r>
      <w:r>
        <w:rPr>
          <w:b/>
          <w:bCs/>
          <w:sz w:val="22"/>
          <w:szCs w:val="22"/>
          <w:rFonts w:ascii="Arial" w:cs="Arial" w:eastAsia="Arial" w:hAnsi="Arial"/>
        </w:rPr>
        <w:t xml:space="preserve">Art 27</w:t>
      </w:r>
      <w:r>
        <w:rPr>
          <w:sz w:val="22"/>
          <w:szCs w:val="22"/>
          <w:rFonts w:ascii="Arial" w:cs="Arial" w:eastAsia="Arial" w:hAnsi="Arial"/>
        </w:rPr>
        <w:t xml:space="preserve"> — persons belonging to ethnic, religious or linguistic minorities shall not be denied the right, in community with the other members, to enjoy their culture, profess their religion, or use their language (Lovelace v. Canada, 1981; Kitok; Lubicon Lake Band). </w:t>
      </w:r>
      <w:r>
        <w:rPr>
          <w:b/>
          <w:bCs/>
          <w:sz w:val="22"/>
          <w:szCs w:val="22"/>
          <w:rFonts w:ascii="Arial" w:cs="Arial" w:eastAsia="Arial" w:hAnsi="Arial"/>
        </w:rPr>
        <w:t xml:space="preserve">Part IV — the Human Rights Committee</w:t>
      </w:r>
      <w:r>
        <w:rPr>
          <w:sz w:val="22"/>
          <w:szCs w:val="22"/>
          <w:rFonts w:ascii="Arial" w:cs="Arial" w:eastAsia="Arial" w:hAnsi="Arial"/>
        </w:rPr>
        <w:t xml:space="preserve"> (Arts 28-45); </w:t>
      </w:r>
      <w:r>
        <w:rPr>
          <w:b/>
          <w:bCs/>
          <w:sz w:val="22"/>
          <w:szCs w:val="22"/>
          <w:rFonts w:ascii="Arial" w:cs="Arial" w:eastAsia="Arial" w:hAnsi="Arial"/>
        </w:rPr>
        <w:t xml:space="preserve">Part V</w:t>
      </w:r>
      <w:r>
        <w:rPr>
          <w:sz w:val="22"/>
          <w:szCs w:val="22"/>
          <w:rFonts w:ascii="Arial" w:cs="Arial" w:eastAsia="Arial" w:hAnsi="Arial"/>
        </w:rPr>
        <w:t xml:space="preserve"> — savings (Arts 46-47); </w:t>
      </w:r>
      <w:r>
        <w:rPr>
          <w:b/>
          <w:bCs/>
          <w:sz w:val="22"/>
          <w:szCs w:val="22"/>
          <w:rFonts w:ascii="Arial" w:cs="Arial" w:eastAsia="Arial" w:hAnsi="Arial"/>
        </w:rPr>
        <w:t xml:space="preserve">Part VI</w:t>
      </w:r>
      <w:r>
        <w:rPr>
          <w:sz w:val="22"/>
          <w:szCs w:val="22"/>
          <w:rFonts w:ascii="Arial" w:cs="Arial" w:eastAsia="Arial" w:hAnsi="Arial"/>
        </w:rPr>
        <w:t xml:space="preserve"> — final clauses (Arts 48-53).</w:t>
      </w:r>
    </w:p>
    <w:p>
      <w:pPr>
        <w:spacing w:before="240" w:after="120"/>
      </w:pPr>
      <w:r>
        <w:rPr>
          <w:b/>
          <w:bCs/>
          <w:color w:val="404040"/>
          <w:sz w:val="23"/>
          <w:szCs w:val="23"/>
          <w:rFonts w:ascii="Arial" w:cs="Arial" w:eastAsia="Arial" w:hAnsi="Arial"/>
        </w:rPr>
        <w:t xml:space="preserve">The Human Rights Committee and its procedures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Art 28-39</w:t>
      </w:r>
      <w:r>
        <w:rPr>
          <w:sz w:val="22"/>
          <w:szCs w:val="22"/>
          <w:rFonts w:ascii="Arial" w:cs="Arial" w:eastAsia="Arial" w:hAnsi="Arial"/>
        </w:rPr>
        <w:t xml:space="preserve">: eighteen members of high moral character and recognised competence in human rights, nationals of the parties, elected by the parties for four years in their personal capacity, with consideration to equitable geographical distribution and legal experience; meets three times a year (Geneva and New York). </w:t>
      </w:r>
      <w:r>
        <w:rPr>
          <w:b/>
          <w:bCs/>
          <w:sz w:val="22"/>
          <w:szCs w:val="22"/>
          <w:rFonts w:ascii="Arial" w:cs="Arial" w:eastAsia="Arial" w:hAnsi="Arial"/>
        </w:rPr>
        <w:t xml:space="preserve">Functions</w:t>
      </w:r>
      <w:r>
        <w:rPr>
          <w:sz w:val="22"/>
          <w:szCs w:val="22"/>
          <w:rFonts w:ascii="Arial" w:cs="Arial" w:eastAsia="Arial" w:hAnsi="Arial"/>
        </w:rPr>
        <w:t xml:space="preserve">: (1) </w:t>
      </w:r>
      <w:r>
        <w:rPr>
          <w:b/>
          <w:bCs/>
          <w:sz w:val="22"/>
          <w:szCs w:val="22"/>
          <w:rFonts w:ascii="Arial" w:cs="Arial" w:eastAsia="Arial" w:hAnsi="Arial"/>
        </w:rPr>
        <w:t xml:space="preserve">State reports</w:t>
      </w:r>
      <w:r>
        <w:rPr>
          <w:sz w:val="22"/>
          <w:szCs w:val="22"/>
          <w:rFonts w:ascii="Arial" w:cs="Arial" w:eastAsia="Arial" w:hAnsi="Arial"/>
        </w:rPr>
        <w:t xml:space="preserve"> (Art 40) — within a year of entry into force and thereafter as requested (in practice every four to five years; India's last periodic report was considered in 1997, its fourth report submitted in 2019 and considered in July 2024 with concluding observations on the UAPA, sedition, the Manipur violence, the CAA, the death penalty and NHRC independence); the Committee examines the report in dialogue with the State's delegation and issues </w:t>
      </w:r>
      <w:r>
        <w:rPr>
          <w:b/>
          <w:bCs/>
          <w:sz w:val="22"/>
          <w:szCs w:val="22"/>
          <w:rFonts w:ascii="Arial" w:cs="Arial" w:eastAsia="Arial" w:hAnsi="Arial"/>
        </w:rPr>
        <w:t xml:space="preserve">concluding observations</w:t>
      </w:r>
      <w:r>
        <w:rPr>
          <w:sz w:val="22"/>
          <w:szCs w:val="22"/>
          <w:rFonts w:ascii="Arial" w:cs="Arial" w:eastAsia="Arial" w:hAnsi="Arial"/>
        </w:rPr>
        <w:t xml:space="preserve">; (2) </w:t>
      </w:r>
      <w:r>
        <w:rPr>
          <w:b/>
          <w:bCs/>
          <w:sz w:val="22"/>
          <w:szCs w:val="22"/>
          <w:rFonts w:ascii="Arial" w:cs="Arial" w:eastAsia="Arial" w:hAnsi="Arial"/>
        </w:rPr>
        <w:t xml:space="preserve">General Comments</w:t>
      </w:r>
      <w:r>
        <w:rPr>
          <w:sz w:val="22"/>
          <w:szCs w:val="22"/>
          <w:rFonts w:ascii="Arial" w:cs="Arial" w:eastAsia="Arial" w:hAnsi="Arial"/>
        </w:rPr>
        <w:t xml:space="preserve"> (Art 40(4)) — authoritative interpretations of the articles (37 to date — GC 6 and 36 on life, 20 on torture, 29 on emergencies, 31 on the general obligation, 34 on expression, 35 on liberty, 37 on assembly); (3) </w:t>
      </w:r>
      <w:r>
        <w:rPr>
          <w:b/>
          <w:bCs/>
          <w:sz w:val="22"/>
          <w:szCs w:val="22"/>
          <w:rFonts w:ascii="Arial" w:cs="Arial" w:eastAsia="Arial" w:hAnsi="Arial"/>
        </w:rPr>
        <w:t xml:space="preserve">inter-State complaints</w:t>
      </w:r>
      <w:r>
        <w:rPr>
          <w:sz w:val="22"/>
          <w:szCs w:val="22"/>
          <w:rFonts w:ascii="Arial" w:cs="Arial" w:eastAsia="Arial" w:hAnsi="Arial"/>
        </w:rPr>
        <w:t xml:space="preserve"> (Arts 41-43) — optional declaration; never used under the ICCPR; (4) </w:t>
      </w:r>
      <w:r>
        <w:rPr>
          <w:b/>
          <w:bCs/>
          <w:sz w:val="22"/>
          <w:szCs w:val="22"/>
          <w:rFonts w:ascii="Arial" w:cs="Arial" w:eastAsia="Arial" w:hAnsi="Arial"/>
        </w:rPr>
        <w:t xml:space="preserve">individual communications</w:t>
      </w:r>
      <w:r>
        <w:rPr>
          <w:sz w:val="22"/>
          <w:szCs w:val="22"/>
          <w:rFonts w:ascii="Arial" w:cs="Arial" w:eastAsia="Arial" w:hAnsi="Arial"/>
        </w:rPr>
        <w:t xml:space="preserve"> under the </w:t>
      </w:r>
      <w:r>
        <w:rPr>
          <w:b/>
          <w:bCs/>
          <w:sz w:val="22"/>
          <w:szCs w:val="22"/>
          <w:rFonts w:ascii="Arial" w:cs="Arial" w:eastAsia="Arial" w:hAnsi="Arial"/>
        </w:rPr>
        <w:t xml:space="preserve">First Optional Protocol (1966; 117 parties; India not a party)</w:t>
      </w:r>
      <w:r>
        <w:rPr>
          <w:sz w:val="22"/>
          <w:szCs w:val="22"/>
          <w:rFonts w:ascii="Arial" w:cs="Arial" w:eastAsia="Arial" w:hAnsi="Arial"/>
        </w:rPr>
        <w:t xml:space="preserve"> — a person subject to the jurisdiction of a party who claims to be a victim of a violation may submit a written communication after exhausting domestic remedies (unless unreasonably prolonged); inadmissible if anonymous, an abuse, incompatible with the Covenant, or being examined under another international procedure; the State responds within six months; the Committee adopts </w:t>
      </w:r>
      <w:r>
        <w:rPr>
          <w:b/>
          <w:bCs/>
          <w:sz w:val="22"/>
          <w:szCs w:val="22"/>
          <w:rFonts w:ascii="Arial" w:cs="Arial" w:eastAsia="Arial" w:hAnsi="Arial"/>
        </w:rPr>
        <w:t xml:space="preserve">'views'</w:t>
      </w:r>
      <w:r>
        <w:rPr>
          <w:sz w:val="22"/>
          <w:szCs w:val="22"/>
          <w:rFonts w:ascii="Arial" w:cs="Arial" w:eastAsia="Arial" w:hAnsi="Arial"/>
        </w:rPr>
        <w:t xml:space="preserve"> — reasoned findings with recommended remedies — and follows up through a Special Rapporteur; the views are not legally binding as a judgment but are 'authoritative determinations' by the body established to interpret the treaty (GC 33, 2008) and a State that ignores them acts in bad faith; about 1,500 views adopted — Toonen, Lovelace, Broeks, the death-row cases against Jamaica and Trinidad (Pratt and Morgan), Ng v. Canada (gas asphyxiation), Judge v. Canada (extradition to face the death penalty), the Belarus and Uzbekistan cases, the 2019 Teitiota v. New Zealand climate-refugee view; (5) the </w:t>
      </w:r>
      <w:r>
        <w:rPr>
          <w:b/>
          <w:bCs/>
          <w:sz w:val="22"/>
          <w:szCs w:val="22"/>
          <w:rFonts w:ascii="Arial" w:cs="Arial" w:eastAsia="Arial" w:hAnsi="Arial"/>
        </w:rPr>
        <w:t xml:space="preserve">Second Optional Protocol (1989; 91 parties) — abolition of the death penalty</w:t>
      </w:r>
      <w:r>
        <w:rPr>
          <w:sz w:val="22"/>
          <w:szCs w:val="22"/>
          <w:rFonts w:ascii="Arial" w:cs="Arial" w:eastAsia="Arial" w:hAnsi="Arial"/>
        </w:rPr>
        <w:t xml:space="preserve">: no one within the jurisdiction of a party shall be executed; each party to abolish the death penalty; no reservation except for the most serious military crimes in wartime; India is not a party (the Supreme Court in Bachan Singh, 1980, upheld the death penalty for the 'rarest of rare', and the Covenant's Art 6 permits it).</w:t>
      </w:r>
    </w:p>
    <w:p>
      <w:pPr>
        <w:spacing w:before="240" w:after="120"/>
      </w:pPr>
      <w:r>
        <w:rPr>
          <w:b/>
          <w:bCs/>
          <w:color w:val="404040"/>
          <w:sz w:val="23"/>
          <w:szCs w:val="23"/>
          <w:rFonts w:ascii="Arial" w:cs="Arial" w:eastAsia="Arial" w:hAnsi="Arial"/>
        </w:rPr>
        <w:t xml:space="preserve">The ICESCR — the rights and the obligation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Part I — Art 1</w:t>
      </w:r>
      <w:r>
        <w:rPr>
          <w:sz w:val="22"/>
          <w:szCs w:val="22"/>
          <w:rFonts w:ascii="Arial" w:cs="Arial" w:eastAsia="Arial" w:hAnsi="Arial"/>
        </w:rPr>
        <w:t xml:space="preserve"> (self-determination, common). </w:t>
      </w:r>
      <w:r>
        <w:rPr>
          <w:b/>
          <w:bCs/>
          <w:sz w:val="22"/>
          <w:szCs w:val="22"/>
          <w:rFonts w:ascii="Arial" w:cs="Arial" w:eastAsia="Arial" w:hAnsi="Arial"/>
        </w:rPr>
        <w:t xml:space="preserve">Part II — Art 2(1)</w:t>
      </w:r>
      <w:r>
        <w:rPr>
          <w:sz w:val="22"/>
          <w:szCs w:val="22"/>
          <w:rFonts w:ascii="Arial" w:cs="Arial" w:eastAsia="Arial" w:hAnsi="Arial"/>
        </w:rPr>
        <w:t xml:space="preserve">: each party 'undertakes to take steps, individually and through international assistance and co-operation, especially economic and technical, </w:t>
      </w:r>
      <w:r>
        <w:rPr>
          <w:b/>
          <w:bCs/>
          <w:sz w:val="22"/>
          <w:szCs w:val="22"/>
          <w:rFonts w:ascii="Arial" w:cs="Arial" w:eastAsia="Arial" w:hAnsi="Arial"/>
        </w:rPr>
        <w:t xml:space="preserve">to the maximum of its available resources</w:t>
      </w:r>
      <w:r>
        <w:rPr>
          <w:sz w:val="22"/>
          <w:szCs w:val="22"/>
          <w:rFonts w:ascii="Arial" w:cs="Arial" w:eastAsia="Arial" w:hAnsi="Arial"/>
        </w:rPr>
        <w:t xml:space="preserve">, with a view to achieving </w:t>
      </w:r>
      <w:r>
        <w:rPr>
          <w:b/>
          <w:bCs/>
          <w:sz w:val="22"/>
          <w:szCs w:val="22"/>
          <w:rFonts w:ascii="Arial" w:cs="Arial" w:eastAsia="Arial" w:hAnsi="Arial"/>
        </w:rPr>
        <w:t xml:space="preserve">progressively the full realisation</w:t>
      </w:r>
      <w:r>
        <w:rPr>
          <w:sz w:val="22"/>
          <w:szCs w:val="22"/>
          <w:rFonts w:ascii="Arial" w:cs="Arial" w:eastAsia="Arial" w:hAnsi="Arial"/>
        </w:rPr>
        <w:t xml:space="preserve"> of the rights recognised in the present Covenant by all appropriate means, including particularly the adoption of legislative measures' — the obligation of progressive realisation, explained by the CESCR's </w:t>
      </w:r>
      <w:r>
        <w:rPr>
          <w:b/>
          <w:bCs/>
          <w:sz w:val="22"/>
          <w:szCs w:val="22"/>
          <w:rFonts w:ascii="Arial" w:cs="Arial" w:eastAsia="Arial" w:hAnsi="Arial"/>
        </w:rPr>
        <w:t xml:space="preserve">General Comment 3 (1990)</w:t>
      </w:r>
      <w:r>
        <w:rPr>
          <w:sz w:val="22"/>
          <w:szCs w:val="22"/>
          <w:rFonts w:ascii="Arial" w:cs="Arial" w:eastAsia="Arial" w:hAnsi="Arial"/>
        </w:rPr>
        <w:t xml:space="preserve">: some obligations are immediate — non-discrimination (Art 2(2)), the duty to 'take steps' (deliberate, concrete, targeted), and a </w:t>
      </w:r>
      <w:r>
        <w:rPr>
          <w:b/>
          <w:bCs/>
          <w:sz w:val="22"/>
          <w:szCs w:val="22"/>
          <w:rFonts w:ascii="Arial" w:cs="Arial" w:eastAsia="Arial" w:hAnsi="Arial"/>
        </w:rPr>
        <w:t xml:space="preserve">minimum core obligation</w:t>
      </w:r>
      <w:r>
        <w:rPr>
          <w:sz w:val="22"/>
          <w:szCs w:val="22"/>
          <w:rFonts w:ascii="Arial" w:cs="Arial" w:eastAsia="Arial" w:hAnsi="Arial"/>
        </w:rPr>
        <w:t xml:space="preserve"> to ensure at least minimum essential levels of each right (essential foodstuffs, primary health care, basic shelter, the most basic forms of education), failing which a State is prima facie in violation; retrogressive measures need full justification; resource constraints are no excuse for not protecting the vulnerable; the Limburg Principles (1986) and the Maastricht Guidelines (1997) elaborate the respect-protect-fulfil framework; </w:t>
      </w:r>
      <w:r>
        <w:rPr>
          <w:b/>
          <w:bCs/>
          <w:sz w:val="22"/>
          <w:szCs w:val="22"/>
          <w:rFonts w:ascii="Arial" w:cs="Arial" w:eastAsia="Arial" w:hAnsi="Arial"/>
        </w:rPr>
        <w:t xml:space="preserve">Art 2(2)</w:t>
      </w:r>
      <w:r>
        <w:rPr>
          <w:sz w:val="22"/>
          <w:szCs w:val="22"/>
          <w:rFonts w:ascii="Arial" w:cs="Arial" w:eastAsia="Arial" w:hAnsi="Arial"/>
        </w:rPr>
        <w:t xml:space="preserve"> — non-discrimination; </w:t>
      </w:r>
      <w:r>
        <w:rPr>
          <w:b/>
          <w:bCs/>
          <w:sz w:val="22"/>
          <w:szCs w:val="22"/>
          <w:rFonts w:ascii="Arial" w:cs="Arial" w:eastAsia="Arial" w:hAnsi="Arial"/>
        </w:rPr>
        <w:t xml:space="preserve">Art 2(3)</w:t>
      </w:r>
      <w:r>
        <w:rPr>
          <w:sz w:val="22"/>
          <w:szCs w:val="22"/>
          <w:rFonts w:ascii="Arial" w:cs="Arial" w:eastAsia="Arial" w:hAnsi="Arial"/>
        </w:rPr>
        <w:t xml:space="preserve"> — developing countries may determine the extent of economic rights for non-nationals; </w:t>
      </w:r>
      <w:r>
        <w:rPr>
          <w:b/>
          <w:bCs/>
          <w:sz w:val="22"/>
          <w:szCs w:val="22"/>
          <w:rFonts w:ascii="Arial" w:cs="Arial" w:eastAsia="Arial" w:hAnsi="Arial"/>
        </w:rPr>
        <w:t xml:space="preserve">Art 3</w:t>
      </w:r>
      <w:r>
        <w:rPr>
          <w:sz w:val="22"/>
          <w:szCs w:val="22"/>
          <w:rFonts w:ascii="Arial" w:cs="Arial" w:eastAsia="Arial" w:hAnsi="Arial"/>
        </w:rPr>
        <w:t xml:space="preserve"> — equal rights of men and women; </w:t>
      </w:r>
      <w:r>
        <w:rPr>
          <w:b/>
          <w:bCs/>
          <w:sz w:val="22"/>
          <w:szCs w:val="22"/>
          <w:rFonts w:ascii="Arial" w:cs="Arial" w:eastAsia="Arial" w:hAnsi="Arial"/>
        </w:rPr>
        <w:t xml:space="preserve">Art 4</w:t>
      </w:r>
      <w:r>
        <w:rPr>
          <w:sz w:val="22"/>
          <w:szCs w:val="22"/>
          <w:rFonts w:ascii="Arial" w:cs="Arial" w:eastAsia="Arial" w:hAnsi="Arial"/>
        </w:rPr>
        <w:t xml:space="preserve"> — limitations only by law, compatible with the nature of the rights, solely to promote the general welfare; </w:t>
      </w:r>
      <w:r>
        <w:rPr>
          <w:b/>
          <w:bCs/>
          <w:sz w:val="22"/>
          <w:szCs w:val="22"/>
          <w:rFonts w:ascii="Arial" w:cs="Arial" w:eastAsia="Arial" w:hAnsi="Arial"/>
        </w:rPr>
        <w:t xml:space="preserve">Art 5</w:t>
      </w:r>
      <w:r>
        <w:rPr>
          <w:sz w:val="22"/>
          <w:szCs w:val="22"/>
          <w:rFonts w:ascii="Arial" w:cs="Arial" w:eastAsia="Arial" w:hAnsi="Arial"/>
        </w:rPr>
        <w:t xml:space="preserve"> — no destruction. </w:t>
      </w:r>
      <w:r>
        <w:rPr>
          <w:b/>
          <w:bCs/>
          <w:sz w:val="22"/>
          <w:szCs w:val="22"/>
          <w:rFonts w:ascii="Arial" w:cs="Arial" w:eastAsia="Arial" w:hAnsi="Arial"/>
        </w:rPr>
        <w:t xml:space="preserve">Part III — the rights</w:t>
      </w:r>
      <w:r>
        <w:rPr>
          <w:sz w:val="22"/>
          <w:szCs w:val="22"/>
          <w:rFonts w:ascii="Arial" w:cs="Arial" w:eastAsia="Arial" w:hAnsi="Arial"/>
        </w:rPr>
        <w:t xml:space="preserve">: </w:t>
      </w:r>
      <w:r>
        <w:rPr>
          <w:b/>
          <w:bCs/>
          <w:sz w:val="22"/>
          <w:szCs w:val="22"/>
          <w:rFonts w:ascii="Arial" w:cs="Arial" w:eastAsia="Arial" w:hAnsi="Arial"/>
        </w:rPr>
        <w:t xml:space="preserve">Art 6</w:t>
      </w:r>
      <w:r>
        <w:rPr>
          <w:sz w:val="22"/>
          <w:szCs w:val="22"/>
          <w:rFonts w:ascii="Arial" w:cs="Arial" w:eastAsia="Arial" w:hAnsi="Arial"/>
        </w:rPr>
        <w:t xml:space="preserve"> — work, freely chosen, with training and policies for full employment; </w:t>
      </w:r>
      <w:r>
        <w:rPr>
          <w:b/>
          <w:bCs/>
          <w:sz w:val="22"/>
          <w:szCs w:val="22"/>
          <w:rFonts w:ascii="Arial" w:cs="Arial" w:eastAsia="Arial" w:hAnsi="Arial"/>
        </w:rPr>
        <w:t xml:space="preserve">Art 7</w:t>
      </w:r>
      <w:r>
        <w:rPr>
          <w:sz w:val="22"/>
          <w:szCs w:val="22"/>
          <w:rFonts w:ascii="Arial" w:cs="Arial" w:eastAsia="Arial" w:hAnsi="Arial"/>
        </w:rPr>
        <w:t xml:space="preserve"> — just and favourable conditions — fair wages and equal remuneration for work of equal value, a decent living, safe and healthy conditions, equal promotion, rest, leisure, reasonable hours and holidays with pay; </w:t>
      </w:r>
      <w:r>
        <w:rPr>
          <w:b/>
          <w:bCs/>
          <w:sz w:val="22"/>
          <w:szCs w:val="22"/>
          <w:rFonts w:ascii="Arial" w:cs="Arial" w:eastAsia="Arial" w:hAnsi="Arial"/>
        </w:rPr>
        <w:t xml:space="preserve">Art 8</w:t>
      </w:r>
      <w:r>
        <w:rPr>
          <w:sz w:val="22"/>
          <w:szCs w:val="22"/>
          <w:rFonts w:ascii="Arial" w:cs="Arial" w:eastAsia="Arial" w:hAnsi="Arial"/>
        </w:rPr>
        <w:t xml:space="preserve"> — trade unions, federations, the right to strike (India's reservation: subject to Art 19 of the Constitution); </w:t>
      </w:r>
      <w:r>
        <w:rPr>
          <w:b/>
          <w:bCs/>
          <w:sz w:val="22"/>
          <w:szCs w:val="22"/>
          <w:rFonts w:ascii="Arial" w:cs="Arial" w:eastAsia="Arial" w:hAnsi="Arial"/>
        </w:rPr>
        <w:t xml:space="preserve">Art 9</w:t>
      </w:r>
      <w:r>
        <w:rPr>
          <w:sz w:val="22"/>
          <w:szCs w:val="22"/>
          <w:rFonts w:ascii="Arial" w:cs="Arial" w:eastAsia="Arial" w:hAnsi="Arial"/>
        </w:rPr>
        <w:t xml:space="preserve"> — social security including social insurance; </w:t>
      </w:r>
      <w:r>
        <w:rPr>
          <w:b/>
          <w:bCs/>
          <w:sz w:val="22"/>
          <w:szCs w:val="22"/>
          <w:rFonts w:ascii="Arial" w:cs="Arial" w:eastAsia="Arial" w:hAnsi="Arial"/>
        </w:rPr>
        <w:t xml:space="preserve">Art 10</w:t>
      </w:r>
      <w:r>
        <w:rPr>
          <w:sz w:val="22"/>
          <w:szCs w:val="22"/>
          <w:rFonts w:ascii="Arial" w:cs="Arial" w:eastAsia="Arial" w:hAnsi="Arial"/>
        </w:rPr>
        <w:t xml:space="preserve"> — the family, marriage by free consent, maternity protection with paid leave, protection of children from exploitation and child labour; </w:t>
      </w:r>
      <w:r>
        <w:rPr>
          <w:b/>
          <w:bCs/>
          <w:sz w:val="22"/>
          <w:szCs w:val="22"/>
          <w:rFonts w:ascii="Arial" w:cs="Arial" w:eastAsia="Arial" w:hAnsi="Arial"/>
        </w:rPr>
        <w:t xml:space="preserve">Art 11</w:t>
      </w:r>
      <w:r>
        <w:rPr>
          <w:sz w:val="22"/>
          <w:szCs w:val="22"/>
          <w:rFonts w:ascii="Arial" w:cs="Arial" w:eastAsia="Arial" w:hAnsi="Arial"/>
        </w:rPr>
        <w:t xml:space="preserve"> — an adequate standard of living including adequate </w:t>
      </w:r>
      <w:r>
        <w:rPr>
          <w:b/>
          <w:bCs/>
          <w:sz w:val="22"/>
          <w:szCs w:val="22"/>
          <w:rFonts w:ascii="Arial" w:cs="Arial" w:eastAsia="Arial" w:hAnsi="Arial"/>
        </w:rPr>
        <w:t xml:space="preserve">food, clothing and housing</w:t>
      </w:r>
      <w:r>
        <w:rPr>
          <w:sz w:val="22"/>
          <w:szCs w:val="22"/>
          <w:rFonts w:ascii="Arial" w:cs="Arial" w:eastAsia="Arial" w:hAnsi="Arial"/>
        </w:rPr>
        <w:t xml:space="preserve">, and the continuous improvement of living conditions; the fundamental right to be </w:t>
      </w:r>
      <w:r>
        <w:rPr>
          <w:b/>
          <w:bCs/>
          <w:sz w:val="22"/>
          <w:szCs w:val="22"/>
          <w:rFonts w:ascii="Arial" w:cs="Arial" w:eastAsia="Arial" w:hAnsi="Arial"/>
        </w:rPr>
        <w:t xml:space="preserve">free from hunger</w:t>
      </w:r>
      <w:r>
        <w:rPr>
          <w:sz w:val="22"/>
          <w:szCs w:val="22"/>
          <w:rFonts w:ascii="Arial" w:cs="Arial" w:eastAsia="Arial" w:hAnsi="Arial"/>
        </w:rPr>
        <w:t xml:space="preserve"> (Art 11(2) — General Comment 12 on food, 4 and 7 on housing and forced evictions, 15 on water); </w:t>
      </w:r>
      <w:r>
        <w:rPr>
          <w:b/>
          <w:bCs/>
          <w:sz w:val="22"/>
          <w:szCs w:val="22"/>
          <w:rFonts w:ascii="Arial" w:cs="Arial" w:eastAsia="Arial" w:hAnsi="Arial"/>
        </w:rPr>
        <w:t xml:space="preserve">Art 12</w:t>
      </w:r>
      <w:r>
        <w:rPr>
          <w:sz w:val="22"/>
          <w:szCs w:val="22"/>
          <w:rFonts w:ascii="Arial" w:cs="Arial" w:eastAsia="Arial" w:hAnsi="Arial"/>
        </w:rPr>
        <w:t xml:space="preserve"> — the highest attainable standard of physical and mental health (General Comment 14 — availability, accessibility, acceptability, quality); </w:t>
      </w:r>
      <w:r>
        <w:rPr>
          <w:b/>
          <w:bCs/>
          <w:sz w:val="22"/>
          <w:szCs w:val="22"/>
          <w:rFonts w:ascii="Arial" w:cs="Arial" w:eastAsia="Arial" w:hAnsi="Arial"/>
        </w:rPr>
        <w:t xml:space="preserve">Art 13</w:t>
      </w:r>
      <w:r>
        <w:rPr>
          <w:sz w:val="22"/>
          <w:szCs w:val="22"/>
          <w:rFonts w:ascii="Arial" w:cs="Arial" w:eastAsia="Arial" w:hAnsi="Arial"/>
        </w:rPr>
        <w:t xml:space="preserve"> — education: free and compulsory primary education, secondary and higher education progressively free, fundamental education, the parents' liberty of choice, the liberty to establish institutions; </w:t>
      </w:r>
      <w:r>
        <w:rPr>
          <w:b/>
          <w:bCs/>
          <w:sz w:val="22"/>
          <w:szCs w:val="22"/>
          <w:rFonts w:ascii="Arial" w:cs="Arial" w:eastAsia="Arial" w:hAnsi="Arial"/>
        </w:rPr>
        <w:t xml:space="preserve">Art 14</w:t>
      </w:r>
      <w:r>
        <w:rPr>
          <w:sz w:val="22"/>
          <w:szCs w:val="22"/>
          <w:rFonts w:ascii="Arial" w:cs="Arial" w:eastAsia="Arial" w:hAnsi="Arial"/>
        </w:rPr>
        <w:t xml:space="preserve"> — a plan for compulsory free primary education within two years where not yet secured; </w:t>
      </w:r>
      <w:r>
        <w:rPr>
          <w:b/>
          <w:bCs/>
          <w:sz w:val="22"/>
          <w:szCs w:val="22"/>
          <w:rFonts w:ascii="Arial" w:cs="Arial" w:eastAsia="Arial" w:hAnsi="Arial"/>
        </w:rPr>
        <w:t xml:space="preserve">Art 15</w:t>
      </w:r>
      <w:r>
        <w:rPr>
          <w:sz w:val="22"/>
          <w:szCs w:val="22"/>
          <w:rFonts w:ascii="Arial" w:cs="Arial" w:eastAsia="Arial" w:hAnsi="Arial"/>
        </w:rPr>
        <w:t xml:space="preserve"> — cultural life, the benefits of scientific progress, authors' interests, the freedom of scientific research. </w:t>
      </w:r>
      <w:r>
        <w:rPr>
          <w:b/>
          <w:bCs/>
          <w:sz w:val="22"/>
          <w:szCs w:val="22"/>
          <w:rFonts w:ascii="Arial" w:cs="Arial" w:eastAsia="Arial" w:hAnsi="Arial"/>
        </w:rPr>
        <w:t xml:space="preserve">Part IV — Arts 16-25</w:t>
      </w:r>
      <w:r>
        <w:rPr>
          <w:sz w:val="22"/>
          <w:szCs w:val="22"/>
          <w:rFonts w:ascii="Arial" w:cs="Arial" w:eastAsia="Arial" w:hAnsi="Arial"/>
        </w:rPr>
        <w:t xml:space="preserve"> — reporting to ECOSOC (the </w:t>
      </w:r>
      <w:r>
        <w:rPr>
          <w:b/>
          <w:bCs/>
          <w:sz w:val="22"/>
          <w:szCs w:val="22"/>
          <w:rFonts w:ascii="Arial" w:cs="Arial" w:eastAsia="Arial" w:hAnsi="Arial"/>
        </w:rPr>
        <w:t xml:space="preserve">Committee on Economic, Social and Cultural Rights</w:t>
      </w:r>
      <w:r>
        <w:rPr>
          <w:sz w:val="22"/>
          <w:szCs w:val="22"/>
          <w:rFonts w:ascii="Arial" w:cs="Arial" w:eastAsia="Arial" w:hAnsi="Arial"/>
        </w:rPr>
        <w:t xml:space="preserve">, created by ECOSOC in 1985, eighteen experts, examines reports every five years and issues General Comments — India's last review was in 2008; the next is pending). </w:t>
      </w:r>
      <w:r>
        <w:rPr>
          <w:b/>
          <w:bCs/>
          <w:sz w:val="22"/>
          <w:szCs w:val="22"/>
          <w:rFonts w:ascii="Arial" w:cs="Arial" w:eastAsia="Arial" w:hAnsi="Arial"/>
        </w:rPr>
        <w:t xml:space="preserve">The Optional Protocol (2008; in force 2013; 29 parties; India not a party)</w:t>
      </w:r>
      <w:r>
        <w:rPr>
          <w:sz w:val="22"/>
          <w:szCs w:val="22"/>
          <w:rFonts w:ascii="Arial" w:cs="Arial" w:eastAsia="Arial" w:hAnsi="Arial"/>
        </w:rPr>
        <w:t xml:space="preserve"> — individual and group communications, inter-State complaints, and an inquiry procedure for grave or systematic violations — ended the argument that economic rights are non-justiciable internationally.</w:t>
      </w:r>
    </w:p>
    <w:p>
      <w:pPr>
        <w:spacing w:before="240" w:after="120"/>
      </w:pPr>
      <w:r>
        <w:rPr>
          <w:b/>
          <w:bCs/>
          <w:color w:val="404040"/>
          <w:sz w:val="23"/>
          <w:szCs w:val="23"/>
          <w:rFonts w:ascii="Arial" w:cs="Arial" w:eastAsia="Arial" w:hAnsi="Arial"/>
        </w:rPr>
        <w:t xml:space="preserve">India and the Covenants</w:t>
      </w:r>
    </w:p>
    <w:p>
      <w:pPr>
        <w:spacing w:after="120" w:line="300"/>
        <w:jc w:val="both"/>
      </w:pPr>
      <w:r>
        <w:rPr>
          <w:sz w:val="22"/>
          <w:szCs w:val="22"/>
          <w:rFonts w:ascii="Arial" w:cs="Arial" w:eastAsia="Arial" w:hAnsi="Arial"/>
        </w:rPr>
        <w:t xml:space="preserve">India signed and ratified both Covenants on </w:t>
      </w:r>
      <w:r>
        <w:rPr>
          <w:b/>
          <w:bCs/>
          <w:sz w:val="22"/>
          <w:szCs w:val="22"/>
          <w:rFonts w:ascii="Arial" w:cs="Arial" w:eastAsia="Arial" w:hAnsi="Arial"/>
        </w:rPr>
        <w:t xml:space="preserve">10 April 1979</w:t>
      </w:r>
      <w:r>
        <w:rPr>
          <w:sz w:val="22"/>
          <w:szCs w:val="22"/>
          <w:rFonts w:ascii="Arial" w:cs="Arial" w:eastAsia="Arial" w:hAnsi="Arial"/>
        </w:rPr>
        <w:t xml:space="preserve"> with </w:t>
      </w:r>
      <w:r>
        <w:rPr>
          <w:b/>
          <w:bCs/>
          <w:sz w:val="22"/>
          <w:szCs w:val="22"/>
          <w:rFonts w:ascii="Arial" w:cs="Arial" w:eastAsia="Arial" w:hAnsi="Arial"/>
        </w:rPr>
        <w:t xml:space="preserve">declarations</w:t>
      </w:r>
      <w:r>
        <w:rPr>
          <w:sz w:val="22"/>
          <w:szCs w:val="22"/>
          <w:rFonts w:ascii="Arial" w:cs="Arial" w:eastAsia="Arial" w:hAnsi="Arial"/>
        </w:rPr>
        <w:t xml:space="preserve">: (1) on </w:t>
      </w:r>
      <w:r>
        <w:rPr>
          <w:b/>
          <w:bCs/>
          <w:sz w:val="22"/>
          <w:szCs w:val="22"/>
          <w:rFonts w:ascii="Arial" w:cs="Arial" w:eastAsia="Arial" w:hAnsi="Arial"/>
        </w:rPr>
        <w:t xml:space="preserve">Art 1</w:t>
      </w:r>
      <w:r>
        <w:rPr>
          <w:sz w:val="22"/>
          <w:szCs w:val="22"/>
          <w:rFonts w:ascii="Arial" w:cs="Arial" w:eastAsia="Arial" w:hAnsi="Arial"/>
        </w:rPr>
        <w:t xml:space="preserve"> (self-determination) of both — it applies only to peoples under foreign domination and not to sovereign independent States or to a section of a people or nation, 'which is the essence of national integrity'; (2) on </w:t>
      </w:r>
      <w:r>
        <w:rPr>
          <w:b/>
          <w:bCs/>
          <w:sz w:val="22"/>
          <w:szCs w:val="22"/>
          <w:rFonts w:ascii="Arial" w:cs="Arial" w:eastAsia="Arial" w:hAnsi="Arial"/>
        </w:rPr>
        <w:t xml:space="preserve">Art 9</w:t>
      </w:r>
      <w:r>
        <w:rPr>
          <w:sz w:val="22"/>
          <w:szCs w:val="22"/>
          <w:rFonts w:ascii="Arial" w:cs="Arial" w:eastAsia="Arial" w:hAnsi="Arial"/>
        </w:rPr>
        <w:t xml:space="preserve"> ICCPR — the right to compensation for unlawful arrest applies only under the Indian legal system (Nilabati Behera nonetheless applied Art 9(5)); (3) on </w:t>
      </w:r>
      <w:r>
        <w:rPr>
          <w:b/>
          <w:bCs/>
          <w:sz w:val="22"/>
          <w:szCs w:val="22"/>
          <w:rFonts w:ascii="Arial" w:cs="Arial" w:eastAsia="Arial" w:hAnsi="Arial"/>
        </w:rPr>
        <w:t xml:space="preserve">Art 13</w:t>
      </w:r>
      <w:r>
        <w:rPr>
          <w:sz w:val="22"/>
          <w:szCs w:val="22"/>
          <w:rFonts w:ascii="Arial" w:cs="Arial" w:eastAsia="Arial" w:hAnsi="Arial"/>
        </w:rPr>
        <w:t xml:space="preserve"> — India reserves the right to apply its law relating to foreigners (the Foreigners Act 1946's expulsion power); (4) on </w:t>
      </w:r>
      <w:r>
        <w:rPr>
          <w:b/>
          <w:bCs/>
          <w:sz w:val="22"/>
          <w:szCs w:val="22"/>
          <w:rFonts w:ascii="Arial" w:cs="Arial" w:eastAsia="Arial" w:hAnsi="Arial"/>
        </w:rPr>
        <w:t xml:space="preserve">Arts 12, 19(3), 21 and 22</w:t>
      </w:r>
      <w:r>
        <w:rPr>
          <w:sz w:val="22"/>
          <w:szCs w:val="22"/>
          <w:rFonts w:ascii="Arial" w:cs="Arial" w:eastAsia="Arial" w:hAnsi="Arial"/>
        </w:rPr>
        <w:t xml:space="preserve"> ICCPR and </w:t>
      </w:r>
      <w:r>
        <w:rPr>
          <w:b/>
          <w:bCs/>
          <w:sz w:val="22"/>
          <w:szCs w:val="22"/>
          <w:rFonts w:ascii="Arial" w:cs="Arial" w:eastAsia="Arial" w:hAnsi="Arial"/>
        </w:rPr>
        <w:t xml:space="preserve">Art 8</w:t>
      </w:r>
      <w:r>
        <w:rPr>
          <w:sz w:val="22"/>
          <w:szCs w:val="22"/>
          <w:rFonts w:ascii="Arial" w:cs="Arial" w:eastAsia="Arial" w:hAnsi="Arial"/>
        </w:rPr>
        <w:t xml:space="preserve"> ICESCR — these are to be applied in conformity with Arts 19 (reasonable restrictions) and 22 of the Constitution, 'with respect to the rights and freedoms guaranteed'. India has </w:t>
      </w:r>
      <w:r>
        <w:rPr>
          <w:b/>
          <w:bCs/>
          <w:sz w:val="22"/>
          <w:szCs w:val="22"/>
          <w:rFonts w:ascii="Arial" w:cs="Arial" w:eastAsia="Arial" w:hAnsi="Arial"/>
        </w:rPr>
        <w:t xml:space="preserve">not</w:t>
      </w:r>
      <w:r>
        <w:rPr>
          <w:sz w:val="22"/>
          <w:szCs w:val="22"/>
          <w:rFonts w:ascii="Arial" w:cs="Arial" w:eastAsia="Arial" w:hAnsi="Arial"/>
        </w:rPr>
        <w:t xml:space="preserve"> ratified the First or Second Optional Protocols to the ICCPR or the Optional Protocol to the ICESCR, and has not made the Art 41 declaration; it reports to the Committees (irregularly) and accepts the Universal Periodic Review. </w:t>
      </w:r>
      <w:r>
        <w:rPr>
          <w:b/>
          <w:bCs/>
          <w:sz w:val="22"/>
          <w:szCs w:val="22"/>
          <w:rFonts w:ascii="Arial" w:cs="Arial" w:eastAsia="Arial" w:hAnsi="Arial"/>
        </w:rPr>
        <w:t xml:space="preserve">In the courts</w:t>
      </w:r>
      <w:r>
        <w:rPr>
          <w:sz w:val="22"/>
          <w:szCs w:val="22"/>
          <w:rFonts w:ascii="Arial" w:cs="Arial" w:eastAsia="Arial" w:hAnsi="Arial"/>
        </w:rPr>
        <w:t xml:space="preserve">: the Covenants are not self-executing (India is dualist — Art 253 and Entry 14 of List I require legislation; the Protection of Human Rights Act 1993's definition of 'human rights' includes the rights 'embodied in the International Covenants' and 'enforceable by courts in India'), but the Supreme Court uses them to interpret the Constitution and to fill gaps: </w:t>
      </w:r>
      <w:r>
        <w:rPr>
          <w:b/>
          <w:bCs/>
          <w:sz w:val="22"/>
          <w:szCs w:val="22"/>
          <w:rFonts w:ascii="Arial" w:cs="Arial" w:eastAsia="Arial" w:hAnsi="Arial"/>
        </w:rPr>
        <w:t xml:space="preserve">Jolly George Varghese v. Bank of Cochin (1980)</w:t>
      </w:r>
      <w:r>
        <w:rPr>
          <w:sz w:val="22"/>
          <w:szCs w:val="22"/>
          <w:rFonts w:ascii="Arial" w:cs="Arial" w:eastAsia="Arial" w:hAnsi="Arial"/>
        </w:rPr>
        <w:t xml:space="preserve"> (Art 11 ICCPR and Sec 51 CPC — no imprisonment of a debtor without means); </w:t>
      </w:r>
      <w:r>
        <w:rPr>
          <w:b/>
          <w:bCs/>
          <w:sz w:val="22"/>
          <w:szCs w:val="22"/>
          <w:rFonts w:ascii="Arial" w:cs="Arial" w:eastAsia="Arial" w:hAnsi="Arial"/>
        </w:rPr>
        <w:t xml:space="preserve">Nilabati Behera v. State of Orissa (1993)</w:t>
      </w:r>
      <w:r>
        <w:rPr>
          <w:sz w:val="22"/>
          <w:szCs w:val="22"/>
          <w:rFonts w:ascii="Arial" w:cs="Arial" w:eastAsia="Arial" w:hAnsi="Arial"/>
        </w:rPr>
        <w:t xml:space="preserve"> (Art 9(5) — compensation for custodial death as a public-law remedy); </w:t>
      </w:r>
      <w:r>
        <w:rPr>
          <w:b/>
          <w:bCs/>
          <w:sz w:val="22"/>
          <w:szCs w:val="22"/>
          <w:rFonts w:ascii="Arial" w:cs="Arial" w:eastAsia="Arial" w:hAnsi="Arial"/>
        </w:rPr>
        <w:t xml:space="preserve">PUCL v. Union of India (1997)</w:t>
      </w:r>
      <w:r>
        <w:rPr>
          <w:sz w:val="22"/>
          <w:szCs w:val="22"/>
          <w:rFonts w:ascii="Arial" w:cs="Arial" w:eastAsia="Arial" w:hAnsi="Arial"/>
        </w:rPr>
        <w:t xml:space="preserve"> (Art 17 — telephone tapping; the Court's guidelines); </w:t>
      </w:r>
      <w:r>
        <w:rPr>
          <w:b/>
          <w:bCs/>
          <w:sz w:val="22"/>
          <w:szCs w:val="22"/>
          <w:rFonts w:ascii="Arial" w:cs="Arial" w:eastAsia="Arial" w:hAnsi="Arial"/>
        </w:rPr>
        <w:t xml:space="preserve">Vishaka (1997)</w:t>
      </w:r>
      <w:r>
        <w:rPr>
          <w:sz w:val="22"/>
          <w:szCs w:val="22"/>
          <w:rFonts w:ascii="Arial" w:cs="Arial" w:eastAsia="Arial" w:hAnsi="Arial"/>
        </w:rPr>
        <w:t xml:space="preserve">; </w:t>
      </w:r>
      <w:r>
        <w:rPr>
          <w:b/>
          <w:bCs/>
          <w:sz w:val="22"/>
          <w:szCs w:val="22"/>
          <w:rFonts w:ascii="Arial" w:cs="Arial" w:eastAsia="Arial" w:hAnsi="Arial"/>
        </w:rPr>
        <w:t xml:space="preserve">Apparel Export Promotion Council v. A.K. Chopra (1999)</w:t>
      </w:r>
      <w:r>
        <w:rPr>
          <w:sz w:val="22"/>
          <w:szCs w:val="22"/>
          <w:rFonts w:ascii="Arial" w:cs="Arial" w:eastAsia="Arial" w:hAnsi="Arial"/>
        </w:rPr>
        <w:t xml:space="preserve"> (CEDAW and the ILO on sexual harassment); </w:t>
      </w:r>
      <w:r>
        <w:rPr>
          <w:b/>
          <w:bCs/>
          <w:sz w:val="22"/>
          <w:szCs w:val="22"/>
          <w:rFonts w:ascii="Arial" w:cs="Arial" w:eastAsia="Arial" w:hAnsi="Arial"/>
        </w:rPr>
        <w:t xml:space="preserve">Chairman, Railway Board v. Chandrima Das (2000)</w:t>
      </w:r>
      <w:r>
        <w:rPr>
          <w:sz w:val="22"/>
          <w:szCs w:val="22"/>
          <w:rFonts w:ascii="Arial" w:cs="Arial" w:eastAsia="Arial" w:hAnsi="Arial"/>
        </w:rPr>
        <w:t xml:space="preserve">; </w:t>
      </w:r>
      <w:r>
        <w:rPr>
          <w:b/>
          <w:bCs/>
          <w:sz w:val="22"/>
          <w:szCs w:val="22"/>
          <w:rFonts w:ascii="Arial" w:cs="Arial" w:eastAsia="Arial" w:hAnsi="Arial"/>
        </w:rPr>
        <w:t xml:space="preserve">People's Union for Civil Liberties v. Union of India (2001-)</w:t>
      </w:r>
      <w:r>
        <w:rPr>
          <w:sz w:val="22"/>
          <w:szCs w:val="22"/>
          <w:rFonts w:ascii="Arial" w:cs="Arial" w:eastAsia="Arial" w:hAnsi="Arial"/>
        </w:rPr>
        <w:t xml:space="preserve"> (the right to food case under Art 21 with Art 11 ICESCR in view); </w:t>
      </w:r>
      <w:r>
        <w:rPr>
          <w:b/>
          <w:bCs/>
          <w:sz w:val="22"/>
          <w:szCs w:val="22"/>
          <w:rFonts w:ascii="Arial" w:cs="Arial" w:eastAsia="Arial" w:hAnsi="Arial"/>
        </w:rPr>
        <w:t xml:space="preserve">Puttaswamy (2017)</w:t>
      </w:r>
      <w:r>
        <w:rPr>
          <w:sz w:val="22"/>
          <w:szCs w:val="22"/>
          <w:rFonts w:ascii="Arial" w:cs="Arial" w:eastAsia="Arial" w:hAnsi="Arial"/>
        </w:rPr>
        <w:t xml:space="preserve"> (Art 17 ICCPR and Art 12 UDHR on privacy); </w:t>
      </w:r>
      <w:r>
        <w:rPr>
          <w:b/>
          <w:bCs/>
          <w:sz w:val="22"/>
          <w:szCs w:val="22"/>
          <w:rFonts w:ascii="Arial" w:cs="Arial" w:eastAsia="Arial" w:hAnsi="Arial"/>
        </w:rPr>
        <w:t xml:space="preserve">Navtej Singh Johar (2018)</w:t>
      </w:r>
      <w:r>
        <w:rPr>
          <w:sz w:val="22"/>
          <w:szCs w:val="22"/>
          <w:rFonts w:ascii="Arial" w:cs="Arial" w:eastAsia="Arial" w:hAnsi="Arial"/>
        </w:rPr>
        <w:t xml:space="preserve"> (Toonen); </w:t>
      </w:r>
      <w:r>
        <w:rPr>
          <w:b/>
          <w:bCs/>
          <w:sz w:val="22"/>
          <w:szCs w:val="22"/>
          <w:rFonts w:ascii="Arial" w:cs="Arial" w:eastAsia="Arial" w:hAnsi="Arial"/>
        </w:rPr>
        <w:t xml:space="preserve">Kaushal Kishor v. State of U.P. (2023)</w:t>
      </w:r>
      <w:r>
        <w:rPr>
          <w:sz w:val="22"/>
          <w:szCs w:val="22"/>
          <w:rFonts w:ascii="Arial" w:cs="Arial" w:eastAsia="Arial" w:hAnsi="Arial"/>
        </w:rPr>
        <w:t xml:space="preserve"> (horizontal application, citing General Comment 31). The rule of interpretation (Gramophone Co of India v. Birendra Bahadur Pandey, 1984; Vishaka; Puttaswamy): international law is part of domestic law unless inconsistent with an Act of Parliament, and the courts must interpret domestic law in harmony with India's treaty obligations.</w:t>
      </w:r>
    </w:p>
    <w:p>
      <w:pPr>
        <w:pBdr>
          <w:left w:val="single" w:color="CC0000" w:sz="6" w:space="8"/>
        </w:pBdr>
        <w:spacing w:before="80" w:after="80"/>
        <w:ind w:left="300"/>
      </w:pPr>
      <w:r>
        <w:rPr>
          <w:b/>
          <w:bCs/>
          <w:color w:val="CC0000"/>
          <w:sz w:val="21"/>
          <w:szCs w:val="21"/>
          <w:rFonts w:ascii="Arial" w:cs="Arial" w:eastAsia="Arial" w:hAnsi="Arial"/>
        </w:rPr>
        <w:t xml:space="preserve">Toonen v. Australia, Human Rights Committee, Communication 488/1992 (1994) — </w:t>
      </w:r>
      <w:r>
        <w:rPr>
          <w:sz w:val="21"/>
          <w:szCs w:val="21"/>
          <w:rFonts w:ascii="Arial" w:cs="Arial" w:eastAsia="Arial" w:hAnsi="Arial"/>
        </w:rPr>
        <w:t xml:space="preserve">Criminalisation of consensual adult homosexual conduct violates Art 17 (privacy) and Art 2(1); 'sex' in Arts 2 and 26 includes sexual orientation; moral objections cannot justify the violation.</w:t>
      </w:r>
    </w:p>
    <w:p>
      <w:pPr>
        <w:pBdr>
          <w:left w:val="single" w:color="CC0000" w:sz="6" w:space="8"/>
        </w:pBdr>
        <w:spacing w:before="80" w:after="80"/>
        <w:ind w:left="300"/>
      </w:pPr>
      <w:r>
        <w:rPr>
          <w:b/>
          <w:bCs/>
          <w:color w:val="CC0000"/>
          <w:sz w:val="21"/>
          <w:szCs w:val="21"/>
          <w:rFonts w:ascii="Arial" w:cs="Arial" w:eastAsia="Arial" w:hAnsi="Arial"/>
        </w:rPr>
        <w:t xml:space="preserve">Lovelace v. Canada, HRC 24/1977 (1981) — </w:t>
      </w:r>
      <w:r>
        <w:rPr>
          <w:sz w:val="21"/>
          <w:szCs w:val="21"/>
          <w:rFonts w:ascii="Arial" w:cs="Arial" w:eastAsia="Arial" w:hAnsi="Arial"/>
        </w:rPr>
        <w:t xml:space="preserve">A Maliseet woman who lost her Indian status on marrying a non-Indian was denied her Art 27 right to enjoy her culture in community with her group; Canada amended the Indian Act.</w:t>
      </w:r>
    </w:p>
    <w:p>
      <w:pPr>
        <w:pBdr>
          <w:left w:val="single" w:color="CC0000" w:sz="6" w:space="8"/>
        </w:pBdr>
        <w:spacing w:before="80" w:after="80"/>
        <w:ind w:left="300"/>
      </w:pPr>
      <w:r>
        <w:rPr>
          <w:b/>
          <w:bCs/>
          <w:color w:val="CC0000"/>
          <w:sz w:val="21"/>
          <w:szCs w:val="21"/>
          <w:rFonts w:ascii="Arial" w:cs="Arial" w:eastAsia="Arial" w:hAnsi="Arial"/>
        </w:rPr>
        <w:t xml:space="preserve">Broeks v. Netherlands, HRC 172/1984 (1987) — </w:t>
      </w:r>
      <w:r>
        <w:rPr>
          <w:sz w:val="21"/>
          <w:szCs w:val="21"/>
          <w:rFonts w:ascii="Arial" w:cs="Arial" w:eastAsia="Arial" w:hAnsi="Arial"/>
        </w:rPr>
        <w:t xml:space="preserve">Art 26 is an autonomous equality guarantee applying to all legislation, including social-security law outside the Covenant's civil and political scope; a rule requiring married women to prove breadwinner status was discriminatory.</w:t>
      </w:r>
    </w:p>
    <w:p>
      <w:pPr>
        <w:pBdr>
          <w:left w:val="single" w:color="CC0000" w:sz="6" w:space="8"/>
        </w:pBdr>
        <w:spacing w:before="80" w:after="80"/>
        <w:ind w:left="300"/>
      </w:pPr>
      <w:r>
        <w:rPr>
          <w:b/>
          <w:bCs/>
          <w:color w:val="CC0000"/>
          <w:sz w:val="21"/>
          <w:szCs w:val="21"/>
          <w:rFonts w:ascii="Arial" w:cs="Arial" w:eastAsia="Arial" w:hAnsi="Arial"/>
        </w:rPr>
        <w:t xml:space="preserve">Jolly George Varghese v. Bank of Cochin (1980) 2 SCC 360 — </w:t>
      </w:r>
      <w:r>
        <w:rPr>
          <w:sz w:val="21"/>
          <w:szCs w:val="21"/>
          <w:rFonts w:ascii="Arial" w:cs="Arial" w:eastAsia="Arial" w:hAnsi="Arial"/>
        </w:rPr>
        <w:t xml:space="preserve">Art 11 ICCPR informs Sec 51 CPC: a judgment-debtor may not be imprisoned for mere inability to pay; Art 21's fair procedure requires proof of means or bad faith.</w:t>
      </w:r>
    </w:p>
    <w:p>
      <w:pPr>
        <w:pBdr>
          <w:left w:val="single" w:color="CC0000" w:sz="6" w:space="8"/>
        </w:pBdr>
        <w:spacing w:before="80" w:after="80"/>
        <w:ind w:left="300"/>
      </w:pPr>
      <w:r>
        <w:rPr>
          <w:b/>
          <w:bCs/>
          <w:color w:val="CC0000"/>
          <w:sz w:val="21"/>
          <w:szCs w:val="21"/>
          <w:rFonts w:ascii="Arial" w:cs="Arial" w:eastAsia="Arial" w:hAnsi="Arial"/>
        </w:rPr>
        <w:t xml:space="preserve">Nilabati Behera v. State of Orissa (1993) 2 SCC 746 — </w:t>
      </w:r>
      <w:r>
        <w:rPr>
          <w:sz w:val="21"/>
          <w:szCs w:val="21"/>
          <w:rFonts w:ascii="Arial" w:cs="Arial" w:eastAsia="Arial" w:hAnsi="Arial"/>
        </w:rPr>
        <w:t xml:space="preserve">Compensation for custodial death as a public-law remedy under Arts 32 and 226; Art 9(5) ICCPR supports it and India's reservation does not bar the Court from applying the principle.</w:t>
      </w:r>
    </w:p>
    <w:p>
      <w:pPr>
        <w:pBdr>
          <w:left w:val="single" w:color="CC0000" w:sz="6" w:space="8"/>
        </w:pBdr>
        <w:spacing w:before="80" w:after="80"/>
        <w:ind w:left="300"/>
      </w:pPr>
      <w:r>
        <w:rPr>
          <w:b/>
          <w:bCs/>
          <w:color w:val="CC0000"/>
          <w:sz w:val="21"/>
          <w:szCs w:val="21"/>
          <w:rFonts w:ascii="Arial" w:cs="Arial" w:eastAsia="Arial" w:hAnsi="Arial"/>
        </w:rPr>
        <w:t xml:space="preserve">People's Union for Civil Liberties v. Union of India (1997) 1 SCC 301 — </w:t>
      </w:r>
      <w:r>
        <w:rPr>
          <w:sz w:val="21"/>
          <w:szCs w:val="21"/>
          <w:rFonts w:ascii="Arial" w:cs="Arial" w:eastAsia="Arial" w:hAnsi="Arial"/>
        </w:rPr>
        <w:t xml:space="preserve">Telephone tapping under Sec 5(2) of the Telegraph Act infringes privacy under Art 21 and Art 17 ICCPR unless done by the procedure the Court laid down; international covenants can be read into domestic law where not inconsistent.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treaty bodies' jurisprudence is on the OHCHR's Jurisprudence Database; the Committees hold online sessions and accept digital submissions; the Human Rights Committee's 2024 review of India is on the UN Web TV archive; and General Comment 34's application of Art 19 to the internet, the 2021 GC 37 on online assembly, and the Committee's views on internet shutdowns are the digital extension of the Covenant.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'Why two Covenants', 'Derogation under Art 4 ICCPR', 'Non-derogable rights', 'Human Rights Committee', 'First Optional Protocol', 'Second Optional Protocol', 'Progressive realisation', 'Minimum core obligation', 'India's reservations to the Covenants', 'Toonen case'. Part B: 'Discuss the rights guaranteed by the ICCPR and the machinery for their implementation'; or 'Explain the nature of the obligations under the ICESCR with reference to Art 2(1) and General Comment 3'; or 'Compare the two Covenants'; or 'How have the Covenants been used by Indian courts?' — the cases. Part C: a State declares an emergency and suspends the prohibition of torture — Art 4(2), non-derogable; a State imprisons a person for a civil debt — Art 11, Jolly George Varghese; a State party to the First Optional Protocol ignores the Committee's views — no legal sanction, but bad faith (GC 33), follow-up procedure; an Indian citizen wants to complain to the Human Rights Committee — India is not a party to the Protocol; the remedy is the NHRC and the courts; a State says it cannot afford primary education — Art 13-14 ICESCR, minimum core, Unni Krishnan and Art 21A.</w:t>
      </w:r>
    </w:p>
    <w:p>
      <w:r>
        <w:br w:type="page"/>
      </w:r>
    </w:p>
    <w:p>
      <w:pPr>
        <w:pStyle w:val="Heading1"/>
        <w:spacing w:before="480" w:after="200"/>
      </w:pPr>
      <w:r>
        <w:rPr>
          <w:b/>
          <w:bCs/>
          <w:color w:val="1F4E79"/>
          <w:sz w:val="32"/>
          <w:szCs w:val="32"/>
          <w:rFonts w:ascii="Arial" w:cs="Arial" w:eastAsia="Arial" w:hAnsi="Arial"/>
        </w:rPr>
        <w:t xml:space="preserve">Episode 05 — Death Row and the Strasbourg Court: Soering and the European Convention on Human Rights</w:t>
      </w:r>
    </w:p>
    <w:p>
      <w:pPr>
        <w:pStyle w:val="Heading2"/>
        <w:spacing w:before="360" w:after="160"/>
      </w:pPr>
      <w:r>
        <w:rPr>
          <w:b/>
          <w:bCs/>
          <w:color w:val="2E75B6"/>
          <w:sz w:val="26"/>
          <w:szCs w:val="26"/>
          <w:rFonts w:ascii="Arial" w:cs="Arial" w:eastAsia="Arial" w:hAnsi="Arial"/>
        </w:rPr>
        <w:t xml:space="preserve">Covers: The Council of Europe and the Convention of 1950 · The rights and the limitation clauses · The machinery — the Commission and Court to 1998, the permanent Court after Protocol 11, Protocols 14-16 · The doctrines — margin of appreciation, proportionality, positive obligations, the living instrument · Landmark cases · The European Social Charter · The European Union — the Charter of Fundamental Rights and the Court of Justice of the European Union · The relation between the two European courts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Bedford, England, 1986. Jens Soering, an eighteen-year-old German student at the University of Virginia, and his girlfriend Elizabeth Haysom fled to England after the murder of her parents in Bedford County, Virginia. Arrested for cheque fraud in London, Soering confessed to the murders; Virginia sought his extradition to face capital murder charges, and the United States gave the customary assurance that the judge would be told of the United Kingdom's wish that the death penalty not be imposed — an assurance the Home Secretary accepted. Soering's lawyers went to Strasbourg. The Convention did not then prohibit the death penalty (Protocol 6 had not been ratified by the UK), and extradition was a matter for the treaty between the two States; but Article 3 prohibited inhuman or degrading treatment, and Soering argued that six to eight years on Virginia's death row, in the shadow of execution, was itself such treatment — the 'death row phenomenon'. On 7 July 1989 the European Court of Human Rights unanimously agreed. A Contracting State that extradites a person to face a real risk of treatment contrary to Article 3 in the receiving State is itself responsible; the Convention's protection does not stop at the border; and the conditions on Virginia's death row, in the light of Soering's age and mental state, would cross the threshold. Britain could not extradite him unless the capital charge was dropped; it was; Soering was extradited, convicted of first-degree murder, served thirty-three years and was paroled in 2019, still protesting his innocence. Soering is the case every student learns for three propositions: the extra-territorial reach of the Convention, the absolute character of Article 3, and the Court's method — a living instrument, read in the light of present-day conditions.</w:t>
      </w:r>
    </w:p>
    <w:p>
      <w:pPr>
        <w:spacing w:before="240" w:after="120"/>
      </w:pPr>
      <w:r>
        <w:rPr>
          <w:b/>
          <w:bCs/>
          <w:color w:val="404040"/>
          <w:sz w:val="23"/>
          <w:szCs w:val="23"/>
          <w:rFonts w:ascii="Arial" w:cs="Arial" w:eastAsia="Arial" w:hAnsi="Arial"/>
        </w:rPr>
        <w:t xml:space="preserve">The Council of Europe and the Convention</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Council of Europe</w:t>
      </w:r>
      <w:r>
        <w:rPr>
          <w:sz w:val="22"/>
          <w:szCs w:val="22"/>
          <w:rFonts w:ascii="Arial" w:cs="Arial" w:eastAsia="Arial" w:hAnsi="Arial"/>
        </w:rPr>
        <w:t xml:space="preserve"> (Treaty of London, 5 May 1949; ten founders; now 46 members after Russia's expulsion in March 2022) is the intergovernmental organisation for democracy, human rights and the rule of law, distinct from the European Union; its organs are the Committee of Ministers, the Parliamentary Assembly, the Secretary General and the Commissioner for Human Rights (1999). Its first great act was the </w:t>
      </w:r>
      <w:r>
        <w:rPr>
          <w:b/>
          <w:bCs/>
          <w:sz w:val="22"/>
          <w:szCs w:val="22"/>
          <w:rFonts w:ascii="Arial" w:cs="Arial" w:eastAsia="Arial" w:hAnsi="Arial"/>
        </w:rPr>
        <w:t xml:space="preserve">Convention for the Protection of Human Rights and Fundamental Freedoms</w:t>
      </w:r>
      <w:r>
        <w:rPr>
          <w:sz w:val="22"/>
          <w:szCs w:val="22"/>
          <w:rFonts w:ascii="Arial" w:cs="Arial" w:eastAsia="Arial" w:hAnsi="Arial"/>
        </w:rPr>
        <w:t xml:space="preserve"> (Rome, 4 November 1950; in force 3 September 1953) — the first binding treaty to give effect to the UDHR's civil and political rights, drafted quickly under the shadow of Stalinism, with Britain's David Maxwell-Fyfe and France's Pierre-Henri Teitgen as its authors, and with a machinery of collective enforcement: a Commission, a Court and the Committee of Ministers. </w:t>
      </w:r>
      <w:r>
        <w:rPr>
          <w:b/>
          <w:bCs/>
          <w:sz w:val="22"/>
          <w:szCs w:val="22"/>
          <w:rFonts w:ascii="Arial" w:cs="Arial" w:eastAsia="Arial" w:hAnsi="Arial"/>
        </w:rPr>
        <w:t xml:space="preserve">The rights</w:t>
      </w:r>
      <w:r>
        <w:rPr>
          <w:sz w:val="22"/>
          <w:szCs w:val="22"/>
          <w:rFonts w:ascii="Arial" w:cs="Arial" w:eastAsia="Arial" w:hAnsi="Arial"/>
        </w:rPr>
        <w:t xml:space="preserve"> (Section I): Art 2 life (with the original death-penalty exception); Art 3 no torture or inhuman or degrading treatment (absolute); Art 4 no slavery or forced labour; Art 5 liberty and security (with an exhaustive list of permitted detentions, habeas corpus and compensation); Art 6 fair trial (civil and criminal — the most litigated article); Art 7 no punishment without law; Art 8 private and family life, home and correspondence; Art 9 thought, conscience and religion; Art 10 expression; Art 11 assembly and association; Art 12 marriage; Art 13 an effective remedy; Art 14 non-discrimination in the enjoyment of the Convention rights (not free-standing — Protocol 12 adds a general prohibition); Art 15 derogation in war or public emergency (not from Arts 2 (except lawful acts of war), 3, 4(1), 7); Art 16 restrictions on aliens' political activity; Art 17 no abuse of rights; Art 18 limitations only for the prescribed purposes. </w:t>
      </w:r>
      <w:r>
        <w:rPr>
          <w:b/>
          <w:bCs/>
          <w:sz w:val="22"/>
          <w:szCs w:val="22"/>
          <w:rFonts w:ascii="Arial" w:cs="Arial" w:eastAsia="Arial" w:hAnsi="Arial"/>
        </w:rPr>
        <w:t xml:space="preserve">The Protocols</w:t>
      </w:r>
      <w:r>
        <w:rPr>
          <w:sz w:val="22"/>
          <w:szCs w:val="22"/>
          <w:rFonts w:ascii="Arial" w:cs="Arial" w:eastAsia="Arial" w:hAnsi="Arial"/>
        </w:rPr>
        <w:t xml:space="preserve"> add rights: Protocol 1 (1952) — property, education, free elections; Protocol 4 (1963) — no imprisonment for debt, movement, no expulsion of nationals, no collective expulsion of aliens; Protocol 6 (1983) — abolition of the death penalty in peacetime; Protocol 7 (1984) — procedural safeguards for expulsion of aliens, appeal in criminal matters, compensation for wrongful conviction, ne bis in idem, equality of spouses; Protocol 12 (2000) — general prohibition of discrimination; Protocol 13 (2002) — abolition of the death penalty in all circumstances. </w:t>
      </w:r>
      <w:r>
        <w:rPr>
          <w:b/>
          <w:bCs/>
          <w:sz w:val="22"/>
          <w:szCs w:val="22"/>
          <w:rFonts w:ascii="Arial" w:cs="Arial" w:eastAsia="Arial" w:hAnsi="Arial"/>
        </w:rPr>
        <w:t xml:space="preserve">The limitation clauses</w:t>
      </w:r>
      <w:r>
        <w:rPr>
          <w:sz w:val="22"/>
          <w:szCs w:val="22"/>
          <w:rFonts w:ascii="Arial" w:cs="Arial" w:eastAsia="Arial" w:hAnsi="Arial"/>
        </w:rPr>
        <w:t xml:space="preserve"> of Arts 8-11 share a structure: an interference must be (1) 'in accordance with the law' / 'prescribed by law' (accessible, foreseeable), (2) in pursuit of a legitimate aim in the exhaustive list (national security, public safety, the economic well-being of the country, the prevention of disorder or crime, the protection of health or morals, the protection of the rights and freedoms of others), and (3) 'necessary in a democratic society' — a pressing social need, proportionality, relevant and sufficient reasons — the test that Indian courts adopted in Modern Dental College and Puttaswamy.</w:t>
      </w:r>
    </w:p>
    <w:p>
      <w:pPr>
        <w:spacing w:before="240" w:after="120"/>
      </w:pPr>
      <w:r>
        <w:rPr>
          <w:b/>
          <w:bCs/>
          <w:color w:val="404040"/>
          <w:sz w:val="23"/>
          <w:szCs w:val="23"/>
          <w:rFonts w:ascii="Arial" w:cs="Arial" w:eastAsia="Arial" w:hAnsi="Arial"/>
        </w:rPr>
        <w:t xml:space="preserve">The machinery — from the Commission to the permanent Court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1953-1998</w:t>
      </w:r>
      <w:r>
        <w:rPr>
          <w:sz w:val="22"/>
          <w:szCs w:val="22"/>
          <w:rFonts w:ascii="Arial" w:cs="Arial" w:eastAsia="Arial" w:hAnsi="Arial"/>
        </w:rPr>
        <w:t xml:space="preserve">: the </w:t>
      </w:r>
      <w:r>
        <w:rPr>
          <w:b/>
          <w:bCs/>
          <w:sz w:val="22"/>
          <w:szCs w:val="22"/>
          <w:rFonts w:ascii="Arial" w:cs="Arial" w:eastAsia="Arial" w:hAnsi="Arial"/>
        </w:rPr>
        <w:t xml:space="preserve">European Commission of Human Rights</w:t>
      </w:r>
      <w:r>
        <w:rPr>
          <w:sz w:val="22"/>
          <w:szCs w:val="22"/>
          <w:rFonts w:ascii="Arial" w:cs="Arial" w:eastAsia="Arial" w:hAnsi="Arial"/>
        </w:rPr>
        <w:t xml:space="preserve"> (1954) received applications, decided admissibility, found facts, sought friendly settlement and reported an opinion; the </w:t>
      </w:r>
      <w:r>
        <w:rPr>
          <w:b/>
          <w:bCs/>
          <w:sz w:val="22"/>
          <w:szCs w:val="22"/>
          <w:rFonts w:ascii="Arial" w:cs="Arial" w:eastAsia="Arial" w:hAnsi="Arial"/>
        </w:rPr>
        <w:t xml:space="preserve">European Court of Human Rights</w:t>
      </w:r>
      <w:r>
        <w:rPr>
          <w:sz w:val="22"/>
          <w:szCs w:val="22"/>
          <w:rFonts w:ascii="Arial" w:cs="Arial" w:eastAsia="Arial" w:hAnsi="Arial"/>
        </w:rPr>
        <w:t xml:space="preserve"> (1959) heard cases referred by the Commission or a State (individuals could not go to the Court until Protocol 9 in 1994); the </w:t>
      </w:r>
      <w:r>
        <w:rPr>
          <w:b/>
          <w:bCs/>
          <w:sz w:val="22"/>
          <w:szCs w:val="22"/>
          <w:rFonts w:ascii="Arial" w:cs="Arial" w:eastAsia="Arial" w:hAnsi="Arial"/>
        </w:rPr>
        <w:t xml:space="preserve">Committee of Ministers</w:t>
      </w:r>
      <w:r>
        <w:rPr>
          <w:sz w:val="22"/>
          <w:szCs w:val="22"/>
          <w:rFonts w:ascii="Arial" w:cs="Arial" w:eastAsia="Arial" w:hAnsi="Arial"/>
        </w:rPr>
        <w:t xml:space="preserve"> decided cases the Court did not receive and supervised execution. The right of individual petition (old Art 25) and the Court's jurisdiction (old Art 46) were optional — Britain accepted both in 1966, France in 1981. </w:t>
      </w:r>
      <w:r>
        <w:rPr>
          <w:b/>
          <w:bCs/>
          <w:sz w:val="22"/>
          <w:szCs w:val="22"/>
          <w:rFonts w:ascii="Arial" w:cs="Arial" w:eastAsia="Arial" w:hAnsi="Arial"/>
        </w:rPr>
        <w:t xml:space="preserve">Protocol 11 (in force 1 November 1998)</w:t>
      </w:r>
      <w:r>
        <w:rPr>
          <w:sz w:val="22"/>
          <w:szCs w:val="22"/>
          <w:rFonts w:ascii="Arial" w:cs="Arial" w:eastAsia="Arial" w:hAnsi="Arial"/>
        </w:rPr>
        <w:t xml:space="preserve"> abolished the Commission and the Committee's judicial role and created a single, full-time, permanent </w:t>
      </w:r>
      <w:r>
        <w:rPr>
          <w:b/>
          <w:bCs/>
          <w:sz w:val="22"/>
          <w:szCs w:val="22"/>
          <w:rFonts w:ascii="Arial" w:cs="Arial" w:eastAsia="Arial" w:hAnsi="Arial"/>
        </w:rPr>
        <w:t xml:space="preserve">European Court of Human Rights</w:t>
      </w:r>
      <w:r>
        <w:rPr>
          <w:sz w:val="22"/>
          <w:szCs w:val="22"/>
          <w:rFonts w:ascii="Arial" w:cs="Arial" w:eastAsia="Arial" w:hAnsi="Arial"/>
        </w:rPr>
        <w:t xml:space="preserve"> in Strasbourg, with compulsory jurisdiction over individual applications (Art 34) and inter-State cases (Art 33) for all parties; judges (one per State, elected by the Parliamentary Assembly for a nine-year non-renewable term since Protocol 14) sit in single-judge formations (inadmissibility), committees of three (repetitive cases), Chambers of seven and the Grand Chamber of seventeen (Arts 26-31); </w:t>
      </w:r>
      <w:r>
        <w:rPr>
          <w:b/>
          <w:bCs/>
          <w:sz w:val="22"/>
          <w:szCs w:val="22"/>
          <w:rFonts w:ascii="Arial" w:cs="Arial" w:eastAsia="Arial" w:hAnsi="Arial"/>
        </w:rPr>
        <w:t xml:space="preserve">admissibility</w:t>
      </w:r>
      <w:r>
        <w:rPr>
          <w:sz w:val="22"/>
          <w:szCs w:val="22"/>
          <w:rFonts w:ascii="Arial" w:cs="Arial" w:eastAsia="Arial" w:hAnsi="Arial"/>
        </w:rPr>
        <w:t xml:space="preserve"> (Art 35): exhaustion of domestic remedies, four months from the final decision (six before Protocol 15, 2021), not anonymous, not substantially the same as a matter already examined, not incompatible, manifestly ill-founded or an abuse, and (Protocol 14) the applicant has suffered a 'significant disadvantage'; </w:t>
      </w:r>
      <w:r>
        <w:rPr>
          <w:b/>
          <w:bCs/>
          <w:sz w:val="22"/>
          <w:szCs w:val="22"/>
          <w:rFonts w:ascii="Arial" w:cs="Arial" w:eastAsia="Arial" w:hAnsi="Arial"/>
        </w:rPr>
        <w:t xml:space="preserve">judgments</w:t>
      </w:r>
      <w:r>
        <w:rPr>
          <w:sz w:val="22"/>
          <w:szCs w:val="22"/>
          <w:rFonts w:ascii="Arial" w:cs="Arial" w:eastAsia="Arial" w:hAnsi="Arial"/>
        </w:rPr>
        <w:t xml:space="preserve"> (Art 41 — just satisfaction; Art 44 — final; Art 46 — binding on the parties, supervised by the Committee of Ministers, which since Protocol 14 may bring infringement proceedings); </w:t>
      </w:r>
      <w:r>
        <w:rPr>
          <w:b/>
          <w:bCs/>
          <w:sz w:val="22"/>
          <w:szCs w:val="22"/>
          <w:rFonts w:ascii="Arial" w:cs="Arial" w:eastAsia="Arial" w:hAnsi="Arial"/>
        </w:rPr>
        <w:t xml:space="preserve">pilot judgments</w:t>
      </w:r>
      <w:r>
        <w:rPr>
          <w:sz w:val="22"/>
          <w:szCs w:val="22"/>
          <w:rFonts w:ascii="Arial" w:cs="Arial" w:eastAsia="Arial" w:hAnsi="Arial"/>
        </w:rPr>
        <w:t xml:space="preserve"> (Broniowski v. Poland, 2004) for systemic problems; </w:t>
      </w:r>
      <w:r>
        <w:rPr>
          <w:b/>
          <w:bCs/>
          <w:sz w:val="22"/>
          <w:szCs w:val="22"/>
          <w:rFonts w:ascii="Arial" w:cs="Arial" w:eastAsia="Arial" w:hAnsi="Arial"/>
        </w:rPr>
        <w:t xml:space="preserve">interim measures</w:t>
      </w:r>
      <w:r>
        <w:rPr>
          <w:sz w:val="22"/>
          <w:szCs w:val="22"/>
          <w:rFonts w:ascii="Arial" w:cs="Arial" w:eastAsia="Arial" w:hAnsi="Arial"/>
        </w:rPr>
        <w:t xml:space="preserve"> (Rule 39 — Mamatkulov v. Turkey, 2005, made them binding); </w:t>
      </w:r>
      <w:r>
        <w:rPr>
          <w:b/>
          <w:bCs/>
          <w:sz w:val="22"/>
          <w:szCs w:val="22"/>
          <w:rFonts w:ascii="Arial" w:cs="Arial" w:eastAsia="Arial" w:hAnsi="Arial"/>
        </w:rPr>
        <w:t xml:space="preserve">Protocol 16 (2018)</w:t>
      </w:r>
      <w:r>
        <w:rPr>
          <w:sz w:val="22"/>
          <w:szCs w:val="22"/>
          <w:rFonts w:ascii="Arial" w:cs="Arial" w:eastAsia="Arial" w:hAnsi="Arial"/>
        </w:rPr>
        <w:t xml:space="preserve"> — advisory opinions at the request of the highest national courts. The docket: about 60,000 pending applications (from a peak of 160,000 in 2011), most from Russia (until 2022), Turkey, Ukraine and Romania; over 25,000 judgments since 1959. The Court's remedies are declaratory plus damages; the State chooses the means of compliance (individual measures — reopening, release; general measures — legislation), and the Committee of Ministers' supervision is the enforcement — with the United Kingdom's prisoner-voting refusal (Hirst, 2005-2018) and Russia's 2015 constitutional-court doctrine of non-execution as the limits.</w:t>
      </w:r>
    </w:p>
    <w:p>
      <w:pPr>
        <w:spacing w:before="240" w:after="120"/>
      </w:pPr>
      <w:r>
        <w:rPr>
          <w:b/>
          <w:bCs/>
          <w:color w:val="404040"/>
          <w:sz w:val="23"/>
          <w:szCs w:val="23"/>
          <w:rFonts w:ascii="Arial" w:cs="Arial" w:eastAsia="Arial" w:hAnsi="Arial"/>
        </w:rPr>
        <w:t xml:space="preserve">The doctrines</w:t>
      </w:r>
    </w:p>
    <w:p>
      <w:pPr>
        <w:spacing w:after="120" w:line="300"/>
        <w:jc w:val="both"/>
      </w:pPr>
      <w:r>
        <w:rPr>
          <w:sz w:val="22"/>
          <w:szCs w:val="22"/>
          <w:rFonts w:ascii="Arial" w:cs="Arial" w:eastAsia="Arial" w:hAnsi="Arial"/>
        </w:rPr>
        <w:t xml:space="preserve">(1) </w:t>
      </w:r>
      <w:r>
        <w:rPr>
          <w:b/>
          <w:bCs/>
          <w:sz w:val="22"/>
          <w:szCs w:val="22"/>
          <w:rFonts w:ascii="Arial" w:cs="Arial" w:eastAsia="Arial" w:hAnsi="Arial"/>
        </w:rPr>
        <w:t xml:space="preserve">The margin of appreciation</w:t>
      </w:r>
      <w:r>
        <w:rPr>
          <w:sz w:val="22"/>
          <w:szCs w:val="22"/>
          <w:rFonts w:ascii="Arial" w:cs="Arial" w:eastAsia="Arial" w:hAnsi="Arial"/>
        </w:rPr>
        <w:t xml:space="preserve"> — the latitude the Court allows national authorities in assessing the necessity of an interference, wider where there is no European consensus and in matters of morals, religion and national security (Handyside v. UK, 1976 — the Little Red Schoolbook; the authorities are 'in principle in a better position than the international judge to give an opinion on the exact content of these requirements'), narrower for the core of a right or where consensus exists; Protocol 15 (2021) inserted it into the Preamble with the principle of subsidiarity. (2) </w:t>
      </w:r>
      <w:r>
        <w:rPr>
          <w:b/>
          <w:bCs/>
          <w:sz w:val="22"/>
          <w:szCs w:val="22"/>
          <w:rFonts w:ascii="Arial" w:cs="Arial" w:eastAsia="Arial" w:hAnsi="Arial"/>
        </w:rPr>
        <w:t xml:space="preserve">Proportionality</w:t>
      </w:r>
      <w:r>
        <w:rPr>
          <w:sz w:val="22"/>
          <w:szCs w:val="22"/>
          <w:rFonts w:ascii="Arial" w:cs="Arial" w:eastAsia="Arial" w:hAnsi="Arial"/>
        </w:rPr>
        <w:t xml:space="preserve"> — the fair balance between the general interest and the individual's rights, with the least restrictive means (Sporrong and Lönnroth, 1982). (3) </w:t>
      </w:r>
      <w:r>
        <w:rPr>
          <w:b/>
          <w:bCs/>
          <w:sz w:val="22"/>
          <w:szCs w:val="22"/>
          <w:rFonts w:ascii="Arial" w:cs="Arial" w:eastAsia="Arial" w:hAnsi="Arial"/>
        </w:rPr>
        <w:t xml:space="preserve">Positive obligations</w:t>
      </w:r>
      <w:r>
        <w:rPr>
          <w:sz w:val="22"/>
          <w:szCs w:val="22"/>
          <w:rFonts w:ascii="Arial" w:cs="Arial" w:eastAsia="Arial" w:hAnsi="Arial"/>
        </w:rPr>
        <w:t xml:space="preserve"> — the State must not only refrain but act: to protect life from known risks (Osman v. UK, 1998), to investigate deaths and torture (McCann v. UK, 1995 — the Gibraltar shootings; Assenov v. Bulgaria, 1998), to protect private life against private parties (X and Y v. Netherlands, 1985; horizontal effect), to protect against domestic violence (Opuz v. Turkey, 2009), to prevent environmental harm (López Ostra v. Spain, 1994). (4) </w:t>
      </w:r>
      <w:r>
        <w:rPr>
          <w:b/>
          <w:bCs/>
          <w:sz w:val="22"/>
          <w:szCs w:val="22"/>
          <w:rFonts w:ascii="Arial" w:cs="Arial" w:eastAsia="Arial" w:hAnsi="Arial"/>
        </w:rPr>
        <w:t xml:space="preserve">The living instrument</w:t>
      </w:r>
      <w:r>
        <w:rPr>
          <w:sz w:val="22"/>
          <w:szCs w:val="22"/>
          <w:rFonts w:ascii="Arial" w:cs="Arial" w:eastAsia="Arial" w:hAnsi="Arial"/>
        </w:rPr>
        <w:t xml:space="preserve"> — the Convention is interpreted 'in the light of present-day conditions' (Tyrer v. UK, 1978 — judicial birching in the Isle of Man degrading; Marckx v. Belgium, 1979 — illegitimate children; Goodwin v. UK, 2002 — transsexuals' right to marry, overruling earlier cases). (5) </w:t>
      </w:r>
      <w:r>
        <w:rPr>
          <w:b/>
          <w:bCs/>
          <w:sz w:val="22"/>
          <w:szCs w:val="22"/>
          <w:rFonts w:ascii="Arial" w:cs="Arial" w:eastAsia="Arial" w:hAnsi="Arial"/>
        </w:rPr>
        <w:t xml:space="preserve">Autonomous concepts</w:t>
      </w:r>
      <w:r>
        <w:rPr>
          <w:sz w:val="22"/>
          <w:szCs w:val="22"/>
          <w:rFonts w:ascii="Arial" w:cs="Arial" w:eastAsia="Arial" w:hAnsi="Arial"/>
        </w:rPr>
        <w:t xml:space="preserve"> — 'civil rights and obligations', 'criminal charge' (Engel v. Netherlands, 1976) have Convention meanings independent of national labels. (6) </w:t>
      </w:r>
      <w:r>
        <w:rPr>
          <w:b/>
          <w:bCs/>
          <w:sz w:val="22"/>
          <w:szCs w:val="22"/>
          <w:rFonts w:ascii="Arial" w:cs="Arial" w:eastAsia="Arial" w:hAnsi="Arial"/>
        </w:rPr>
        <w:t xml:space="preserve">Effectiveness</w:t>
      </w:r>
      <w:r>
        <w:rPr>
          <w:sz w:val="22"/>
          <w:szCs w:val="22"/>
          <w:rFonts w:ascii="Arial" w:cs="Arial" w:eastAsia="Arial" w:hAnsi="Arial"/>
        </w:rPr>
        <w:t xml:space="preserve"> — rights that are 'practical and effective, not theoretical and illusory' (Airey v. Ireland, 1979 — legal aid for a separation petition). (7) </w:t>
      </w:r>
      <w:r>
        <w:rPr>
          <w:b/>
          <w:bCs/>
          <w:sz w:val="22"/>
          <w:szCs w:val="22"/>
          <w:rFonts w:ascii="Arial" w:cs="Arial" w:eastAsia="Arial" w:hAnsi="Arial"/>
        </w:rPr>
        <w:t xml:space="preserve">Extra-territoriality</w:t>
      </w:r>
      <w:r>
        <w:rPr>
          <w:sz w:val="22"/>
          <w:szCs w:val="22"/>
          <w:rFonts w:ascii="Arial" w:cs="Arial" w:eastAsia="Arial" w:hAnsi="Arial"/>
        </w:rPr>
        <w:t xml:space="preserve"> — jurisdiction under Art 1 extends to territory under effective control (Loizidou v. Turkey, 1995; Al-Skeini v. UK, 2011 — Iraq) and to the consequences of expulsion (Soering; Chahal v. UK, 1996 — deportation of a Sikh separatist to India barred under Art 3 regardless of national-security grounds; Saadi v. Italy, 2008). (8) </w:t>
      </w:r>
      <w:r>
        <w:rPr>
          <w:b/>
          <w:bCs/>
          <w:sz w:val="22"/>
          <w:szCs w:val="22"/>
          <w:rFonts w:ascii="Arial" w:cs="Arial" w:eastAsia="Arial" w:hAnsi="Arial"/>
        </w:rPr>
        <w:t xml:space="preserve">Absolute rights</w:t>
      </w:r>
      <w:r>
        <w:rPr>
          <w:sz w:val="22"/>
          <w:szCs w:val="22"/>
          <w:rFonts w:ascii="Arial" w:cs="Arial" w:eastAsia="Arial" w:hAnsi="Arial"/>
        </w:rPr>
        <w:t xml:space="preserve"> — Art 3 admits no balancing (Ireland v. UK, 1978 — the five techniques were inhuman and degrading, not torture; revisited 2018; Gäfgen v. Germany, 2010 — threats of torture to find a kidnapped child violated Art 3). (9) </w:t>
      </w:r>
      <w:r>
        <w:rPr>
          <w:b/>
          <w:bCs/>
          <w:sz w:val="22"/>
          <w:szCs w:val="22"/>
          <w:rFonts w:ascii="Arial" w:cs="Arial" w:eastAsia="Arial" w:hAnsi="Arial"/>
        </w:rPr>
        <w:t xml:space="preserve">Subsidiarity and the fourth-instance rule</w:t>
      </w:r>
      <w:r>
        <w:rPr>
          <w:sz w:val="22"/>
          <w:szCs w:val="22"/>
          <w:rFonts w:ascii="Arial" w:cs="Arial" w:eastAsia="Arial" w:hAnsi="Arial"/>
        </w:rPr>
        <w:t xml:space="preserve"> — the Court does not re-try facts or national law. (10) </w:t>
      </w:r>
      <w:r>
        <w:rPr>
          <w:b/>
          <w:bCs/>
          <w:sz w:val="22"/>
          <w:szCs w:val="22"/>
          <w:rFonts w:ascii="Arial" w:cs="Arial" w:eastAsia="Arial" w:hAnsi="Arial"/>
        </w:rPr>
        <w:t xml:space="preserve">Erga omnes effect of the case law</w:t>
      </w:r>
      <w:r>
        <w:rPr>
          <w:sz w:val="22"/>
          <w:szCs w:val="22"/>
          <w:rFonts w:ascii="Arial" w:cs="Arial" w:eastAsia="Arial" w:hAnsi="Arial"/>
        </w:rPr>
        <w:t xml:space="preserve"> — the res interpretata that binds all States in practice.</w:t>
      </w:r>
    </w:p>
    <w:p>
      <w:pPr>
        <w:spacing w:before="240" w:after="120"/>
      </w:pPr>
      <w:r>
        <w:rPr>
          <w:b/>
          <w:bCs/>
          <w:color w:val="404040"/>
          <w:sz w:val="23"/>
          <w:szCs w:val="23"/>
          <w:rFonts w:ascii="Arial" w:cs="Arial" w:eastAsia="Arial" w:hAnsi="Arial"/>
        </w:rPr>
        <w:t xml:space="preserve">Landmark cases — a selection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Case</w:t>
            </w:r>
          </w:p>
        </w:tc>
        <w:tc>
          <w:tcPr>
            <w:tcW w:type="dxa" w:w="6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Holding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Lawless v. Ireland (1961)</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first judgment; Art 15 derogation for the IRA emergency upheld; 'public emergency threatening the life of the nation' defined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Golder v. UK (1975)</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 6 includes a right of access to a court; a prisoner refused permission to consult a solicitor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Handyside v. UK (1976)</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 10 protects information and ideas that 'offend, shock or disturb'; the margin of appreciation on morals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Tyrer v. UK (1978)</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Judicial corporal punishment is degrading; the living instrument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Sunday Times v. UK (1979)</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thalidomide injunction violated Art 10; 'prescribed by law' requires accessibility and foreseeability; the press's watchdog role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Dudgeon v. UK (1981)</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Northern Ireland's criminalisation of homosexual acts violated Art 8 — the precursor of Toonen and Navtej Johar</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Soering v. UK (1989)</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Extradition to face the death-row phenomenon violates Art 3; extra-territorial responsibility</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McCann v. UK (1995)</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right to life includes a duty of effective investigation and of planning operations to minimise lethal force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Chahal v. UK (1996)</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 3 is absolute; no deportation to a real risk of ill-treatment even on national-security grounds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Osman v. UK (1998)</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Positive obligation to protect life where the authorities knew or ought to have known of a real and immediate risk</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Goodwin v. UK (2002)</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Transsexual persons' rights to legal recognition and marriage under Arts 8 and 12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Hirst v. UK (No 2) (2005)</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 blanket ban on prisoners' voting violates Art 3 of Protocol 1; the UK's thirteen-year non-compliance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Öcalan v. Turkey (2005); Al-Saadoon v. UK (2010)</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death penalty after an unfair trial is inhuman; Art 2 and 3 read with Protocol 13 now bar the death penalty in all circumstances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Al-Skeini v. UK (2011)</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Convention applies to British forces' conduct in Iraq — jurisdiction through State agents' authority and control</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S.A.S. v. France (2014)</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The face-veil ban upheld under 'living together' — a wide margin on religious symbols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Big Brother Watch v. UK (2021)</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Bulk interception regimes need end-to-end safeguards; the digital-surveillance standard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Verein KlimaSeniorinnen v. Switzerland (2024)</w:t>
            </w:r>
          </w:p>
        </w:tc>
        <w:tc>
          <w:tcPr>
            <w:tcW w:type="dxa" w:w="6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Inadequate climate policy violated Art 8 — the first climate-change judgment of an international human-rights court</w:t>
            </w:r>
          </w:p>
        </w:tc>
      </w:tr>
    </w:tbl>
    <w:p>
      <w:pPr>
        <w:spacing w:before="240" w:after="120"/>
      </w:pPr>
      <w:r>
        <w:rPr>
          <w:b/>
          <w:bCs/>
          <w:color w:val="404040"/>
          <w:sz w:val="23"/>
          <w:szCs w:val="23"/>
          <w:rFonts w:ascii="Arial" w:cs="Arial" w:eastAsia="Arial" w:hAnsi="Arial"/>
        </w:rPr>
        <w:t xml:space="preserve">The European Social Charter</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European Social Charter (Turin, 1961; revised 1996)</w:t>
      </w:r>
      <w:r>
        <w:rPr>
          <w:sz w:val="22"/>
          <w:szCs w:val="22"/>
          <w:rFonts w:ascii="Arial" w:cs="Arial" w:eastAsia="Arial" w:hAnsi="Arial"/>
        </w:rPr>
        <w:t xml:space="preserve"> is the Council of Europe's economic and social counterpart: the rights to work, just conditions, safe conditions, fair remuneration, to organise and bargain collectively, protection of children and young persons, of employed women, vocational guidance and training, health, social security, social and medical assistance, social welfare services, of the disabled, of the family, of mothers and children, to engage in gainful occupation in other parties' territory, of migrant workers, and (1996) to equal opportunities, information and consultation, dignity at work, housing, protection against poverty and social exclusion; States choose a core of articles to accept ('à la carte'); supervision is by the </w:t>
      </w:r>
      <w:r>
        <w:rPr>
          <w:b/>
          <w:bCs/>
          <w:sz w:val="22"/>
          <w:szCs w:val="22"/>
          <w:rFonts w:ascii="Arial" w:cs="Arial" w:eastAsia="Arial" w:hAnsi="Arial"/>
        </w:rPr>
        <w:t xml:space="preserve">European Committee of Social Rights</w:t>
      </w:r>
      <w:r>
        <w:rPr>
          <w:sz w:val="22"/>
          <w:szCs w:val="22"/>
          <w:rFonts w:ascii="Arial" w:cs="Arial" w:eastAsia="Arial" w:hAnsi="Arial"/>
        </w:rPr>
        <w:t xml:space="preserve"> through national reports and, under the 1995 Additional Protocol, </w:t>
      </w:r>
      <w:r>
        <w:rPr>
          <w:b/>
          <w:bCs/>
          <w:sz w:val="22"/>
          <w:szCs w:val="22"/>
          <w:rFonts w:ascii="Arial" w:cs="Arial" w:eastAsia="Arial" w:hAnsi="Arial"/>
        </w:rPr>
        <w:t xml:space="preserve">collective complaints</w:t>
      </w:r>
      <w:r>
        <w:rPr>
          <w:sz w:val="22"/>
          <w:szCs w:val="22"/>
          <w:rFonts w:ascii="Arial" w:cs="Arial" w:eastAsia="Arial" w:hAnsi="Arial"/>
        </w:rPr>
        <w:t xml:space="preserve"> by trade unions, employers' organisations and NGOs (not individuals) — the Committee's 'decisions on the merits' (the Roma housing cases against Greece, Italy and France; the Irish and Finnish cases on corporal punishment and social security; the 2012-14 Greek austerity decisions) are followed up by the Committee of Ministers. The Charter and the Convention together are the European 'two covenants'.</w:t>
      </w:r>
    </w:p>
    <w:p>
      <w:pPr>
        <w:spacing w:before="240" w:after="120"/>
      </w:pPr>
      <w:r>
        <w:rPr>
          <w:b/>
          <w:bCs/>
          <w:color w:val="404040"/>
          <w:sz w:val="23"/>
          <w:szCs w:val="23"/>
          <w:rFonts w:ascii="Arial" w:cs="Arial" w:eastAsia="Arial" w:hAnsi="Arial"/>
        </w:rPr>
        <w:t xml:space="preserve">The European Union — the Charter and the Court of Justice</w:t>
      </w:r>
    </w:p>
    <w:p>
      <w:pPr>
        <w:spacing w:after="120" w:line="300"/>
        <w:jc w:val="both"/>
      </w:pPr>
      <w:r>
        <w:rPr>
          <w:sz w:val="22"/>
          <w:szCs w:val="22"/>
          <w:rFonts w:ascii="Arial" w:cs="Arial" w:eastAsia="Arial" w:hAnsi="Arial"/>
        </w:rPr>
        <w:t xml:space="preserve">The syllabus's 'European Court of Justice' is the court of the </w:t>
      </w:r>
      <w:r>
        <w:rPr>
          <w:b/>
          <w:bCs/>
          <w:sz w:val="22"/>
          <w:szCs w:val="22"/>
          <w:rFonts w:ascii="Arial" w:cs="Arial" w:eastAsia="Arial" w:hAnsi="Arial"/>
        </w:rPr>
        <w:t xml:space="preserve">European Union</w:t>
      </w:r>
      <w:r>
        <w:rPr>
          <w:sz w:val="22"/>
          <w:szCs w:val="22"/>
          <w:rFonts w:ascii="Arial" w:cs="Arial" w:eastAsia="Arial" w:hAnsi="Arial"/>
        </w:rPr>
        <w:t xml:space="preserve"> — a separate organisation (the Treaty of Rome 1957; the Maastricht Treaty 1992; the Lisbon Treaty 2009; 27 members) whose </w:t>
      </w:r>
      <w:r>
        <w:rPr>
          <w:b/>
          <w:bCs/>
          <w:sz w:val="22"/>
          <w:szCs w:val="22"/>
          <w:rFonts w:ascii="Arial" w:cs="Arial" w:eastAsia="Arial" w:hAnsi="Arial"/>
        </w:rPr>
        <w:t xml:space="preserve">Court of Justice of the European Union</w:t>
      </w:r>
      <w:r>
        <w:rPr>
          <w:sz w:val="22"/>
          <w:szCs w:val="22"/>
          <w:rFonts w:ascii="Arial" w:cs="Arial" w:eastAsia="Arial" w:hAnsi="Arial"/>
        </w:rPr>
        <w:t xml:space="preserve"> (CJEU, Luxembourg — the Court of Justice and the General Court) interprets and applies EU law, chiefly through </w:t>
      </w:r>
      <w:r>
        <w:rPr>
          <w:b/>
          <w:bCs/>
          <w:sz w:val="22"/>
          <w:szCs w:val="22"/>
          <w:rFonts w:ascii="Arial" w:cs="Arial" w:eastAsia="Arial" w:hAnsi="Arial"/>
        </w:rPr>
        <w:t xml:space="preserve">preliminary references</w:t>
      </w:r>
      <w:r>
        <w:rPr>
          <w:sz w:val="22"/>
          <w:szCs w:val="22"/>
          <w:rFonts w:ascii="Arial" w:cs="Arial" w:eastAsia="Arial" w:hAnsi="Arial"/>
        </w:rPr>
        <w:t xml:space="preserve"> from national courts (Art 267 TFEU), infringement actions against States (Art 258) and annulment actions (Art 263). The EU's treaties originally said nothing of human rights; the Court of Justice, faced with the German Constitutional Court's threat to review Community law against German fundamental rights (Internationale Handelsgesellschaft, 1970; Solange I, 1974), declared that fundamental rights form part of the </w:t>
      </w:r>
      <w:r>
        <w:rPr>
          <w:b/>
          <w:bCs/>
          <w:sz w:val="22"/>
          <w:szCs w:val="22"/>
          <w:rFonts w:ascii="Arial" w:cs="Arial" w:eastAsia="Arial" w:hAnsi="Arial"/>
        </w:rPr>
        <w:t xml:space="preserve">general principles of Community law</w:t>
      </w:r>
      <w:r>
        <w:rPr>
          <w:sz w:val="22"/>
          <w:szCs w:val="22"/>
          <w:rFonts w:ascii="Arial" w:cs="Arial" w:eastAsia="Arial" w:hAnsi="Arial"/>
        </w:rPr>
        <w:t xml:space="preserve"> which the Court protects, drawing on the constitutional traditions common to the member States and on international instruments, in particular the ECHR (Stauder, 1969; Nold, 1974; Hauer, 1979); the Maastricht Treaty (Art F, now Art 6 TEU) codified it; the </w:t>
      </w:r>
      <w:r>
        <w:rPr>
          <w:b/>
          <w:bCs/>
          <w:sz w:val="22"/>
          <w:szCs w:val="22"/>
          <w:rFonts w:ascii="Arial" w:cs="Arial" w:eastAsia="Arial" w:hAnsi="Arial"/>
        </w:rPr>
        <w:t xml:space="preserve">Charter of Fundamental Rights of the European Union</w:t>
      </w:r>
      <w:r>
        <w:rPr>
          <w:sz w:val="22"/>
          <w:szCs w:val="22"/>
          <w:rFonts w:ascii="Arial" w:cs="Arial" w:eastAsia="Arial" w:hAnsi="Arial"/>
        </w:rPr>
        <w:t xml:space="preserve"> (Nice, 2000) became legally binding with the Lisbon Treaty (Art 6(1) TEU — the same legal value as the Treaties) — 54 articles in seven titles (dignity, freedoms, equality, solidarity, citizens' rights, justice, general provisions), including social rights, data protection (Art 8), a right to good administration (Art 41) and the environment; it binds the EU's institutions and the member States 'only when they are implementing Union law' (Art 51); Art 52(3) aligns its rights with the ECHR's. The Court's human-rights jurisprudence: </w:t>
      </w:r>
      <w:r>
        <w:rPr>
          <w:b/>
          <w:bCs/>
          <w:sz w:val="22"/>
          <w:szCs w:val="22"/>
          <w:rFonts w:ascii="Arial" w:cs="Arial" w:eastAsia="Arial" w:hAnsi="Arial"/>
        </w:rPr>
        <w:t xml:space="preserve">Kadi v. Council and Commission (2008)</w:t>
      </w:r>
      <w:r>
        <w:rPr>
          <w:sz w:val="22"/>
          <w:szCs w:val="22"/>
          <w:rFonts w:ascii="Arial" w:cs="Arial" w:eastAsia="Arial" w:hAnsi="Arial"/>
        </w:rPr>
        <w:t xml:space="preserve"> — the EU regulation implementing UN Security Council terrorist-asset freezes annulled for violating the right to be heard, effective judicial protection and property — EU law's fundamental-rights guarantees prevail even over Chapter VII obligations as implemented in the EU order; </w:t>
      </w:r>
      <w:r>
        <w:rPr>
          <w:b/>
          <w:bCs/>
          <w:sz w:val="22"/>
          <w:szCs w:val="22"/>
          <w:rFonts w:ascii="Arial" w:cs="Arial" w:eastAsia="Arial" w:hAnsi="Arial"/>
        </w:rPr>
        <w:t xml:space="preserve">Digital Rights Ireland (2014)</w:t>
      </w:r>
      <w:r>
        <w:rPr>
          <w:sz w:val="22"/>
          <w:szCs w:val="22"/>
          <w:rFonts w:ascii="Arial" w:cs="Arial" w:eastAsia="Arial" w:hAnsi="Arial"/>
        </w:rPr>
        <w:t xml:space="preserve"> — the Data Retention Directive invalid under Arts 7 and 8 of the Charter; </w:t>
      </w:r>
      <w:r>
        <w:rPr>
          <w:b/>
          <w:bCs/>
          <w:sz w:val="22"/>
          <w:szCs w:val="22"/>
          <w:rFonts w:ascii="Arial" w:cs="Arial" w:eastAsia="Arial" w:hAnsi="Arial"/>
        </w:rPr>
        <w:t xml:space="preserve">Google Spain (2014)</w:t>
      </w:r>
      <w:r>
        <w:rPr>
          <w:sz w:val="22"/>
          <w:szCs w:val="22"/>
          <w:rFonts w:ascii="Arial" w:cs="Arial" w:eastAsia="Arial" w:hAnsi="Arial"/>
        </w:rPr>
        <w:t xml:space="preserve"> — the right to be forgotten; </w:t>
      </w:r>
      <w:r>
        <w:rPr>
          <w:b/>
          <w:bCs/>
          <w:sz w:val="22"/>
          <w:szCs w:val="22"/>
          <w:rFonts w:ascii="Arial" w:cs="Arial" w:eastAsia="Arial" w:hAnsi="Arial"/>
        </w:rPr>
        <w:t xml:space="preserve">Schrems I and II (2015, 2020)</w:t>
      </w:r>
      <w:r>
        <w:rPr>
          <w:sz w:val="22"/>
          <w:szCs w:val="22"/>
          <w:rFonts w:ascii="Arial" w:cs="Arial" w:eastAsia="Arial" w:hAnsi="Arial"/>
        </w:rPr>
        <w:t xml:space="preserve"> — the invalidation of the EU-US data-transfer frameworks for inadequate protection against US surveillance; </w:t>
      </w:r>
      <w:r>
        <w:rPr>
          <w:b/>
          <w:bCs/>
          <w:sz w:val="22"/>
          <w:szCs w:val="22"/>
          <w:rFonts w:ascii="Arial" w:cs="Arial" w:eastAsia="Arial" w:hAnsi="Arial"/>
        </w:rPr>
        <w:t xml:space="preserve">Tele2 Sverige (2016)</w:t>
      </w:r>
      <w:r>
        <w:rPr>
          <w:sz w:val="22"/>
          <w:szCs w:val="22"/>
          <w:rFonts w:ascii="Arial" w:cs="Arial" w:eastAsia="Arial" w:hAnsi="Arial"/>
        </w:rPr>
        <w:t xml:space="preserve">, </w:t>
      </w:r>
      <w:r>
        <w:rPr>
          <w:b/>
          <w:bCs/>
          <w:sz w:val="22"/>
          <w:szCs w:val="22"/>
          <w:rFonts w:ascii="Arial" w:cs="Arial" w:eastAsia="Arial" w:hAnsi="Arial"/>
        </w:rPr>
        <w:t xml:space="preserve">La Quadrature du Net (2020)</w:t>
      </w:r>
      <w:r>
        <w:rPr>
          <w:sz w:val="22"/>
          <w:szCs w:val="22"/>
          <w:rFonts w:ascii="Arial" w:cs="Arial" w:eastAsia="Arial" w:hAnsi="Arial"/>
        </w:rPr>
        <w:t xml:space="preserve"> — limits on general data retention; </w:t>
      </w:r>
      <w:r>
        <w:rPr>
          <w:b/>
          <w:bCs/>
          <w:sz w:val="22"/>
          <w:szCs w:val="22"/>
          <w:rFonts w:ascii="Arial" w:cs="Arial" w:eastAsia="Arial" w:hAnsi="Arial"/>
        </w:rPr>
        <w:t xml:space="preserve">Coman (2018)</w:t>
      </w:r>
      <w:r>
        <w:rPr>
          <w:sz w:val="22"/>
          <w:szCs w:val="22"/>
          <w:rFonts w:ascii="Arial" w:cs="Arial" w:eastAsia="Arial" w:hAnsi="Arial"/>
        </w:rPr>
        <w:t xml:space="preserve"> — same-sex spouses' free movement; </w:t>
      </w:r>
      <w:r>
        <w:rPr>
          <w:b/>
          <w:bCs/>
          <w:sz w:val="22"/>
          <w:szCs w:val="22"/>
          <w:rFonts w:ascii="Arial" w:cs="Arial" w:eastAsia="Arial" w:hAnsi="Arial"/>
        </w:rPr>
        <w:t xml:space="preserve">Commission v. Poland (2019-23)</w:t>
      </w:r>
      <w:r>
        <w:rPr>
          <w:sz w:val="22"/>
          <w:szCs w:val="22"/>
          <w:rFonts w:ascii="Arial" w:cs="Arial" w:eastAsia="Arial" w:hAnsi="Arial"/>
        </w:rPr>
        <w:t xml:space="preserve"> — judicial independence under Art 19 TEU and the rule-of-law conditionality. </w:t>
      </w:r>
      <w:r>
        <w:rPr>
          <w:b/>
          <w:bCs/>
          <w:sz w:val="22"/>
          <w:szCs w:val="22"/>
          <w:rFonts w:ascii="Arial" w:cs="Arial" w:eastAsia="Arial" w:hAnsi="Arial"/>
        </w:rPr>
        <w:t xml:space="preserve">The relationship between the two courts</w:t>
      </w:r>
      <w:r>
        <w:rPr>
          <w:sz w:val="22"/>
          <w:szCs w:val="22"/>
          <w:rFonts w:ascii="Arial" w:cs="Arial" w:eastAsia="Arial" w:hAnsi="Arial"/>
        </w:rPr>
        <w:t xml:space="preserve">: the EU is not a party to the ECHR (Lisbon's Art 6(2) requires accession; the CJEU's Opinion 2/13 (2014) rejected the draft accession agreement as incompatible with the autonomy of EU law; negotiations resumed in 2020); the Strasbourg Court presumes that EU law provides 'equivalent protection' (Bosphorus v. Ireland, 2005) and reviews only manifest deficiencies; the CJEU treats the ECHR as a source of general principles and the Charter's floor; national courts must apply both; and the CJEU's Kadi and the ECtHR's Al-Dulimi (2016) together assert that even UN-mandated measures must respect fundamental rights in Europe.</w:t>
      </w:r>
    </w:p>
    <w:p>
      <w:pPr>
        <w:pBdr>
          <w:left w:val="single" w:color="CC0000" w:sz="6" w:space="8"/>
        </w:pBdr>
        <w:spacing w:before="80" w:after="80"/>
        <w:ind w:left="300"/>
      </w:pPr>
      <w:r>
        <w:rPr>
          <w:b/>
          <w:bCs/>
          <w:color w:val="CC0000"/>
          <w:sz w:val="21"/>
          <w:szCs w:val="21"/>
          <w:rFonts w:ascii="Arial" w:cs="Arial" w:eastAsia="Arial" w:hAnsi="Arial"/>
        </w:rPr>
        <w:t xml:space="preserve">Soering v. United Kingdom (1989) 11 EHRR 439 — </w:t>
      </w:r>
      <w:r>
        <w:rPr>
          <w:sz w:val="21"/>
          <w:szCs w:val="21"/>
          <w:rFonts w:ascii="Arial" w:cs="Arial" w:eastAsia="Arial" w:hAnsi="Arial"/>
        </w:rPr>
        <w:t xml:space="preserve">Extradition to face the death-row phenomenon would violate Art 3; the Convention's protection extends to the foreseeable consequences of removal; Art 3 admits no balancing against extradition interests.</w:t>
      </w:r>
    </w:p>
    <w:p>
      <w:pPr>
        <w:pBdr>
          <w:left w:val="single" w:color="CC0000" w:sz="6" w:space="8"/>
        </w:pBdr>
        <w:spacing w:before="80" w:after="80"/>
        <w:ind w:left="300"/>
      </w:pPr>
      <w:r>
        <w:rPr>
          <w:b/>
          <w:bCs/>
          <w:color w:val="CC0000"/>
          <w:sz w:val="21"/>
          <w:szCs w:val="21"/>
          <w:rFonts w:ascii="Arial" w:cs="Arial" w:eastAsia="Arial" w:hAnsi="Arial"/>
        </w:rPr>
        <w:t xml:space="preserve">Handyside v. United Kingdom (1976) 1 EHRR 737 — </w:t>
      </w:r>
      <w:r>
        <w:rPr>
          <w:sz w:val="21"/>
          <w:szCs w:val="21"/>
          <w:rFonts w:ascii="Arial" w:cs="Arial" w:eastAsia="Arial" w:hAnsi="Arial"/>
        </w:rPr>
        <w:t xml:space="preserve">Freedom of expression protects ideas that offend, shock or disturb; the margin of appreciation is widest on morals; the Court's supervision remains.</w:t>
      </w:r>
    </w:p>
    <w:p>
      <w:pPr>
        <w:pBdr>
          <w:left w:val="single" w:color="CC0000" w:sz="6" w:space="8"/>
        </w:pBdr>
        <w:spacing w:before="80" w:after="80"/>
        <w:ind w:left="300"/>
      </w:pPr>
      <w:r>
        <w:rPr>
          <w:b/>
          <w:bCs/>
          <w:color w:val="CC0000"/>
          <w:sz w:val="21"/>
          <w:szCs w:val="21"/>
          <w:rFonts w:ascii="Arial" w:cs="Arial" w:eastAsia="Arial" w:hAnsi="Arial"/>
        </w:rPr>
        <w:t xml:space="preserve">Chahal v. United Kingdom (1996) 23 EHRR 413 — </w:t>
      </w:r>
      <w:r>
        <w:rPr>
          <w:sz w:val="21"/>
          <w:szCs w:val="21"/>
          <w:rFonts w:ascii="Arial" w:cs="Arial" w:eastAsia="Arial" w:hAnsi="Arial"/>
        </w:rPr>
        <w:t xml:space="preserve">No deportation to India of a Sikh militant facing a real risk of torture; Art 3 is absolute and national security cannot outweigh it; indefinite detention without effective review violated Art 5(4).</w:t>
      </w:r>
    </w:p>
    <w:p>
      <w:pPr>
        <w:pBdr>
          <w:left w:val="single" w:color="CC0000" w:sz="6" w:space="8"/>
        </w:pBdr>
        <w:spacing w:before="80" w:after="80"/>
        <w:ind w:left="300"/>
      </w:pPr>
      <w:r>
        <w:rPr>
          <w:b/>
          <w:bCs/>
          <w:color w:val="CC0000"/>
          <w:sz w:val="21"/>
          <w:szCs w:val="21"/>
          <w:rFonts w:ascii="Arial" w:cs="Arial" w:eastAsia="Arial" w:hAnsi="Arial"/>
        </w:rPr>
        <w:t xml:space="preserve">Ireland v. United Kingdom (1978) 2 EHRR 25 — </w:t>
      </w:r>
      <w:r>
        <w:rPr>
          <w:sz w:val="21"/>
          <w:szCs w:val="21"/>
          <w:rFonts w:ascii="Arial" w:cs="Arial" w:eastAsia="Arial" w:hAnsi="Arial"/>
        </w:rPr>
        <w:t xml:space="preserve">The five interrogation techniques were inhuman and degrading treatment; the definition of torture as an aggravated form; inter-State applications.</w:t>
      </w:r>
    </w:p>
    <w:p>
      <w:pPr>
        <w:pBdr>
          <w:left w:val="single" w:color="CC0000" w:sz="6" w:space="8"/>
        </w:pBdr>
        <w:spacing w:before="80" w:after="80"/>
        <w:ind w:left="300"/>
      </w:pPr>
      <w:r>
        <w:rPr>
          <w:b/>
          <w:bCs/>
          <w:color w:val="CC0000"/>
          <w:sz w:val="21"/>
          <w:szCs w:val="21"/>
          <w:rFonts w:ascii="Arial" w:cs="Arial" w:eastAsia="Arial" w:hAnsi="Arial"/>
        </w:rPr>
        <w:t xml:space="preserve">Kadi and Al Barakaat v. Council and Commission, CJEU 2008 — </w:t>
      </w:r>
      <w:r>
        <w:rPr>
          <w:sz w:val="21"/>
          <w:szCs w:val="21"/>
          <w:rFonts w:ascii="Arial" w:cs="Arial" w:eastAsia="Arial" w:hAnsi="Arial"/>
        </w:rPr>
        <w:t xml:space="preserve">EU measures implementing UN sanctions must respect fundamental rights — the right to be heard, judicial review, property; the EU legal order's autonomy; annulment of the regulation as applied to Kadi.</w:t>
      </w:r>
    </w:p>
    <w:p>
      <w:pPr>
        <w:pBdr>
          <w:left w:val="single" w:color="CC0000" w:sz="6" w:space="8"/>
        </w:pBdr>
        <w:spacing w:before="80" w:after="80"/>
        <w:ind w:left="300"/>
      </w:pPr>
      <w:r>
        <w:rPr>
          <w:b/>
          <w:bCs/>
          <w:color w:val="CC0000"/>
          <w:sz w:val="21"/>
          <w:szCs w:val="21"/>
          <w:rFonts w:ascii="Arial" w:cs="Arial" w:eastAsia="Arial" w:hAnsi="Arial"/>
        </w:rPr>
        <w:t xml:space="preserve">Bosphorus Airways v. Ireland (2005) 42 EHRR 1 — </w:t>
      </w:r>
      <w:r>
        <w:rPr>
          <w:sz w:val="21"/>
          <w:szCs w:val="21"/>
          <w:rFonts w:ascii="Arial" w:cs="Arial" w:eastAsia="Arial" w:hAnsi="Arial"/>
        </w:rPr>
        <w:t xml:space="preserve">The Strasbourg Court presumes that a State complying with EU law respects the Convention because EU law provides equivalent protection, unless the protection is manifestly deficient.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HUDOC database publishes every judgment and decision; the Court accepts applications by a mandatory form and hears cases online; the CJEU's Schrems and data-retention judgments govern the data flows of Indian IT companies serving Europe (the GDPR's adequacy regime); and the KlimaSeniorinnen and Big Brother Watch judgments are the current frontier of environmental and surveillance rights.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'European Convention on Human Rights', 'European Court of Human Rights after Protocol 11', 'Margin of appreciation', 'Soering case', 'Positive obligations', 'European Social Charter', 'Charter of Fundamental Rights of the EU', 'Kadi case', 'Difference between ECtHR and CJEU'. Part B: 'Describe the rights protected by the European Convention and the machinery for their enforcement, and explain why the European system is considered the most effective' — the rights, Protocol 11, admissibility, binding judgments, the Committee of Ministers, the doctrines; or 'Discuss the role of the Court of Justice of the European Union in the protection of human rights' — the general principles, the Charter, Kadi, Digital Rights Ireland, the ECHR relationship. Part C: a State extradites a person to face torture — Soering, Chahal, absolute Art 3; a State suspends fair-trial rights during a terrorist emergency — Art 15, Lawless, proportionality, non-derogable core; a State's highest court asks the Strasbourg Court for an opinion — Protocol 16; a national court applies an EU regulation violating privacy — the Charter's Art 7-8, a preliminary reference to the CJEU (Digital Rights Ireland); India seeks a fugitive's extradition from a Convention State — the assurances (no death penalty, no torture, prison conditions) that Chahal and Soering require, as in the Vijay Mallya and Nirav Modi cases in the UK courts.</w:t>
      </w:r>
    </w:p>
    <w:p>
      <w:r>
        <w:br w:type="page"/>
      </w:r>
    </w:p>
    <w:p>
      <w:pPr>
        <w:pStyle w:val="Heading1"/>
        <w:spacing w:before="480" w:after="200"/>
      </w:pPr>
      <w:r>
        <w:rPr>
          <w:b/>
          <w:bCs/>
          <w:color w:val="1F4E79"/>
          <w:sz w:val="32"/>
          <w:szCs w:val="32"/>
          <w:rFonts w:ascii="Arial" w:cs="Arial" w:eastAsia="Arial" w:hAnsi="Arial"/>
        </w:rPr>
        <w:t xml:space="preserve">Episode 06 — The Disappeared: Velásquez Rodríguez, the American Convention and the African Charter</w:t>
      </w:r>
    </w:p>
    <w:p>
      <w:pPr>
        <w:pStyle w:val="Heading2"/>
        <w:spacing w:before="360" w:after="160"/>
      </w:pPr>
      <w:r>
        <w:rPr>
          <w:b/>
          <w:bCs/>
          <w:color w:val="2E75B6"/>
          <w:sz w:val="26"/>
          <w:szCs w:val="26"/>
          <w:rFonts w:ascii="Arial" w:cs="Arial" w:eastAsia="Arial" w:hAnsi="Arial"/>
        </w:rPr>
        <w:t xml:space="preserve">Covers: The Inter-American system — the OAS, the American Declaration (1948), the American Convention (1969), the Commission and the Court, the doctrines of due diligence and conventionality control · The African system — the OAU/AU, the African Charter on Human and Peoples' Rights (1981), peoples' rights and duties, the Commission, the African Court · The Arab Charter and the ASEAN Declaration · Why Asia has no regional system · Comparison of the three systems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Tegucigalpa, Honduras, 12 September 1981. Angel Manfredo Velásquez Rodríguez, a graduate student, was seized in a parking lot by seven heavily armed men in civilian clothes driving a white Ford without plates — the method, witnesses said, of Battalion 3-16, the army's intelligence unit. He was never seen again. Between 1981 and 1984 more than a hundred Hondurans disappeared the same way; the courts issued habeas corpus writs that the army ignored; no official was ever charged. His family's petition reached the Inter-American Commission on Human Rights in Washington, which found the State responsible and, when Honduras did nothing, referred the case to the Inter-American Court in San José, Costa Rica — the Court's first contentious case. Honduras denied everything, and during the proceedings two of the witnesses who had testified were murdered. On 29 July 1988 the Court held that forced disappearance is a multiple and continuing violation — of liberty (Art 7), of humane treatment (Art 5) and of life (Art 4) — and, more importantly for the law of every system, that a State is responsible not only for what its agents do but for what it fails to do: it must organise its apparatus so as to ensure the free and full exercise of rights; it must prevent, investigate and punish every violation, and compensate the victim; and where a private or unidentified actor commits the act, the State's failure to exercise **due diligence** to prevent or respond makes it responsible. The Court ordered Honduras to pay the family. The 'due diligence' standard travelled into the CEDAW Committee's General Recommendation 19 on violence against women, into the European Court's Osman and Opuz, into the UN's 1992 and 2006 instruments on disappearances, and into the Indian Supreme Court's custodial-violence jurisprudence. The case is the Americas' contribution to the world.</w:t>
      </w:r>
    </w:p>
    <w:p>
      <w:pPr>
        <w:spacing w:before="240" w:after="120"/>
      </w:pPr>
      <w:r>
        <w:rPr>
          <w:b/>
          <w:bCs/>
          <w:color w:val="404040"/>
          <w:sz w:val="23"/>
          <w:szCs w:val="23"/>
          <w:rFonts w:ascii="Arial" w:cs="Arial" w:eastAsia="Arial" w:hAnsi="Arial"/>
        </w:rPr>
        <w:t xml:space="preserve">The Inter-American system</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Organization of American States</w:t>
      </w:r>
      <w:r>
        <w:rPr>
          <w:sz w:val="22"/>
          <w:szCs w:val="22"/>
          <w:rFonts w:ascii="Arial" w:cs="Arial" w:eastAsia="Arial" w:hAnsi="Arial"/>
        </w:rPr>
        <w:t xml:space="preserve"> (Bogotá Charter, 1948; 35 members) adopted at the same conference the </w:t>
      </w:r>
      <w:r>
        <w:rPr>
          <w:b/>
          <w:bCs/>
          <w:sz w:val="22"/>
          <w:szCs w:val="22"/>
          <w:rFonts w:ascii="Arial" w:cs="Arial" w:eastAsia="Arial" w:hAnsi="Arial"/>
        </w:rPr>
        <w:t xml:space="preserve">American Declaration of the Rights and Duties of Man</w:t>
      </w:r>
      <w:r>
        <w:rPr>
          <w:sz w:val="22"/>
          <w:szCs w:val="22"/>
          <w:rFonts w:ascii="Arial" w:cs="Arial" w:eastAsia="Arial" w:hAnsi="Arial"/>
        </w:rPr>
        <w:t xml:space="preserve"> (May 1948 — seven months before the UDHR, the first international human-rights instrument, with a chapter of duties); the </w:t>
      </w:r>
      <w:r>
        <w:rPr>
          <w:b/>
          <w:bCs/>
          <w:sz w:val="22"/>
          <w:szCs w:val="22"/>
          <w:rFonts w:ascii="Arial" w:cs="Arial" w:eastAsia="Arial" w:hAnsi="Arial"/>
        </w:rPr>
        <w:t xml:space="preserve">Inter-American Commission on Human Rights</w:t>
      </w:r>
      <w:r>
        <w:rPr>
          <w:sz w:val="22"/>
          <w:szCs w:val="22"/>
          <w:rFonts w:ascii="Arial" w:cs="Arial" w:eastAsia="Arial" w:hAnsi="Arial"/>
        </w:rPr>
        <w:t xml:space="preserve"> was created in 1959 (Santiago) as an OAS organ and, through the 1967 Protocol of Buenos Aires, a principal organ of the Charter, so that it may examine the human-rights situation in every OAS member (including the United States, Cuba and Canada, which have not ratified the Convention) against the Declaration; the </w:t>
      </w:r>
      <w:r>
        <w:rPr>
          <w:b/>
          <w:bCs/>
          <w:sz w:val="22"/>
          <w:szCs w:val="22"/>
          <w:rFonts w:ascii="Arial" w:cs="Arial" w:eastAsia="Arial" w:hAnsi="Arial"/>
        </w:rPr>
        <w:t xml:space="preserve">American Convention on Human Rights</w:t>
      </w:r>
      <w:r>
        <w:rPr>
          <w:sz w:val="22"/>
          <w:szCs w:val="22"/>
          <w:rFonts w:ascii="Arial" w:cs="Arial" w:eastAsia="Arial" w:hAnsi="Arial"/>
        </w:rPr>
        <w:t xml:space="preserve"> ('Pact of San José', 22 November 1969; in force 18 July 1978; 23 parties — Venezuela denounced in 2012, Trinidad in 1998; the United States signed but never ratified) — civil and political rights modelled on the ICCPR and the ECHR, with distinctive features: the right to life 'in general, from the moment of conception' (Art 4(1)), no reintroduction of the death penalty once abolished and no extension (Art 4(2)-(3)), the right to a name, nationality and to reply (Arts 18, 20, 14), the rights of the child and the family, property (Art 21), the right to asylum (Art 22(7)) and the non-refoulement rule (22(8)), the prohibition of collective expulsion, progressive development of economic and social rights (Art 26), a suspension clause listing non-derogable rights including the 'judicial guarantees essential for the protection of such rights' (Art 27), and the </w:t>
      </w:r>
      <w:r>
        <w:rPr>
          <w:b/>
          <w:bCs/>
          <w:sz w:val="22"/>
          <w:szCs w:val="22"/>
          <w:rFonts w:ascii="Arial" w:cs="Arial" w:eastAsia="Arial" w:hAnsi="Arial"/>
        </w:rPr>
        <w:t xml:space="preserve">Protocol of San Salvador</w:t>
      </w:r>
      <w:r>
        <w:rPr>
          <w:sz w:val="22"/>
          <w:szCs w:val="22"/>
          <w:rFonts w:ascii="Arial" w:cs="Arial" w:eastAsia="Arial" w:hAnsi="Arial"/>
        </w:rPr>
        <w:t xml:space="preserve"> (1988; in force 1999) on economic, social and cultural rights with the rights to education and to organise justiciable by petition; the </w:t>
      </w:r>
      <w:r>
        <w:rPr>
          <w:b/>
          <w:bCs/>
          <w:sz w:val="22"/>
          <w:szCs w:val="22"/>
          <w:rFonts w:ascii="Arial" w:cs="Arial" w:eastAsia="Arial" w:hAnsi="Arial"/>
        </w:rPr>
        <w:t xml:space="preserve">Protocol on the Abolition of the Death Penalty</w:t>
      </w:r>
      <w:r>
        <w:rPr>
          <w:sz w:val="22"/>
          <w:szCs w:val="22"/>
          <w:rFonts w:ascii="Arial" w:cs="Arial" w:eastAsia="Arial" w:hAnsi="Arial"/>
        </w:rPr>
        <w:t xml:space="preserve"> (1990); and the specialised conventions — torture (1985), forced disappearance (1994), violence against women (Belém do Pará, 1994 — the first binding treaty on violence against women), the disabled (1999), racism (2013), older persons (2015). </w:t>
      </w:r>
      <w:r>
        <w:rPr>
          <w:b/>
          <w:bCs/>
          <w:sz w:val="22"/>
          <w:szCs w:val="22"/>
          <w:rFonts w:ascii="Arial" w:cs="Arial" w:eastAsia="Arial" w:hAnsi="Arial"/>
        </w:rPr>
        <w:t xml:space="preserve">The Commission</w:t>
      </w:r>
      <w:r>
        <w:rPr>
          <w:sz w:val="22"/>
          <w:szCs w:val="22"/>
          <w:rFonts w:ascii="Arial" w:cs="Arial" w:eastAsia="Arial" w:hAnsi="Arial"/>
        </w:rPr>
        <w:t xml:space="preserve"> (seven members, Washington): receives </w:t>
      </w:r>
      <w:r>
        <w:rPr>
          <w:b/>
          <w:bCs/>
          <w:sz w:val="22"/>
          <w:szCs w:val="22"/>
          <w:rFonts w:ascii="Arial" w:cs="Arial" w:eastAsia="Arial" w:hAnsi="Arial"/>
        </w:rPr>
        <w:t xml:space="preserve">petitions</w:t>
      </w:r>
      <w:r>
        <w:rPr>
          <w:sz w:val="22"/>
          <w:szCs w:val="22"/>
          <w:rFonts w:ascii="Arial" w:cs="Arial" w:eastAsia="Arial" w:hAnsi="Arial"/>
        </w:rPr>
        <w:t xml:space="preserve"> from any person, group or NGO (Art 44 — no victim requirement, unlike Strasbourg), against any party or against non-party members under the Declaration; admissibility (exhaustion, six months, no duplication); friendly settlement; a report with recommendations (Art 50); and, if the State does not comply, referral to the Court (Art 51 — since 2001 the Commission refers most cases) or publication; </w:t>
      </w:r>
      <w:r>
        <w:rPr>
          <w:b/>
          <w:bCs/>
          <w:sz w:val="22"/>
          <w:szCs w:val="22"/>
          <w:rFonts w:ascii="Arial" w:cs="Arial" w:eastAsia="Arial" w:hAnsi="Arial"/>
        </w:rPr>
        <w:t xml:space="preserve">precautionary measures</w:t>
      </w:r>
      <w:r>
        <w:rPr>
          <w:sz w:val="22"/>
          <w:szCs w:val="22"/>
          <w:rFonts w:ascii="Arial" w:cs="Arial" w:eastAsia="Arial" w:hAnsi="Arial"/>
        </w:rPr>
        <w:t xml:space="preserve"> (the request to Colombia for the Awá community, to the US on Guantánamo); country reports and on-site visits (Argentina 1979 — the report that exposed the disappearances; Chile, Nicaragua, Haiti); thematic rapporteurs (freedom of expression, women, indigenous peoples, migrants); hearings. </w:t>
      </w:r>
      <w:r>
        <w:rPr>
          <w:b/>
          <w:bCs/>
          <w:sz w:val="22"/>
          <w:szCs w:val="22"/>
          <w:rFonts w:ascii="Arial" w:cs="Arial" w:eastAsia="Arial" w:hAnsi="Arial"/>
        </w:rPr>
        <w:t xml:space="preserve">The Court</w:t>
      </w:r>
      <w:r>
        <w:rPr>
          <w:sz w:val="22"/>
          <w:szCs w:val="22"/>
          <w:rFonts w:ascii="Arial" w:cs="Arial" w:eastAsia="Arial" w:hAnsi="Arial"/>
        </w:rPr>
        <w:t xml:space="preserve"> (seven judges, San José; 1979): </w:t>
      </w:r>
      <w:r>
        <w:rPr>
          <w:b/>
          <w:bCs/>
          <w:sz w:val="22"/>
          <w:szCs w:val="22"/>
          <w:rFonts w:ascii="Arial" w:cs="Arial" w:eastAsia="Arial" w:hAnsi="Arial"/>
        </w:rPr>
        <w:t xml:space="preserve">contentious jurisdiction</w:t>
      </w:r>
      <w:r>
        <w:rPr>
          <w:sz w:val="22"/>
          <w:szCs w:val="22"/>
          <w:rFonts w:ascii="Arial" w:cs="Arial" w:eastAsia="Arial" w:hAnsi="Arial"/>
        </w:rPr>
        <w:t xml:space="preserve"> (Art 62 — optional, accepted by 20 States; only the Commission and States may bring cases, the victim's representatives participating since 2001) with binding judgments (Art 68) awarding </w:t>
      </w:r>
      <w:r>
        <w:rPr>
          <w:b/>
          <w:bCs/>
          <w:sz w:val="22"/>
          <w:szCs w:val="22"/>
          <w:rFonts w:ascii="Arial" w:cs="Arial" w:eastAsia="Arial" w:hAnsi="Arial"/>
        </w:rPr>
        <w:t xml:space="preserve">reparations</w:t>
      </w:r>
      <w:r>
        <w:rPr>
          <w:sz w:val="22"/>
          <w:szCs w:val="22"/>
          <w:rFonts w:ascii="Arial" w:cs="Arial" w:eastAsia="Arial" w:hAnsi="Arial"/>
        </w:rPr>
        <w:t xml:space="preserve"> — the Court's most creative feature: compensation, restitution, rehabilitation, satisfaction (public apologies, monuments, naming streets, publishing the judgment, scholarships), guarantees of non-repetition (legislative reform, training), the investigation and punishment of perpetrators — and </w:t>
      </w:r>
      <w:r>
        <w:rPr>
          <w:b/>
          <w:bCs/>
          <w:sz w:val="22"/>
          <w:szCs w:val="22"/>
          <w:rFonts w:ascii="Arial" w:cs="Arial" w:eastAsia="Arial" w:hAnsi="Arial"/>
        </w:rPr>
        <w:t xml:space="preserve">provisional measures</w:t>
      </w:r>
      <w:r>
        <w:rPr>
          <w:sz w:val="22"/>
          <w:szCs w:val="22"/>
          <w:rFonts w:ascii="Arial" w:cs="Arial" w:eastAsia="Arial" w:hAnsi="Arial"/>
        </w:rPr>
        <w:t xml:space="preserve"> (Art 63(2)); </w:t>
      </w:r>
      <w:r>
        <w:rPr>
          <w:b/>
          <w:bCs/>
          <w:sz w:val="22"/>
          <w:szCs w:val="22"/>
          <w:rFonts w:ascii="Arial" w:cs="Arial" w:eastAsia="Arial" w:hAnsi="Arial"/>
        </w:rPr>
        <w:t xml:space="preserve">advisory jurisdiction</w:t>
      </w:r>
      <w:r>
        <w:rPr>
          <w:sz w:val="22"/>
          <w:szCs w:val="22"/>
          <w:rFonts w:ascii="Arial" w:cs="Arial" w:eastAsia="Arial" w:hAnsi="Arial"/>
        </w:rPr>
        <w:t xml:space="preserve"> (Art 64 — the widest of any human-rights court: any OAS member or organ may ask about the Convention or any other human-rights treaty in the Americas — OC-5 on compulsory licensing of journalists, OC-16 on consular assistance as due process (relied on in Avena), OC-18 on migrants, OC-24 on gender identity and same-sex marriage, OC-23 on the environment); </w:t>
      </w:r>
      <w:r>
        <w:rPr>
          <w:b/>
          <w:bCs/>
          <w:sz w:val="22"/>
          <w:szCs w:val="22"/>
          <w:rFonts w:ascii="Arial" w:cs="Arial" w:eastAsia="Arial" w:hAnsi="Arial"/>
        </w:rPr>
        <w:t xml:space="preserve">compliance supervision</w:t>
      </w:r>
      <w:r>
        <w:rPr>
          <w:sz w:val="22"/>
          <w:szCs w:val="22"/>
          <w:rFonts w:ascii="Arial" w:cs="Arial" w:eastAsia="Arial" w:hAnsi="Arial"/>
        </w:rPr>
        <w:t xml:space="preserve"> by the Court itself (not a political body), with compliance hearings. </w:t>
      </w:r>
      <w:r>
        <w:rPr>
          <w:b/>
          <w:bCs/>
          <w:sz w:val="22"/>
          <w:szCs w:val="22"/>
          <w:rFonts w:ascii="Arial" w:cs="Arial" w:eastAsia="Arial" w:hAnsi="Arial"/>
        </w:rPr>
        <w:t xml:space="preserve">Doctrines</w:t>
      </w:r>
      <w:r>
        <w:rPr>
          <w:sz w:val="22"/>
          <w:szCs w:val="22"/>
          <w:rFonts w:ascii="Arial" w:cs="Arial" w:eastAsia="Arial" w:hAnsi="Arial"/>
        </w:rPr>
        <w:t xml:space="preserve">: (1) </w:t>
      </w:r>
      <w:r>
        <w:rPr>
          <w:b/>
          <w:bCs/>
          <w:sz w:val="22"/>
          <w:szCs w:val="22"/>
          <w:rFonts w:ascii="Arial" w:cs="Arial" w:eastAsia="Arial" w:hAnsi="Arial"/>
        </w:rPr>
        <w:t xml:space="preserve">due diligence</w:t>
      </w:r>
      <w:r>
        <w:rPr>
          <w:sz w:val="22"/>
          <w:szCs w:val="22"/>
          <w:rFonts w:ascii="Arial" w:cs="Arial" w:eastAsia="Arial" w:hAnsi="Arial"/>
        </w:rPr>
        <w:t xml:space="preserve"> (Velásquez Rodríguez); (2) the </w:t>
      </w:r>
      <w:r>
        <w:rPr>
          <w:b/>
          <w:bCs/>
          <w:sz w:val="22"/>
          <w:szCs w:val="22"/>
          <w:rFonts w:ascii="Arial" w:cs="Arial" w:eastAsia="Arial" w:hAnsi="Arial"/>
        </w:rPr>
        <w:t xml:space="preserve">continuing violation</w:t>
      </w:r>
      <w:r>
        <w:rPr>
          <w:sz w:val="22"/>
          <w:szCs w:val="22"/>
          <w:rFonts w:ascii="Arial" w:cs="Arial" w:eastAsia="Arial" w:hAnsi="Arial"/>
        </w:rPr>
        <w:t xml:space="preserve"> of disappearance; (3) the invalidity of </w:t>
      </w:r>
      <w:r>
        <w:rPr>
          <w:b/>
          <w:bCs/>
          <w:sz w:val="22"/>
          <w:szCs w:val="22"/>
          <w:rFonts w:ascii="Arial" w:cs="Arial" w:eastAsia="Arial" w:hAnsi="Arial"/>
        </w:rPr>
        <w:t xml:space="preserve">amnesty laws</w:t>
      </w:r>
      <w:r>
        <w:rPr>
          <w:sz w:val="22"/>
          <w:szCs w:val="22"/>
          <w:rFonts w:ascii="Arial" w:cs="Arial" w:eastAsia="Arial" w:hAnsi="Arial"/>
        </w:rPr>
        <w:t xml:space="preserve"> for grave violations (Barrios Altos v. Peru, 2001 — the self-amnesty laws 'lack legal effect'; Gomes Lund v. Brazil, 2010; Gelman v. Uruguay, 2011); (4) </w:t>
      </w:r>
      <w:r>
        <w:rPr>
          <w:b/>
          <w:bCs/>
          <w:sz w:val="22"/>
          <w:szCs w:val="22"/>
          <w:rFonts w:ascii="Arial" w:cs="Arial" w:eastAsia="Arial" w:hAnsi="Arial"/>
        </w:rPr>
        <w:t xml:space="preserve">conventionality control</w:t>
      </w:r>
      <w:r>
        <w:rPr>
          <w:sz w:val="22"/>
          <w:szCs w:val="22"/>
          <w:rFonts w:ascii="Arial" w:cs="Arial" w:eastAsia="Arial" w:hAnsi="Arial"/>
        </w:rPr>
        <w:t xml:space="preserve"> — every national judge must apply the Convention as interpreted by the Court and disapply contrary national law (Almonacid Arellano v. Chile, 2006); (5) the </w:t>
      </w:r>
      <w:r>
        <w:rPr>
          <w:b/>
          <w:bCs/>
          <w:sz w:val="22"/>
          <w:szCs w:val="22"/>
          <w:rFonts w:ascii="Arial" w:cs="Arial" w:eastAsia="Arial" w:hAnsi="Arial"/>
        </w:rPr>
        <w:t xml:space="preserve">pro homine</w:t>
      </w:r>
      <w:r>
        <w:rPr>
          <w:sz w:val="22"/>
          <w:szCs w:val="22"/>
          <w:rFonts w:ascii="Arial" w:cs="Arial" w:eastAsia="Arial" w:hAnsi="Arial"/>
        </w:rPr>
        <w:t xml:space="preserve"> principle (Art 29 — the most favourable interpretation); (6) </w:t>
      </w:r>
      <w:r>
        <w:rPr>
          <w:b/>
          <w:bCs/>
          <w:sz w:val="22"/>
          <w:szCs w:val="22"/>
          <w:rFonts w:ascii="Arial" w:cs="Arial" w:eastAsia="Arial" w:hAnsi="Arial"/>
        </w:rPr>
        <w:t xml:space="preserve">indigenous land rights</w:t>
      </w:r>
      <w:r>
        <w:rPr>
          <w:sz w:val="22"/>
          <w:szCs w:val="22"/>
          <w:rFonts w:ascii="Arial" w:cs="Arial" w:eastAsia="Arial" w:hAnsi="Arial"/>
        </w:rPr>
        <w:t xml:space="preserve"> as property under Art 21 (Awas Tingni v. Nicaragua, 2001; Saramaka v. Suriname, 2007; Sarayaku v. Ecuador, 2012 — free, prior and informed consultation); (7) the </w:t>
      </w:r>
      <w:r>
        <w:rPr>
          <w:b/>
          <w:bCs/>
          <w:sz w:val="22"/>
          <w:szCs w:val="22"/>
          <w:rFonts w:ascii="Arial" w:cs="Arial" w:eastAsia="Arial" w:hAnsi="Arial"/>
        </w:rPr>
        <w:t xml:space="preserve">death penalty</w:t>
      </w:r>
      <w:r>
        <w:rPr>
          <w:sz w:val="22"/>
          <w:szCs w:val="22"/>
          <w:rFonts w:ascii="Arial" w:cs="Arial" w:eastAsia="Arial" w:hAnsi="Arial"/>
        </w:rPr>
        <w:t xml:space="preserve"> limits (Hilaire v. Trinidad, 2002 — mandatory death penalty arbitrary; the 'death row' cases); (8) </w:t>
      </w:r>
      <w:r>
        <w:rPr>
          <w:b/>
          <w:bCs/>
          <w:sz w:val="22"/>
          <w:szCs w:val="22"/>
          <w:rFonts w:ascii="Arial" w:cs="Arial" w:eastAsia="Arial" w:hAnsi="Arial"/>
        </w:rPr>
        <w:t xml:space="preserve">freedom of expression</w:t>
      </w:r>
      <w:r>
        <w:rPr>
          <w:sz w:val="22"/>
          <w:szCs w:val="22"/>
          <w:rFonts w:ascii="Arial" w:cs="Arial" w:eastAsia="Arial" w:hAnsi="Arial"/>
        </w:rPr>
        <w:t xml:space="preserve"> (Herrera Ulloa v. Costa Rica, 2004 — criminal defamation of public officials; the Declaration of Principles on Freedom of Expression, 2000); (9) </w:t>
      </w:r>
      <w:r>
        <w:rPr>
          <w:b/>
          <w:bCs/>
          <w:sz w:val="22"/>
          <w:szCs w:val="22"/>
          <w:rFonts w:ascii="Arial" w:cs="Arial" w:eastAsia="Arial" w:hAnsi="Arial"/>
        </w:rPr>
        <w:t xml:space="preserve">gender violence</w:t>
      </w:r>
      <w:r>
        <w:rPr>
          <w:sz w:val="22"/>
          <w:szCs w:val="22"/>
          <w:rFonts w:ascii="Arial" w:cs="Arial" w:eastAsia="Arial" w:hAnsi="Arial"/>
        </w:rPr>
        <w:t xml:space="preserve"> (González 'Cotton Field' v. Mexico, 2009 — the Ciudad Juárez femicides; the State's failure of due diligence). The system's weakness: the United States' and Canada's non-participation in the Court, the Commission's chronic underfunding and backlog, the denunciations (Venezuela, Trinidad), and compliance rates below the European system's — but its jurisprudence on reparations, amnesties, disappearances and indigenous rights leads the world.</w:t>
      </w:r>
    </w:p>
    <w:p>
      <w:pPr>
        <w:spacing w:before="240" w:after="120"/>
      </w:pPr>
      <w:r>
        <w:rPr>
          <w:b/>
          <w:bCs/>
          <w:color w:val="404040"/>
          <w:sz w:val="23"/>
          <w:szCs w:val="23"/>
          <w:rFonts w:ascii="Arial" w:cs="Arial" w:eastAsia="Arial" w:hAnsi="Arial"/>
        </w:rPr>
        <w:t xml:space="preserve">The African system</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Organisation of African Unity</w:t>
      </w:r>
      <w:r>
        <w:rPr>
          <w:sz w:val="22"/>
          <w:szCs w:val="22"/>
          <w:rFonts w:ascii="Arial" w:cs="Arial" w:eastAsia="Arial" w:hAnsi="Arial"/>
        </w:rPr>
        <w:t xml:space="preserve"> (1963; replaced by the </w:t>
      </w:r>
      <w:r>
        <w:rPr>
          <w:b/>
          <w:bCs/>
          <w:sz w:val="22"/>
          <w:szCs w:val="22"/>
          <w:rFonts w:ascii="Arial" w:cs="Arial" w:eastAsia="Arial" w:hAnsi="Arial"/>
        </w:rPr>
        <w:t xml:space="preserve">African Union</w:t>
      </w:r>
      <w:r>
        <w:rPr>
          <w:sz w:val="22"/>
          <w:szCs w:val="22"/>
          <w:rFonts w:ascii="Arial" w:cs="Arial" w:eastAsia="Arial" w:hAnsi="Arial"/>
        </w:rPr>
        <w:t xml:space="preserve">, Constitutive Act 2000, in force 2001; 55 members) adopted the </w:t>
      </w:r>
      <w:r>
        <w:rPr>
          <w:b/>
          <w:bCs/>
          <w:sz w:val="22"/>
          <w:szCs w:val="22"/>
          <w:rFonts w:ascii="Arial" w:cs="Arial" w:eastAsia="Arial" w:hAnsi="Arial"/>
        </w:rPr>
        <w:t xml:space="preserve">African Charter on Human and Peoples' Rights</w:t>
      </w:r>
      <w:r>
        <w:rPr>
          <w:sz w:val="22"/>
          <w:szCs w:val="22"/>
          <w:rFonts w:ascii="Arial" w:cs="Arial" w:eastAsia="Arial" w:hAnsi="Arial"/>
        </w:rPr>
        <w:t xml:space="preserve"> at Nairobi on 27 June 1981 (the 'Banjul Charter', drafted at Banjul; in force 21 October 1986; ratified by all AU members except the newest, Morocco, which acceded in 2017 — 54 parties). Its distinctive features: (1) it contains </w:t>
      </w:r>
      <w:r>
        <w:rPr>
          <w:b/>
          <w:bCs/>
          <w:sz w:val="22"/>
          <w:szCs w:val="22"/>
          <w:rFonts w:ascii="Arial" w:cs="Arial" w:eastAsia="Arial" w:hAnsi="Arial"/>
        </w:rPr>
        <w:t xml:space="preserve">civil and political, economic, social and cultural, and peoples' rights in one document</w:t>
      </w:r>
      <w:r>
        <w:rPr>
          <w:sz w:val="22"/>
          <w:szCs w:val="22"/>
          <w:rFonts w:ascii="Arial" w:cs="Arial" w:eastAsia="Arial" w:hAnsi="Arial"/>
        </w:rPr>
        <w:t xml:space="preserve"> — indivisibility in text (Preamble: civil and political rights cannot be dissociated from economic, social and cultural rights); (2) </w:t>
      </w:r>
      <w:r>
        <w:rPr>
          <w:b/>
          <w:bCs/>
          <w:sz w:val="22"/>
          <w:szCs w:val="22"/>
          <w:rFonts w:ascii="Arial" w:cs="Arial" w:eastAsia="Arial" w:hAnsi="Arial"/>
        </w:rPr>
        <w:t xml:space="preserve">peoples' rights</w:t>
      </w:r>
      <w:r>
        <w:rPr>
          <w:sz w:val="22"/>
          <w:szCs w:val="22"/>
          <w:rFonts w:ascii="Arial" w:cs="Arial" w:eastAsia="Arial" w:hAnsi="Arial"/>
        </w:rPr>
        <w:t xml:space="preserve"> (Arts 19-24): equality of peoples, self-determination and freedom from domination (Art 20), free disposal of wealth and natural resources with a right to recovery of property in case of spoliation (Art 21), economic, social and cultural development (Art 22), national and international peace and security (Art 23), 'a general satisfactory environment favourable to their development' (Art 24) — the third generation in binding form; (3) </w:t>
      </w:r>
      <w:r>
        <w:rPr>
          <w:b/>
          <w:bCs/>
          <w:sz w:val="22"/>
          <w:szCs w:val="22"/>
          <w:rFonts w:ascii="Arial" w:cs="Arial" w:eastAsia="Arial" w:hAnsi="Arial"/>
        </w:rPr>
        <w:t xml:space="preserve">duties</w:t>
      </w:r>
      <w:r>
        <w:rPr>
          <w:sz w:val="22"/>
          <w:szCs w:val="22"/>
          <w:rFonts w:ascii="Arial" w:cs="Arial" w:eastAsia="Arial" w:hAnsi="Arial"/>
        </w:rPr>
        <w:t xml:space="preserve"> (Chapter II, Arts 27-29): the individual's duties towards the family and society, the State, other legally recognised communities and the international community; to exercise rights with due regard to the rights of others, collective security, morality and common interest; to preserve the harmonious development of the family, to respect parents, to serve the national community, not to compromise the security of the State, to preserve and strengthen social and national solidarity and independence, to work, to pay taxes, to preserve African cultural values, and to contribute to African unity — the communitarian conception, criticised as a licence for the State (the Commission's Kenya and Nigeria cases read duties as not limiting rights); (4) </w:t>
      </w:r>
      <w:r>
        <w:rPr>
          <w:b/>
          <w:bCs/>
          <w:sz w:val="22"/>
          <w:szCs w:val="22"/>
          <w:rFonts w:ascii="Arial" w:cs="Arial" w:eastAsia="Arial" w:hAnsi="Arial"/>
        </w:rPr>
        <w:t xml:space="preserve">'claw-back' clauses</w:t>
      </w:r>
      <w:r>
        <w:rPr>
          <w:sz w:val="22"/>
          <w:szCs w:val="22"/>
          <w:rFonts w:ascii="Arial" w:cs="Arial" w:eastAsia="Arial" w:hAnsi="Arial"/>
        </w:rPr>
        <w:t xml:space="preserve"> — several rights are guaranteed 'within the law' or 'subject to law and order' (Arts 6, 8, 9(2), 10, 12, 13, 14), which the Commission neutralised by reading 'law' as international law and applying Art 27(2)'s limitation only for legitimate interests (Media Rights Agenda v. Nigeria, 1998; Constitutional Rights Project v. Nigeria); (5) </w:t>
      </w:r>
      <w:r>
        <w:rPr>
          <w:b/>
          <w:bCs/>
          <w:sz w:val="22"/>
          <w:szCs w:val="22"/>
          <w:rFonts w:ascii="Arial" w:cs="Arial" w:eastAsia="Arial" w:hAnsi="Arial"/>
        </w:rPr>
        <w:t xml:space="preserve">no derogation clause</w:t>
      </w:r>
      <w:r>
        <w:rPr>
          <w:sz w:val="22"/>
          <w:szCs w:val="22"/>
          <w:rFonts w:ascii="Arial" w:cs="Arial" w:eastAsia="Arial" w:hAnsi="Arial"/>
        </w:rPr>
        <w:t xml:space="preserve"> — the Commission holds that the Charter cannot be derogated from even in emergencies (Commission Nationale des Droits de l'Homme v. Chad, 1995); (6) the economic and social rights are immediately stated (education, health, work, the family, the aged and disabled — Arts 15-18) without a progressive-realisation qualifier; (7) the </w:t>
      </w:r>
      <w:r>
        <w:rPr>
          <w:b/>
          <w:bCs/>
          <w:sz w:val="22"/>
          <w:szCs w:val="22"/>
          <w:rFonts w:ascii="Arial" w:cs="Arial" w:eastAsia="Arial" w:hAnsi="Arial"/>
        </w:rPr>
        <w:t xml:space="preserve">right to development</w:t>
      </w:r>
      <w:r>
        <w:rPr>
          <w:sz w:val="22"/>
          <w:szCs w:val="22"/>
          <w:rFonts w:ascii="Arial" w:cs="Arial" w:eastAsia="Arial" w:hAnsi="Arial"/>
        </w:rPr>
        <w:t xml:space="preserve"> (Art 22) as a binding right (Endorois v. Kenya, 2009 — the first finding of a violation of the right to development). </w:t>
      </w:r>
      <w:r>
        <w:rPr>
          <w:b/>
          <w:bCs/>
          <w:sz w:val="22"/>
          <w:szCs w:val="22"/>
          <w:rFonts w:ascii="Arial" w:cs="Arial" w:eastAsia="Arial" w:hAnsi="Arial"/>
        </w:rPr>
        <w:t xml:space="preserve">The African Commission on Human and Peoples' Rights</w:t>
      </w:r>
      <w:r>
        <w:rPr>
          <w:sz w:val="22"/>
          <w:szCs w:val="22"/>
          <w:rFonts w:ascii="Arial" w:cs="Arial" w:eastAsia="Arial" w:hAnsi="Arial"/>
        </w:rPr>
        <w:t xml:space="preserve"> (Banjul, 1987; eleven members): promotion (studies, seminars, resolutions, guidelines — the Robben Island Guidelines on torture, the Principles on Freedom of Expression), protection through </w:t>
      </w:r>
      <w:r>
        <w:rPr>
          <w:b/>
          <w:bCs/>
          <w:sz w:val="22"/>
          <w:szCs w:val="22"/>
          <w:rFonts w:ascii="Arial" w:cs="Arial" w:eastAsia="Arial" w:hAnsi="Arial"/>
        </w:rPr>
        <w:t xml:space="preserve">communications</w:t>
      </w:r>
      <w:r>
        <w:rPr>
          <w:sz w:val="22"/>
          <w:szCs w:val="22"/>
          <w:rFonts w:ascii="Arial" w:cs="Arial" w:eastAsia="Arial" w:hAnsi="Arial"/>
        </w:rPr>
        <w:t xml:space="preserve"> from States (Art 47-54 — the DRC v. Burundi, Rwanda and Uganda case, 2003) and from individuals and NGOs (Art 55 — 'other communications', developed into a full petition procedure with admissibility under Art 56, including exhaustion and a reasonable time), reports to the AU Assembly (whose non-publication of the Commission's findings was the early weakness), State reports every two years (Art 62), on-site missions, special rapporteurs and working groups (indigenous populations, extractive industries, the death penalty); the leading decisions: </w:t>
      </w:r>
      <w:r>
        <w:rPr>
          <w:b/>
          <w:bCs/>
          <w:sz w:val="22"/>
          <w:szCs w:val="22"/>
          <w:rFonts w:ascii="Arial" w:cs="Arial" w:eastAsia="Arial" w:hAnsi="Arial"/>
        </w:rPr>
        <w:t xml:space="preserve">SERAC and CESR v. Nigeria (2001)</w:t>
      </w:r>
      <w:r>
        <w:rPr>
          <w:sz w:val="22"/>
          <w:szCs w:val="22"/>
          <w:rFonts w:ascii="Arial" w:cs="Arial" w:eastAsia="Arial" w:hAnsi="Arial"/>
        </w:rPr>
        <w:t xml:space="preserve"> — the Ogoni case: the oil operations in Ogoniland violated the rights to health, environment (Art 24), housing (implied from Arts 14, 16, 18) and food (implied), and the peoples' right to natural resources (Art 21), with the respect-protect-promote-fulfil framework; </w:t>
      </w:r>
      <w:r>
        <w:rPr>
          <w:b/>
          <w:bCs/>
          <w:sz w:val="22"/>
          <w:szCs w:val="22"/>
          <w:rFonts w:ascii="Arial" w:cs="Arial" w:eastAsia="Arial" w:hAnsi="Arial"/>
        </w:rPr>
        <w:t xml:space="preserve">Endorois v. Kenya (2009)</w:t>
      </w:r>
      <w:r>
        <w:rPr>
          <w:sz w:val="22"/>
          <w:szCs w:val="22"/>
          <w:rFonts w:ascii="Arial" w:cs="Arial" w:eastAsia="Arial" w:hAnsi="Arial"/>
        </w:rPr>
        <w:t xml:space="preserve"> — eviction from ancestral land around Lake Bogoria violated property, culture, religion, natural resources and development; </w:t>
      </w:r>
      <w:r>
        <w:rPr>
          <w:b/>
          <w:bCs/>
          <w:sz w:val="22"/>
          <w:szCs w:val="22"/>
          <w:rFonts w:ascii="Arial" w:cs="Arial" w:eastAsia="Arial" w:hAnsi="Arial"/>
        </w:rPr>
        <w:t xml:space="preserve">Ken Saro-Wiwa (International PEN v. Nigeria, 1998)</w:t>
      </w:r>
      <w:r>
        <w:rPr>
          <w:sz w:val="22"/>
          <w:szCs w:val="22"/>
          <w:rFonts w:ascii="Arial" w:cs="Arial" w:eastAsia="Arial" w:hAnsi="Arial"/>
        </w:rPr>
        <w:t xml:space="preserve"> — the trial and execution violated Arts 4, 5, 6, 7; </w:t>
      </w:r>
      <w:r>
        <w:rPr>
          <w:b/>
          <w:bCs/>
          <w:sz w:val="22"/>
          <w:szCs w:val="22"/>
          <w:rFonts w:ascii="Arial" w:cs="Arial" w:eastAsia="Arial" w:hAnsi="Arial"/>
        </w:rPr>
        <w:t xml:space="preserve">Purohit and Moore v. The Gambia (2003)</w:t>
      </w:r>
      <w:r>
        <w:rPr>
          <w:sz w:val="22"/>
          <w:szCs w:val="22"/>
          <w:rFonts w:ascii="Arial" w:cs="Arial" w:eastAsia="Arial" w:hAnsi="Arial"/>
        </w:rPr>
        <w:t xml:space="preserve"> — mental-health law; </w:t>
      </w:r>
      <w:r>
        <w:rPr>
          <w:b/>
          <w:bCs/>
          <w:sz w:val="22"/>
          <w:szCs w:val="22"/>
          <w:rFonts w:ascii="Arial" w:cs="Arial" w:eastAsia="Arial" w:hAnsi="Arial"/>
        </w:rPr>
        <w:t xml:space="preserve">Zimbabwe Lawyers for Human Rights</w:t>
      </w:r>
      <w:r>
        <w:rPr>
          <w:sz w:val="22"/>
          <w:szCs w:val="22"/>
          <w:rFonts w:ascii="Arial" w:cs="Arial" w:eastAsia="Arial" w:hAnsi="Arial"/>
        </w:rPr>
        <w:t xml:space="preserve"> — judicial independence; the Commission's 2011 referral of Libya to the Court. </w:t>
      </w:r>
      <w:r>
        <w:rPr>
          <w:b/>
          <w:bCs/>
          <w:sz w:val="22"/>
          <w:szCs w:val="22"/>
          <w:rFonts w:ascii="Arial" w:cs="Arial" w:eastAsia="Arial" w:hAnsi="Arial"/>
        </w:rPr>
        <w:t xml:space="preserve">The African Court on Human and Peoples' Rights</w:t>
      </w:r>
      <w:r>
        <w:rPr>
          <w:sz w:val="22"/>
          <w:szCs w:val="22"/>
          <w:rFonts w:ascii="Arial" w:cs="Arial" w:eastAsia="Arial" w:hAnsi="Arial"/>
        </w:rPr>
        <w:t xml:space="preserve"> (Protocol of 1998; in force 2004; seated at Arusha; eleven judges; 34 parties): contentious jurisdiction over cases from the Commission, States and African intergovernmental organisations, and — only against the (now eight, after Tanzania, Benin, Côte d'Ivoire and Rwanda withdrew) States that have made the Art 34(6) declaration — directly from individuals and NGOs; advisory opinions; binding judgments with reparations supervised by the AU Executive Council; first judgment in 2009 (Yogogombaye v. Senegal — inadmissible for lack of the declaration); </w:t>
      </w:r>
      <w:r>
        <w:rPr>
          <w:b/>
          <w:bCs/>
          <w:sz w:val="22"/>
          <w:szCs w:val="22"/>
          <w:rFonts w:ascii="Arial" w:cs="Arial" w:eastAsia="Arial" w:hAnsi="Arial"/>
        </w:rPr>
        <w:t xml:space="preserve">Mtikila v. Tanzania (2013)</w:t>
      </w:r>
      <w:r>
        <w:rPr>
          <w:sz w:val="22"/>
          <w:szCs w:val="22"/>
          <w:rFonts w:ascii="Arial" w:cs="Arial" w:eastAsia="Arial" w:hAnsi="Arial"/>
        </w:rPr>
        <w:t xml:space="preserve"> — the ban on independent candidates violated Arts 2, 10 and 13; </w:t>
      </w:r>
      <w:r>
        <w:rPr>
          <w:b/>
          <w:bCs/>
          <w:sz w:val="22"/>
          <w:szCs w:val="22"/>
          <w:rFonts w:ascii="Arial" w:cs="Arial" w:eastAsia="Arial" w:hAnsi="Arial"/>
        </w:rPr>
        <w:t xml:space="preserve">African Commission v. Kenya (Ogiek case, 2017)</w:t>
      </w:r>
      <w:r>
        <w:rPr>
          <w:sz w:val="22"/>
          <w:szCs w:val="22"/>
          <w:rFonts w:ascii="Arial" w:cs="Arial" w:eastAsia="Arial" w:hAnsi="Arial"/>
        </w:rPr>
        <w:t xml:space="preserve"> — the first indigenous-rights judgment; </w:t>
      </w:r>
      <w:r>
        <w:rPr>
          <w:b/>
          <w:bCs/>
          <w:sz w:val="22"/>
          <w:szCs w:val="22"/>
          <w:rFonts w:ascii="Arial" w:cs="Arial" w:eastAsia="Arial" w:hAnsi="Arial"/>
        </w:rPr>
        <w:t xml:space="preserve">Konaté v. Burkina Faso (2014)</w:t>
      </w:r>
      <w:r>
        <w:rPr>
          <w:sz w:val="22"/>
          <w:szCs w:val="22"/>
          <w:rFonts w:ascii="Arial" w:cs="Arial" w:eastAsia="Arial" w:hAnsi="Arial"/>
        </w:rPr>
        <w:t xml:space="preserve"> — imprisonment for defamation of public officials disproportionate; the 2008 Protocol to merge it with the AU Court of Justice and the 2014 </w:t>
      </w:r>
      <w:r>
        <w:rPr>
          <w:b/>
          <w:bCs/>
          <w:sz w:val="22"/>
          <w:szCs w:val="22"/>
          <w:rFonts w:ascii="Arial" w:cs="Arial" w:eastAsia="Arial" w:hAnsi="Arial"/>
        </w:rPr>
        <w:t xml:space="preserve">Malabo Protocol</w:t>
      </w:r>
      <w:r>
        <w:rPr>
          <w:sz w:val="22"/>
          <w:szCs w:val="22"/>
          <w:rFonts w:ascii="Arial" w:cs="Arial" w:eastAsia="Arial" w:hAnsi="Arial"/>
        </w:rPr>
        <w:t xml:space="preserve"> adding an international-criminal section (with immunity for sitting heads of State — not in force). Add the </w:t>
      </w:r>
      <w:r>
        <w:rPr>
          <w:b/>
          <w:bCs/>
          <w:sz w:val="22"/>
          <w:szCs w:val="22"/>
          <w:rFonts w:ascii="Arial" w:cs="Arial" w:eastAsia="Arial" w:hAnsi="Arial"/>
        </w:rPr>
        <w:t xml:space="preserve">African Charter on the Rights and Welfare of the Child (1990)</w:t>
      </w:r>
      <w:r>
        <w:rPr>
          <w:sz w:val="22"/>
          <w:szCs w:val="22"/>
          <w:rFonts w:ascii="Arial" w:cs="Arial" w:eastAsia="Arial" w:hAnsi="Arial"/>
        </w:rPr>
        <w:t xml:space="preserve"> with its Committee, the </w:t>
      </w:r>
      <w:r>
        <w:rPr>
          <w:b/>
          <w:bCs/>
          <w:sz w:val="22"/>
          <w:szCs w:val="22"/>
          <w:rFonts w:ascii="Arial" w:cs="Arial" w:eastAsia="Arial" w:hAnsi="Arial"/>
        </w:rPr>
        <w:t xml:space="preserve">Maputo Protocol on the Rights of Women (2003)</w:t>
      </w:r>
      <w:r>
        <w:rPr>
          <w:sz w:val="22"/>
          <w:szCs w:val="22"/>
          <w:rFonts w:ascii="Arial" w:cs="Arial" w:eastAsia="Arial" w:hAnsi="Arial"/>
        </w:rPr>
        <w:t xml:space="preserve">, the </w:t>
      </w:r>
      <w:r>
        <w:rPr>
          <w:b/>
          <w:bCs/>
          <w:sz w:val="22"/>
          <w:szCs w:val="22"/>
          <w:rFonts w:ascii="Arial" w:cs="Arial" w:eastAsia="Arial" w:hAnsi="Arial"/>
        </w:rPr>
        <w:t xml:space="preserve">Kampala Convention on internally displaced persons (2009)</w:t>
      </w:r>
      <w:r>
        <w:rPr>
          <w:sz w:val="22"/>
          <w:szCs w:val="22"/>
          <w:rFonts w:ascii="Arial" w:cs="Arial" w:eastAsia="Arial" w:hAnsi="Arial"/>
        </w:rPr>
        <w:t xml:space="preserve"> — the world's first binding IDP treaty — and the </w:t>
      </w:r>
      <w:r>
        <w:rPr>
          <w:b/>
          <w:bCs/>
          <w:sz w:val="22"/>
          <w:szCs w:val="22"/>
          <w:rFonts w:ascii="Arial" w:cs="Arial" w:eastAsia="Arial" w:hAnsi="Arial"/>
        </w:rPr>
        <w:t xml:space="preserve">Peer Review Mechanism</w:t>
      </w:r>
      <w:r>
        <w:rPr>
          <w:sz w:val="22"/>
          <w:szCs w:val="22"/>
          <w:rFonts w:ascii="Arial" w:cs="Arial" w:eastAsia="Arial" w:hAnsi="Arial"/>
        </w:rPr>
        <w:t xml:space="preserve"> of NEPAD (2003) as the continent's contributions. The system's weaknesses: the AU's political shielding of leaders (the ICC withdrawal threats after the Al Bashir warrant; the Malabo immunity), the withdrawals of the Art 34(6) declarations, the low compliance with the Commission's decisions and the Court's judgments (Tanzania's non-compliance with over 30 judgments), and the underfunding; its strengths, the Charter's holism and the Commission's creative jurisprudence.</w:t>
      </w:r>
    </w:p>
    <w:p>
      <w:pPr>
        <w:spacing w:before="240" w:after="120"/>
      </w:pPr>
      <w:r>
        <w:rPr>
          <w:b/>
          <w:bCs/>
          <w:color w:val="404040"/>
          <w:sz w:val="23"/>
          <w:szCs w:val="23"/>
          <w:rFonts w:ascii="Arial" w:cs="Arial" w:eastAsia="Arial" w:hAnsi="Arial"/>
        </w:rPr>
        <w:t xml:space="preserve">The Arab, ASEAN and Asian situation</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League of Arab States'</w:t>
      </w:r>
      <w:r>
        <w:rPr>
          <w:sz w:val="22"/>
          <w:szCs w:val="22"/>
          <w:rFonts w:ascii="Arial" w:cs="Arial" w:eastAsia="Arial" w:hAnsi="Arial"/>
        </w:rPr>
        <w:t xml:space="preserve"> </w:t>
      </w:r>
      <w:r>
        <w:rPr>
          <w:b/>
          <w:bCs/>
          <w:sz w:val="22"/>
          <w:szCs w:val="22"/>
          <w:rFonts w:ascii="Arial" w:cs="Arial" w:eastAsia="Arial" w:hAnsi="Arial"/>
        </w:rPr>
        <w:t xml:space="preserve">Arab Charter on Human Rights</w:t>
      </w:r>
      <w:r>
        <w:rPr>
          <w:sz w:val="22"/>
          <w:szCs w:val="22"/>
          <w:rFonts w:ascii="Arial" w:cs="Arial" w:eastAsia="Arial" w:hAnsi="Arial"/>
        </w:rPr>
        <w:t xml:space="preserve"> (1994, never in force; revised 2004, in force 2008; 16 parties) reflects the UDHR and the Covenants but with provisions the High Commissioner criticised (the death penalty for children in some contexts; the equation of Zionism with racism in the preamble; the reference to Sharia); the </w:t>
      </w:r>
      <w:r>
        <w:rPr>
          <w:b/>
          <w:bCs/>
          <w:sz w:val="22"/>
          <w:szCs w:val="22"/>
          <w:rFonts w:ascii="Arial" w:cs="Arial" w:eastAsia="Arial" w:hAnsi="Arial"/>
        </w:rPr>
        <w:t xml:space="preserve">Arab Human Rights Committee</w:t>
      </w:r>
      <w:r>
        <w:rPr>
          <w:sz w:val="22"/>
          <w:szCs w:val="22"/>
          <w:rFonts w:ascii="Arial" w:cs="Arial" w:eastAsia="Arial" w:hAnsi="Arial"/>
        </w:rPr>
        <w:t xml:space="preserve"> reviews reports; the 2014 Statute of an Arab Court of Human Rights has not entered into force. The </w:t>
      </w:r>
      <w:r>
        <w:rPr>
          <w:b/>
          <w:bCs/>
          <w:sz w:val="22"/>
          <w:szCs w:val="22"/>
          <w:rFonts w:ascii="Arial" w:cs="Arial" w:eastAsia="Arial" w:hAnsi="Arial"/>
        </w:rPr>
        <w:t xml:space="preserve">Organisation of Islamic Cooperation's</w:t>
      </w:r>
      <w:r>
        <w:rPr>
          <w:sz w:val="22"/>
          <w:szCs w:val="22"/>
          <w:rFonts w:ascii="Arial" w:cs="Arial" w:eastAsia="Arial" w:hAnsi="Arial"/>
        </w:rPr>
        <w:t xml:space="preserve"> Cairo Declaration (1990, revised 2020) and its Independent Permanent Human Rights Commission (2011) are declaratory. The </w:t>
      </w:r>
      <w:r>
        <w:rPr>
          <w:b/>
          <w:bCs/>
          <w:sz w:val="22"/>
          <w:szCs w:val="22"/>
          <w:rFonts w:ascii="Arial" w:cs="Arial" w:eastAsia="Arial" w:hAnsi="Arial"/>
        </w:rPr>
        <w:t xml:space="preserve">Association of Southeast Asian Nations</w:t>
      </w:r>
      <w:r>
        <w:rPr>
          <w:sz w:val="22"/>
          <w:szCs w:val="22"/>
          <w:rFonts w:ascii="Arial" w:cs="Arial" w:eastAsia="Arial" w:hAnsi="Arial"/>
        </w:rPr>
        <w:t xml:space="preserve"> adopted the </w:t>
      </w:r>
      <w:r>
        <w:rPr>
          <w:b/>
          <w:bCs/>
          <w:sz w:val="22"/>
          <w:szCs w:val="22"/>
          <w:rFonts w:ascii="Arial" w:cs="Arial" w:eastAsia="Arial" w:hAnsi="Arial"/>
        </w:rPr>
        <w:t xml:space="preserve">ASEAN Human Rights Declaration (2012)</w:t>
      </w:r>
      <w:r>
        <w:rPr>
          <w:sz w:val="22"/>
          <w:szCs w:val="22"/>
          <w:rFonts w:ascii="Arial" w:cs="Arial" w:eastAsia="Arial" w:hAnsi="Arial"/>
        </w:rPr>
        <w:t xml:space="preserve"> — criticised for subordinating rights to 'national and regional contexts', public morality and duties — with the </w:t>
      </w:r>
      <w:r>
        <w:rPr>
          <w:b/>
          <w:bCs/>
          <w:sz w:val="22"/>
          <w:szCs w:val="22"/>
          <w:rFonts w:ascii="Arial" w:cs="Arial" w:eastAsia="Arial" w:hAnsi="Arial"/>
        </w:rPr>
        <w:t xml:space="preserve">ASEAN Intergovernmental Commission on Human Rights (2009)</w:t>
      </w:r>
      <w:r>
        <w:rPr>
          <w:sz w:val="22"/>
          <w:szCs w:val="22"/>
          <w:rFonts w:ascii="Arial" w:cs="Arial" w:eastAsia="Arial" w:hAnsi="Arial"/>
        </w:rPr>
        <w:t xml:space="preserve"> as a consultative body without a complaints function. </w:t>
      </w:r>
      <w:r>
        <w:rPr>
          <w:b/>
          <w:bCs/>
          <w:sz w:val="22"/>
          <w:szCs w:val="22"/>
          <w:rFonts w:ascii="Arial" w:cs="Arial" w:eastAsia="Arial" w:hAnsi="Arial"/>
        </w:rPr>
        <w:t xml:space="preserve">Asia has no regional system</w:t>
      </w:r>
      <w:r>
        <w:rPr>
          <w:sz w:val="22"/>
          <w:szCs w:val="22"/>
          <w:rFonts w:ascii="Arial" w:cs="Arial" w:eastAsia="Arial" w:hAnsi="Arial"/>
        </w:rPr>
        <w:t xml:space="preserve"> because of its size and diversity (no 'Asian' identity comparable to Europe's Council or the OAS), the strength of sovereignty and non-interference in the region's politics (China, the ASEAN 'way'), the 'Asian values' position of the 1990s, the absence of a regional organisation covering the continent (SAARC's 2004 Social Charter is aspirational; the SAARC conventions on trafficking and child welfare have no monitoring), and the preference of India and others for the UN system and national institutions (the Asia-Pacific Forum of National Human Rights Institutions, 1996, is the region's substitute). The UN's regional arrangements — the OHCHR's regional offices, the Asia-Pacific Workshops since 1990 — and the Council's UPR fill the gap.</w:t>
      </w:r>
    </w:p>
    <w:p>
      <w:pPr>
        <w:spacing w:before="240" w:after="120"/>
      </w:pPr>
      <w:r>
        <w:rPr>
          <w:b/>
          <w:bCs/>
          <w:color w:val="404040"/>
          <w:sz w:val="23"/>
          <w:szCs w:val="23"/>
          <w:rFonts w:ascii="Arial" w:cs="Arial" w:eastAsia="Arial" w:hAnsi="Arial"/>
        </w:rPr>
        <w:t xml:space="preserve">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Feature</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European</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Inter-American</w:t>
            </w:r>
          </w:p>
        </w:tc>
        <w:tc>
          <w:tcPr>
            <w:tcW w:type="dxa" w:w="2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African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Treaty and date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ECHR 1950 (in force 1953)</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American Convention 1969 (1978); Declaration 1948</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African Charter 1981 (1986)</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Rights covered</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Civil and political (Social Charter separate)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Civil and political; ESC by Protocol of San Salvador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All three generations plus duties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Who may complain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Any person, NGO or group claiming to be a victim, directly to the Court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Any person or NGO to the Commission (no victim requirement); Court via Commission or State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Individuals/NGOs to the Commission; to the Court only against States with the Art 34(6) declaration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Organs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Single permanent Court; Committee of Ministers supervises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Commission (Washington) and Court (San José)</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Commission (Banjul) and Court (Arusha)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Judgments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Binding, declaratory plus just satisfaction; State chooses means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Binding, detailed reparations; Court supervises compliance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Binding; AU Executive Council supervises; low compliance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Derogation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 15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 27 (judicial guarantees non-derogable)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None (Commission: no derogation)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Distinctive doctrines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Margin of appreciation, living instrument, positive obligations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Due diligence, amnesty invalidity, conventionality control, wide advisory jurisdiction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Claw-back clauses read down, peoples' rights, right to development, environment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Weakness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Docket; non-execution (Hirst); Russia's exit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US/Canada outside Court; denunciations; funding</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Political shielding; withdrawals of declarations; compliance</w:t>
            </w:r>
          </w:p>
        </w:tc>
      </w:tr>
    </w:tbl>
    <w:p>
      <w:pPr>
        <w:pBdr>
          <w:left w:val="single" w:color="CC0000" w:sz="6" w:space="8"/>
        </w:pBdr>
        <w:spacing w:before="80" w:after="80"/>
        <w:ind w:left="300"/>
      </w:pPr>
      <w:r>
        <w:rPr>
          <w:b/>
          <w:bCs/>
          <w:color w:val="CC0000"/>
          <w:sz w:val="21"/>
          <w:szCs w:val="21"/>
          <w:rFonts w:ascii="Arial" w:cs="Arial" w:eastAsia="Arial" w:hAnsi="Arial"/>
        </w:rPr>
        <w:t xml:space="preserve">Velásquez Rodríguez v. Honduras, IACtHR 1988 — </w:t>
      </w:r>
      <w:r>
        <w:rPr>
          <w:sz w:val="21"/>
          <w:szCs w:val="21"/>
          <w:rFonts w:ascii="Arial" w:cs="Arial" w:eastAsia="Arial" w:hAnsi="Arial"/>
        </w:rPr>
        <w:t xml:space="preserve">Forced disappearance is a continuing, multiple violation; the State must prevent, investigate, punish and compensate; responsibility for failure of due diligence even where the perpetrator is unidentified; the burden shifts where the State controls the evidence.</w:t>
      </w:r>
    </w:p>
    <w:p>
      <w:pPr>
        <w:pBdr>
          <w:left w:val="single" w:color="CC0000" w:sz="6" w:space="8"/>
        </w:pBdr>
        <w:spacing w:before="80" w:after="80"/>
        <w:ind w:left="300"/>
      </w:pPr>
      <w:r>
        <w:rPr>
          <w:b/>
          <w:bCs/>
          <w:color w:val="CC0000"/>
          <w:sz w:val="21"/>
          <w:szCs w:val="21"/>
          <w:rFonts w:ascii="Arial" w:cs="Arial" w:eastAsia="Arial" w:hAnsi="Arial"/>
        </w:rPr>
        <w:t xml:space="preserve">Barrios Altos v. Peru, IACtHR 2001 — </w:t>
      </w:r>
      <w:r>
        <w:rPr>
          <w:sz w:val="21"/>
          <w:szCs w:val="21"/>
          <w:rFonts w:ascii="Arial" w:cs="Arial" w:eastAsia="Arial" w:hAnsi="Arial"/>
        </w:rPr>
        <w:t xml:space="preserve">Self-amnesty laws for grave violations are incompatible with the Convention and lack legal effect; the obligation to investigate and punish cannot be extinguished.</w:t>
      </w:r>
    </w:p>
    <w:p>
      <w:pPr>
        <w:pBdr>
          <w:left w:val="single" w:color="CC0000" w:sz="6" w:space="8"/>
        </w:pBdr>
        <w:spacing w:before="80" w:after="80"/>
        <w:ind w:left="300"/>
      </w:pPr>
      <w:r>
        <w:rPr>
          <w:b/>
          <w:bCs/>
          <w:color w:val="CC0000"/>
          <w:sz w:val="21"/>
          <w:szCs w:val="21"/>
          <w:rFonts w:ascii="Arial" w:cs="Arial" w:eastAsia="Arial" w:hAnsi="Arial"/>
        </w:rPr>
        <w:t xml:space="preserve">Almonacid Arellano v. Chile, IACtHR 2006 — </w:t>
      </w:r>
      <w:r>
        <w:rPr>
          <w:sz w:val="21"/>
          <w:szCs w:val="21"/>
          <w:rFonts w:ascii="Arial" w:cs="Arial" w:eastAsia="Arial" w:hAnsi="Arial"/>
        </w:rPr>
        <w:t xml:space="preserve">Conventionality control — domestic judges must apply the Convention and the Court's interpretations and disapply contrary national law, including Pinochet's amnesty decree.</w:t>
      </w:r>
    </w:p>
    <w:p>
      <w:pPr>
        <w:pBdr>
          <w:left w:val="single" w:color="CC0000" w:sz="6" w:space="8"/>
        </w:pBdr>
        <w:spacing w:before="80" w:after="80"/>
        <w:ind w:left="300"/>
      </w:pPr>
      <w:r>
        <w:rPr>
          <w:b/>
          <w:bCs/>
          <w:color w:val="CC0000"/>
          <w:sz w:val="21"/>
          <w:szCs w:val="21"/>
          <w:rFonts w:ascii="Arial" w:cs="Arial" w:eastAsia="Arial" w:hAnsi="Arial"/>
        </w:rPr>
        <w:t xml:space="preserve">Social and Economic Rights Action Centre (SERAC) v. Nigeria, ACHPR 2001 (the Ogoni case) — </w:t>
      </w:r>
      <w:r>
        <w:rPr>
          <w:sz w:val="21"/>
          <w:szCs w:val="21"/>
          <w:rFonts w:ascii="Arial" w:cs="Arial" w:eastAsia="Arial" w:hAnsi="Arial"/>
        </w:rPr>
        <w:t xml:space="preserve">The State's participation in and failure to control oil pollution violated the rights to health and a satisfactory environment (Arts 16, 24), the implied rights to housing and food, and the peoples' right to natural resources (Art 21); the respect-protect-promote-fulfil obligations apply to all rights.</w:t>
      </w:r>
    </w:p>
    <w:p>
      <w:pPr>
        <w:pBdr>
          <w:left w:val="single" w:color="CC0000" w:sz="6" w:space="8"/>
        </w:pBdr>
        <w:spacing w:before="80" w:after="80"/>
        <w:ind w:left="300"/>
      </w:pPr>
      <w:r>
        <w:rPr>
          <w:b/>
          <w:bCs/>
          <w:color w:val="CC0000"/>
          <w:sz w:val="21"/>
          <w:szCs w:val="21"/>
          <w:rFonts w:ascii="Arial" w:cs="Arial" w:eastAsia="Arial" w:hAnsi="Arial"/>
        </w:rPr>
        <w:t xml:space="preserve">Centre for Minority Rights Development (Endorois) v. Kenya, ACHPR 2009 — </w:t>
      </w:r>
      <w:r>
        <w:rPr>
          <w:sz w:val="21"/>
          <w:szCs w:val="21"/>
          <w:rFonts w:ascii="Arial" w:cs="Arial" w:eastAsia="Arial" w:hAnsi="Arial"/>
        </w:rPr>
        <w:t xml:space="preserve">Eviction of the Endorois from Lake Bogoria violated their rights to religion, property, culture, natural resources and development; the first finding on Art 22; restitution and consultation ordered.</w:t>
      </w:r>
    </w:p>
    <w:p>
      <w:pPr>
        <w:pBdr>
          <w:left w:val="single" w:color="CC0000" w:sz="6" w:space="8"/>
        </w:pBdr>
        <w:spacing w:before="80" w:after="80"/>
        <w:ind w:left="300"/>
      </w:pPr>
      <w:r>
        <w:rPr>
          <w:b/>
          <w:bCs/>
          <w:color w:val="CC0000"/>
          <w:sz w:val="21"/>
          <w:szCs w:val="21"/>
          <w:rFonts w:ascii="Arial" w:cs="Arial" w:eastAsia="Arial" w:hAnsi="Arial"/>
        </w:rPr>
        <w:t xml:space="preserve">African Commission v. Kenya (Ogiek), ACtHPR 2017 — </w:t>
      </w:r>
      <w:r>
        <w:rPr>
          <w:sz w:val="21"/>
          <w:szCs w:val="21"/>
          <w:rFonts w:ascii="Arial" w:cs="Arial" w:eastAsia="Arial" w:hAnsi="Arial"/>
        </w:rPr>
        <w:t xml:space="preserve">The Ogiek are an indigenous people; their eviction from the Mau Forest violated Arts 1, 2, 8, 14, 17, 21 and 22; the Court's first indigenous-rights judgment; reparations in 2022.</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Inter-American Court's compliance hearings and judgments are broadcast online and its jurisprudence indexed in the 'Digesto'; the African Commission's decisions are on its website and the African Court's on its case-law portal; the Cotton Field and Sarayaku judgments used satellite imagery and forensic databases; and the ASEAN Commission's 2012 Declaration is the text against which Southeast Asian digital-rights litigation (Thailand's lèse-majesté cases, Myanmar's internet shutdowns) is measured in the absence of a court.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'American Convention on Human Rights', 'Inter-American Commission', 'Velásquez Rodríguez', 'Due diligence', 'Conventionality control', 'African Charter — peoples' rights', 'Duties under the African Charter', 'Claw-back clauses', 'African Court', 'SERAC v. Nigeria', 'Why no Asian regional system'. Part B: 'Describe the Inter-American system for the protection of human rights and its distinctive contributions'; or 'Examine the salient features of the African Charter on Human and Peoples' Rights and the machinery for its implementation'; or 'Compare the European, Inter-American and African systems' — the table. Part C: a person is abducted by unidentified men in a State where the army is known to disappear dissidents — Velásquez Rodríguez, due diligence, continuing violation; a State passes an amnesty for its former junta — Barrios Altos, no legal effect; a community is evicted from ancestral land for a game reserve — Endorois, Ogiek, Awas Tingni; a State party to the African Charter suspends rights in an emergency — no derogation clause, Chad case; a Southeast Asian journalist seeks a regional remedy — none; the UN Special Procedures and the Human Rights Committee (if the State is a Protocol party).</w:t>
      </w:r>
    </w:p>
    <w:p>
      <w:r>
        <w:br w:type="page"/>
      </w:r>
    </w:p>
    <w:p>
      <w:pPr>
        <w:pStyle w:val="Heading1"/>
        <w:spacing w:before="480" w:after="200"/>
      </w:pPr>
      <w:r>
        <w:rPr>
          <w:b/>
          <w:bCs/>
          <w:color w:val="1F4E79"/>
          <w:sz w:val="32"/>
          <w:szCs w:val="32"/>
          <w:rFonts w:ascii="Arial" w:cs="Arial" w:eastAsia="Arial" w:hAnsi="Arial"/>
        </w:rPr>
        <w:t xml:space="preserve">Episode 07 — The Forgotten Prisoners: Amnesty International and the Protective Agencies</w:t>
      </w:r>
    </w:p>
    <w:p>
      <w:pPr>
        <w:pStyle w:val="Heading2"/>
        <w:spacing w:before="360" w:after="160"/>
      </w:pPr>
      <w:r>
        <w:rPr>
          <w:b/>
          <w:bCs/>
          <w:color w:val="2E75B6"/>
          <w:sz w:val="26"/>
          <w:szCs w:val="26"/>
          <w:rFonts w:ascii="Arial" w:cs="Arial" w:eastAsia="Arial" w:hAnsi="Arial"/>
        </w:rPr>
        <w:t xml:space="preserve">Covers: The UN Commission on Human Rights (1946-2006) and the Human Rights Council (2006-) — the UPR, the Special Procedures, the complaint procedure · The Centre for Human Rights and the Office of the High Commissioner (OHCHR) · The treaty bodies · The ILO and human rights · UNICEF and human rights · UNHCR, UNESCO, WHO, UN Women · Non-governmental organisations — Amnesty International, Human Rights Watch · The International Committee of the Red Cross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London, 28 May 1961. The Observer published an article by a barrister, Peter Benenson, headed 'The Forgotten Prisoners'. It began with two Portuguese students who had been sentenced to seven years for raising their glasses in a Lisbon café in a toast to freedom, and went on to name a Romanian philosopher, a Greek trade unionist, an Angolan doctor, an American clergyman and a Hungarian cardinal — prisoners held for their opinions, whom Benenson called 'prisoners of conscience'. He proposed an 'Appeal for Amnesty, 1961': ordinary people would write letters to governments asking for the release of prisoners who had neither used nor advocated violence. The article was reprinted across Europe; within a month a thousand letters had arrived; within a year the appeal had become a permanent organisation with groups 'adopting' individual prisoners — one from the West, one from the Communist bloc, one from the developing world, to keep the work impartial. Amnesty International's research department documented cases; its candle wrapped in barbed wire became the movement's symbol; its campaigns against torture (1972) and the death penalty (1977) produced the UN Declaration against Torture (1975) and the Convention (1984); it won the Nobel Peace Prize in 1977; and its annual report became the standard of what a State's human-rights record is. The story is the lesson of this episode: the machinery of protection is not only the committees at Geneva but the organisations that feed them facts and the public that reads the reports.</w:t>
      </w:r>
    </w:p>
    <w:p>
      <w:pPr>
        <w:spacing w:before="240" w:after="120"/>
      </w:pPr>
      <w:r>
        <w:rPr>
          <w:b/>
          <w:bCs/>
          <w:color w:val="404040"/>
          <w:sz w:val="23"/>
          <w:szCs w:val="23"/>
          <w:rFonts w:ascii="Arial" w:cs="Arial" w:eastAsia="Arial" w:hAnsi="Arial"/>
        </w:rPr>
        <w:t xml:space="preserve">The Commission on Human Rights, 1946-2006</w:t>
      </w:r>
    </w:p>
    <w:p>
      <w:pPr>
        <w:spacing w:after="120" w:line="300"/>
        <w:jc w:val="both"/>
      </w:pPr>
      <w:r>
        <w:rPr>
          <w:sz w:val="22"/>
          <w:szCs w:val="22"/>
          <w:rFonts w:ascii="Arial" w:cs="Arial" w:eastAsia="Arial" w:hAnsi="Arial"/>
        </w:rPr>
        <w:t xml:space="preserve">Created by ECOSOC in 1946 under Art 68 of the Charter with 18 (later 53) member States elected by ECOSOC, meeting annually in Geneva for six weeks. Its first phase (1946-66) was </w:t>
      </w:r>
      <w:r>
        <w:rPr>
          <w:b/>
          <w:bCs/>
          <w:sz w:val="22"/>
          <w:szCs w:val="22"/>
          <w:rFonts w:ascii="Arial" w:cs="Arial" w:eastAsia="Arial" w:hAnsi="Arial"/>
        </w:rPr>
        <w:t xml:space="preserve">standard-setting</w:t>
      </w:r>
      <w:r>
        <w:rPr>
          <w:sz w:val="22"/>
          <w:szCs w:val="22"/>
          <w:rFonts w:ascii="Arial" w:cs="Arial" w:eastAsia="Arial" w:hAnsi="Arial"/>
        </w:rPr>
        <w:t xml:space="preserve"> — the UDHR, the Covenants, the Declarations on the child (1959) and racial discrimination (1963) — under a self-denying 1947 decision that it had 'no power to take any action in regard to any complaints concerning human rights' (the thousands of petitions received were merely listed). The second phase (1967-) was </w:t>
      </w:r>
      <w:r>
        <w:rPr>
          <w:b/>
          <w:bCs/>
          <w:sz w:val="22"/>
          <w:szCs w:val="22"/>
          <w:rFonts w:ascii="Arial" w:cs="Arial" w:eastAsia="Arial" w:hAnsi="Arial"/>
        </w:rPr>
        <w:t xml:space="preserve">protection</w:t>
      </w:r>
      <w:r>
        <w:rPr>
          <w:sz w:val="22"/>
          <w:szCs w:val="22"/>
          <w:rFonts w:ascii="Arial" w:cs="Arial" w:eastAsia="Arial" w:hAnsi="Arial"/>
        </w:rPr>
        <w:t xml:space="preserve">: </w:t>
      </w:r>
      <w:r>
        <w:rPr>
          <w:b/>
          <w:bCs/>
          <w:sz w:val="22"/>
          <w:szCs w:val="22"/>
          <w:rFonts w:ascii="Arial" w:cs="Arial" w:eastAsia="Arial" w:hAnsi="Arial"/>
        </w:rPr>
        <w:t xml:space="preserve">ECOSOC Resolution 1235 (1967)</w:t>
      </w:r>
      <w:r>
        <w:rPr>
          <w:sz w:val="22"/>
          <w:szCs w:val="22"/>
          <w:rFonts w:ascii="Arial" w:cs="Arial" w:eastAsia="Arial" w:hAnsi="Arial"/>
        </w:rPr>
        <w:t xml:space="preserve"> authorised the Commission to examine information on 'gross violations' and to study situations revealing 'a consistent pattern of violations' (aimed at South Africa and Rhodesia, then Chile after 1973, then generally) — the public procedure of country resolutions and rapporteurs; </w:t>
      </w:r>
      <w:r>
        <w:rPr>
          <w:b/>
          <w:bCs/>
          <w:sz w:val="22"/>
          <w:szCs w:val="22"/>
          <w:rFonts w:ascii="Arial" w:cs="Arial" w:eastAsia="Arial" w:hAnsi="Arial"/>
        </w:rPr>
        <w:t xml:space="preserve">ECOSOC Resolution 1503 (1970)</w:t>
      </w:r>
      <w:r>
        <w:rPr>
          <w:sz w:val="22"/>
          <w:szCs w:val="22"/>
          <w:rFonts w:ascii="Arial" w:cs="Arial" w:eastAsia="Arial" w:hAnsi="Arial"/>
        </w:rPr>
        <w:t xml:space="preserve"> created the confidential procedure by which the Sub-Commission and the Commission examined communications 'appearing to reveal a consistent pattern of gross and reliably attested violations' — the first UN mechanism for individual complaints, confidential, slow and rarely decisive but a lever. From 1980 the </w:t>
      </w:r>
      <w:r>
        <w:rPr>
          <w:b/>
          <w:bCs/>
          <w:sz w:val="22"/>
          <w:szCs w:val="22"/>
          <w:rFonts w:ascii="Arial" w:cs="Arial" w:eastAsia="Arial" w:hAnsi="Arial"/>
        </w:rPr>
        <w:t xml:space="preserve">Special Procedures</w:t>
      </w:r>
      <w:r>
        <w:rPr>
          <w:sz w:val="22"/>
          <w:szCs w:val="22"/>
          <w:rFonts w:ascii="Arial" w:cs="Arial" w:eastAsia="Arial" w:hAnsi="Arial"/>
        </w:rPr>
        <w:t xml:space="preserve"> grew: the Working Group on Enforced or Involuntary Disappearances (1980 — Argentina), the Special Rapporteurs on summary executions (1982), torture (1985), religious intolerance (1986), mercenaries, the sale of children (1990), freedom of expression (1993), violence against women (1994), the independence of judges (1994), racism (1993), and country mandates (Afghanistan, Iran, Myanmar, Sudan...). The </w:t>
      </w:r>
      <w:r>
        <w:rPr>
          <w:b/>
          <w:bCs/>
          <w:sz w:val="22"/>
          <w:szCs w:val="22"/>
          <w:rFonts w:ascii="Arial" w:cs="Arial" w:eastAsia="Arial" w:hAnsi="Arial"/>
        </w:rPr>
        <w:t xml:space="preserve">Sub-Commission on the Promotion and Protection of Human Rights</w:t>
      </w:r>
      <w:r>
        <w:rPr>
          <w:sz w:val="22"/>
          <w:szCs w:val="22"/>
          <w:rFonts w:ascii="Arial" w:cs="Arial" w:eastAsia="Arial" w:hAnsi="Arial"/>
        </w:rPr>
        <w:t xml:space="preserve"> (1947-2006; 26 independent experts) did the studies (the Martínez Cobo study on indigenous peoples, the Whitaker report on genocide, the Norms on transnational corporations). The Commission was discredited by the 2000s by the election of gross violators (Sudan, Libya as chair in 2003), by selectivity and bloc voting, and by the annual fight over Israel; the Secretary-General's 2005 report 'In Larger Freedom' proposed its replacement.</w:t>
      </w:r>
    </w:p>
    <w:p>
      <w:pPr>
        <w:spacing w:before="240" w:after="120"/>
      </w:pPr>
      <w:r>
        <w:rPr>
          <w:b/>
          <w:bCs/>
          <w:color w:val="404040"/>
          <w:sz w:val="23"/>
          <w:szCs w:val="23"/>
          <w:rFonts w:ascii="Arial" w:cs="Arial" w:eastAsia="Arial" w:hAnsi="Arial"/>
        </w:rPr>
        <w:t xml:space="preserve">The Human Rights Council, 2006-</w:t>
      </w:r>
    </w:p>
    <w:p>
      <w:pPr>
        <w:spacing w:after="120" w:line="300"/>
        <w:jc w:val="both"/>
      </w:pPr>
      <w:r>
        <w:rPr>
          <w:sz w:val="22"/>
          <w:szCs w:val="22"/>
          <w:rFonts w:ascii="Arial" w:cs="Arial" w:eastAsia="Arial" w:hAnsi="Arial"/>
        </w:rPr>
      </w:r>
      <w:r>
        <w:rPr>
          <w:b/>
          <w:bCs/>
          <w:sz w:val="22"/>
          <w:szCs w:val="22"/>
          <w:rFonts w:ascii="Arial" w:cs="Arial" w:eastAsia="Arial" w:hAnsi="Arial"/>
        </w:rPr>
        <w:t xml:space="preserve">General Assembly Resolution 60/251 (15 March 2006)</w:t>
      </w:r>
      <w:r>
        <w:rPr>
          <w:sz w:val="22"/>
          <w:szCs w:val="22"/>
          <w:rFonts w:ascii="Arial" w:cs="Arial" w:eastAsia="Arial" w:hAnsi="Arial"/>
        </w:rPr>
        <w:t xml:space="preserve"> created the </w:t>
      </w:r>
      <w:r>
        <w:rPr>
          <w:b/>
          <w:bCs/>
          <w:sz w:val="22"/>
          <w:szCs w:val="22"/>
          <w:rFonts w:ascii="Arial" w:cs="Arial" w:eastAsia="Arial" w:hAnsi="Arial"/>
        </w:rPr>
        <w:t xml:space="preserve">Human Rights Council</w:t>
      </w:r>
      <w:r>
        <w:rPr>
          <w:sz w:val="22"/>
          <w:szCs w:val="22"/>
          <w:rFonts w:ascii="Arial" w:cs="Arial" w:eastAsia="Arial" w:hAnsi="Arial"/>
        </w:rPr>
        <w:t xml:space="preserve"> as a subsidiary organ of the General Assembly (not of ECOSOC — raising its status), with 47 members elected by the Assembly's absolute majority for three years (no more than two consecutive terms), on regional distribution (Africa 13, Asia-Pacific 13, Latin America and Caribbean 8, Western Europe and others 7, Eastern Europe 6), with the members' human-rights records to be taken into account and the Assembly able to suspend a member by two-thirds for gross violations (Libya 2011, Russia 2022); it meets in at least three regular sessions a year (ten weeks) and special sessions (over 35 so far — Darfur, Gaza, Syria, Myanmar, Ukraine, Iran). Its mechanisms (the 2007 'institution-building' resolution 5/1): (1) the </w:t>
      </w:r>
      <w:r>
        <w:rPr>
          <w:b/>
          <w:bCs/>
          <w:sz w:val="22"/>
          <w:szCs w:val="22"/>
          <w:rFonts w:ascii="Arial" w:cs="Arial" w:eastAsia="Arial" w:hAnsi="Arial"/>
        </w:rPr>
        <w:t xml:space="preserve">Universal Periodic Review</w:t>
      </w:r>
      <w:r>
        <w:rPr>
          <w:sz w:val="22"/>
          <w:szCs w:val="22"/>
          <w:rFonts w:ascii="Arial" w:cs="Arial" w:eastAsia="Arial" w:hAnsi="Arial"/>
        </w:rPr>
        <w:t xml:space="preserve"> — every UN member's record examined every four and a half years by the Council's Working Group on the basis of the State's report, a UN compilation and a stakeholders' summary, in an interactive dialogue producing recommendations that the State accepts or notes (India was reviewed in 2008, 2012, 2017 and 2022, receiving 339 recommendations in 2022 and accepting 221 — on the death penalty, the UAPA, the FCRA, marital rape, the NHRC, the Rohingya); (2) the </w:t>
      </w:r>
      <w:r>
        <w:rPr>
          <w:b/>
          <w:bCs/>
          <w:sz w:val="22"/>
          <w:szCs w:val="22"/>
          <w:rFonts w:ascii="Arial" w:cs="Arial" w:eastAsia="Arial" w:hAnsi="Arial"/>
        </w:rPr>
        <w:t xml:space="preserve">Special Procedures</w:t>
      </w:r>
      <w:r>
        <w:rPr>
          <w:sz w:val="22"/>
          <w:szCs w:val="22"/>
          <w:rFonts w:ascii="Arial" w:cs="Arial" w:eastAsia="Arial" w:hAnsi="Arial"/>
        </w:rPr>
        <w:t xml:space="preserve"> — inherited and expanded to 46 thematic and 14 country mandates (2024) — independent experts who receive complaints, send communications (urgent appeals and allegation letters) to States, undertake country visits with the State's invitation (India has issued few standing invitations; the Rapporteur on water visited in 2017), and report annually; (3) the </w:t>
      </w:r>
      <w:r>
        <w:rPr>
          <w:b/>
          <w:bCs/>
          <w:sz w:val="22"/>
          <w:szCs w:val="22"/>
          <w:rFonts w:ascii="Arial" w:cs="Arial" w:eastAsia="Arial" w:hAnsi="Arial"/>
        </w:rPr>
        <w:t xml:space="preserve">complaint procedure</w:t>
      </w:r>
      <w:r>
        <w:rPr>
          <w:sz w:val="22"/>
          <w:szCs w:val="22"/>
          <w:rFonts w:ascii="Arial" w:cs="Arial" w:eastAsia="Arial" w:hAnsi="Arial"/>
        </w:rPr>
        <w:t xml:space="preserve"> (the successor of 1503 — the Working Group on Communications and the Working Group on Situations; confidential; consistent patterns of gross violations); (4) the </w:t>
      </w:r>
      <w:r>
        <w:rPr>
          <w:b/>
          <w:bCs/>
          <w:sz w:val="22"/>
          <w:szCs w:val="22"/>
          <w:rFonts w:ascii="Arial" w:cs="Arial" w:eastAsia="Arial" w:hAnsi="Arial"/>
        </w:rPr>
        <w:t xml:space="preserve">Advisory Committee</w:t>
      </w:r>
      <w:r>
        <w:rPr>
          <w:sz w:val="22"/>
          <w:szCs w:val="22"/>
          <w:rFonts w:ascii="Arial" w:cs="Arial" w:eastAsia="Arial" w:hAnsi="Arial"/>
        </w:rPr>
        <w:t xml:space="preserve"> (18 experts, the successor of the Sub-Commission, with a limited research role); (5) the </w:t>
      </w:r>
      <w:r>
        <w:rPr>
          <w:b/>
          <w:bCs/>
          <w:sz w:val="22"/>
          <w:szCs w:val="22"/>
          <w:rFonts w:ascii="Arial" w:cs="Arial" w:eastAsia="Arial" w:hAnsi="Arial"/>
        </w:rPr>
        <w:t xml:space="preserve">Expert Mechanism on the Rights of Indigenous Peoples</w:t>
      </w:r>
      <w:r>
        <w:rPr>
          <w:sz w:val="22"/>
          <w:szCs w:val="22"/>
          <w:rFonts w:ascii="Arial" w:cs="Arial" w:eastAsia="Arial" w:hAnsi="Arial"/>
        </w:rPr>
        <w:t xml:space="preserve">, the Forum on Minority Issues, the Social Forum, the Forum on Business and Human Rights; (6) </w:t>
      </w:r>
      <w:r>
        <w:rPr>
          <w:b/>
          <w:bCs/>
          <w:sz w:val="22"/>
          <w:szCs w:val="22"/>
          <w:rFonts w:ascii="Arial" w:cs="Arial" w:eastAsia="Arial" w:hAnsi="Arial"/>
        </w:rPr>
        <w:t xml:space="preserve">commissions of inquiry and fact-finding missions</w:t>
      </w:r>
      <w:r>
        <w:rPr>
          <w:sz w:val="22"/>
          <w:szCs w:val="22"/>
          <w:rFonts w:ascii="Arial" w:cs="Arial" w:eastAsia="Arial" w:hAnsi="Arial"/>
        </w:rPr>
        <w:t xml:space="preserve"> — Syria (2011-), Gaza (2009 — the Goldstone report; 2014; 2021 permanent), Sri Lanka (2014), North Korea (2013 — the report that found crimes against humanity), Eritrea, Burundi, Myanmar (2017 — the Rohingya findings that led to the Independent Investigative Mechanism and the Gambia v. Myanmar case), Venezuela, Ukraine (2022), Iran (2022), Sudan (2023); (7) resolutions, and the annual reports of the High Commissioner. The Council's record: the UPR's universality is its great advance (every State, including the permanent members, is reviewed); the Special Procedures are the system's eyes; the criticisms — the continued election of violators (China, Saudi Arabia, Cuba, Russia until 2022), the Israel 'Item 7', the United States' withdrawals (2018-21, 2025) — are the Commission's old politics.</w:t>
      </w:r>
    </w:p>
    <w:p>
      <w:pPr>
        <w:spacing w:before="240" w:after="120"/>
      </w:pPr>
      <w:r>
        <w:rPr>
          <w:b/>
          <w:bCs/>
          <w:color w:val="404040"/>
          <w:sz w:val="23"/>
          <w:szCs w:val="23"/>
          <w:rFonts w:ascii="Arial" w:cs="Arial" w:eastAsia="Arial" w:hAnsi="Arial"/>
        </w:rPr>
        <w:t xml:space="preserve">The Centre for Human Rights and the OHCHR</w:t>
      </w:r>
    </w:p>
    <w:p>
      <w:pPr>
        <w:spacing w:after="120" w:line="300"/>
        <w:jc w:val="both"/>
      </w:pPr>
      <w:r>
        <w:rPr>
          <w:sz w:val="22"/>
          <w:szCs w:val="22"/>
          <w:rFonts w:ascii="Arial" w:cs="Arial" w:eastAsia="Arial" w:hAnsi="Arial"/>
        </w:rPr>
        <w:t xml:space="preserve">The UN Secretariat's </w:t>
      </w:r>
      <w:r>
        <w:rPr>
          <w:b/>
          <w:bCs/>
          <w:sz w:val="22"/>
          <w:szCs w:val="22"/>
          <w:rFonts w:ascii="Arial" w:cs="Arial" w:eastAsia="Arial" w:hAnsi="Arial"/>
        </w:rPr>
        <w:t xml:space="preserve">Division of Human Rights</w:t>
      </w:r>
      <w:r>
        <w:rPr>
          <w:sz w:val="22"/>
          <w:szCs w:val="22"/>
          <w:rFonts w:ascii="Arial" w:cs="Arial" w:eastAsia="Arial" w:hAnsi="Arial"/>
        </w:rPr>
        <w:t xml:space="preserve"> (New York, 1946, under John Humphrey) became the </w:t>
      </w:r>
      <w:r>
        <w:rPr>
          <w:b/>
          <w:bCs/>
          <w:sz w:val="22"/>
          <w:szCs w:val="22"/>
          <w:rFonts w:ascii="Arial" w:cs="Arial" w:eastAsia="Arial" w:hAnsi="Arial"/>
        </w:rPr>
        <w:t xml:space="preserve">Centre for Human Rights</w:t>
      </w:r>
      <w:r>
        <w:rPr>
          <w:sz w:val="22"/>
          <w:szCs w:val="22"/>
          <w:rFonts w:ascii="Arial" w:cs="Arial" w:eastAsia="Arial" w:hAnsi="Arial"/>
        </w:rPr>
        <w:t xml:space="preserve"> in Geneva (1982) — the secretariat of the Commission, the Sub-Commission and the treaty bodies, with advisory services and a small staff. The </w:t>
      </w:r>
      <w:r>
        <w:rPr>
          <w:b/>
          <w:bCs/>
          <w:sz w:val="22"/>
          <w:szCs w:val="22"/>
          <w:rFonts w:ascii="Arial" w:cs="Arial" w:eastAsia="Arial" w:hAnsi="Arial"/>
        </w:rPr>
        <w:t xml:space="preserve">Vienna Conference (1993)</w:t>
      </w:r>
      <w:r>
        <w:rPr>
          <w:sz w:val="22"/>
          <w:szCs w:val="22"/>
          <w:rFonts w:ascii="Arial" w:cs="Arial" w:eastAsia="Arial" w:hAnsi="Arial"/>
        </w:rPr>
        <w:t xml:space="preserve"> recommended, and </w:t>
      </w:r>
      <w:r>
        <w:rPr>
          <w:b/>
          <w:bCs/>
          <w:sz w:val="22"/>
          <w:szCs w:val="22"/>
          <w:rFonts w:ascii="Arial" w:cs="Arial" w:eastAsia="Arial" w:hAnsi="Arial"/>
        </w:rPr>
        <w:t xml:space="preserve">General Assembly Resolution 48/141 (20 December 1993)</w:t>
      </w:r>
      <w:r>
        <w:rPr>
          <w:sz w:val="22"/>
          <w:szCs w:val="22"/>
          <w:rFonts w:ascii="Arial" w:cs="Arial" w:eastAsia="Arial" w:hAnsi="Arial"/>
        </w:rPr>
        <w:t xml:space="preserve"> created, the post of </w:t>
      </w:r>
      <w:r>
        <w:rPr>
          <w:b/>
          <w:bCs/>
          <w:sz w:val="22"/>
          <w:szCs w:val="22"/>
          <w:rFonts w:ascii="Arial" w:cs="Arial" w:eastAsia="Arial" w:hAnsi="Arial"/>
        </w:rPr>
        <w:t xml:space="preserve">United Nations High Commissioner for Human Rights</w:t>
      </w:r>
      <w:r>
        <w:rPr>
          <w:sz w:val="22"/>
          <w:szCs w:val="22"/>
          <w:rFonts w:ascii="Arial" w:cs="Arial" w:eastAsia="Arial" w:hAnsi="Arial"/>
        </w:rPr>
        <w:t xml:space="preserve">: an Under-Secretary-General appointed by the Secretary-General with the Assembly's approval for four years (renewable once), with 'principal responsibility for United Nations human rights activities' — to promote and protect the effective enjoyment of all rights; to provide advisory services and technical assistance; to coordinate education and information; to play an active role in removing obstacles and in preventing violations; to engage in dialogue with Governments; to enhance international cooperation; to coordinate the UN system's human-rights activities; and to rationalise the machinery. The Centre was merged into the High Commissioner's office in 1997 to form the </w:t>
      </w:r>
      <w:r>
        <w:rPr>
          <w:b/>
          <w:bCs/>
          <w:sz w:val="22"/>
          <w:szCs w:val="22"/>
          <w:rFonts w:ascii="Arial" w:cs="Arial" w:eastAsia="Arial" w:hAnsi="Arial"/>
        </w:rPr>
        <w:t xml:space="preserve">Office of the High Commissioner for Human Rights (OHCHR)</w:t>
      </w:r>
      <w:r>
        <w:rPr>
          <w:sz w:val="22"/>
          <w:szCs w:val="22"/>
          <w:rFonts w:ascii="Arial" w:cs="Arial" w:eastAsia="Arial" w:hAnsi="Arial"/>
        </w:rPr>
        <w:t xml:space="preserve">, Geneva (Palais Wilson), with a New York office, about 1,800 staff, regional and country offices (including field presences in conflict areas) and a budget largely of voluntary contributions. The High Commissioners: José Ayala Lasso (1994-97), Mary Robinson (1997-2002), Sergio Vieira de Mello (2002-03, killed in Baghdad), Louise Arbour (2004-08), Navi Pillay (2008-14), Zeid Ra'ad Al Hussein (2014-18), Michelle Bachelet (2018-22), Volker Türk (2022-). The Office's functions today: secretariat to the Council, the UPR, the Special Procedures and the ten treaty bodies; thematic research and guidance (the Guiding Principles on Business and Human Rights, 2011; the Istanbul Protocol on torture documentation); technical cooperation and national institutions; monitoring and public reporting (the annual report, country reports — the 2018 and 2019 Kashmir reports which India rejected, the 2022 Xinjiang assessment); emergency response and human-rights components of peace operations; and the High Commissioner's voice — the 'conscience' role, with the limit that the Office cannot compel.</w:t>
      </w:r>
    </w:p>
    <w:p>
      <w:pPr>
        <w:spacing w:before="240" w:after="120"/>
      </w:pPr>
      <w:r>
        <w:rPr>
          <w:b/>
          <w:bCs/>
          <w:color w:val="404040"/>
          <w:sz w:val="23"/>
          <w:szCs w:val="23"/>
          <w:rFonts w:ascii="Arial" w:cs="Arial" w:eastAsia="Arial" w:hAnsi="Arial"/>
        </w:rPr>
        <w:t xml:space="preserve">The treaty bodies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100"/>
        <w:gridCol w:w="2200"/>
      </w:tblGrid>
      <w:tr>
        <w:tc>
          <w:tcPr>
            <w:tcW w:type="dxa" w:w="1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Treaty</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Committee (members)</w:t>
            </w:r>
          </w:p>
        </w:tc>
        <w:tc>
          <w:tcPr>
            <w:tcW w:type="dxa" w:w="3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Procedures</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India</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ICERD 1965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Committee on the Elimination of Racial Discrimination (18)</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Reports; Art 14 individual communications (optional); early warning; inter-State (used 2018: Qatar v. UAE, Palestine v. Israel)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Party 1968; no Art 14 declaration; last report 2007</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ICCPR 1966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Human Rights Committee (18)</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Reports; OP1 communications; OP2 death penalty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Party 1979; no OPs; reviewed 2024</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ICESCR 1966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Committee on Economic, Social and Cultural Rights (18, ECOSOC-created 1985)</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Reports; OP 2008 communications and inquiry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Party 1979; no OP; reviewed 2008</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CEDAW 1979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Committee on the Elimination of Discrimination against Women (23)</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Reports; OP 1999 communications and inquiry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Party 1993 with declarations; no OP; reviewed 2014</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CAT 1984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Committee against Torture (10); Subcommittee on Prevention (OPCAT 2002)</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Reports; Art 20 inquiry; Art 22 communications (optional); OPCAT visits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Signed 1997, not ratified; Prevention of Torture Bill lapsed</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CRC 1989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Committee on the Rights of the Child (18)</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Reports; OP3 2011 communications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Party 1992; OPs on armed conflict and sale of children 2005; reviewed 2014</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ICRMW 1990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Committee on Migrant Workers (14)</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Reports; communications (not yet in force)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Not a party</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CRPD 2006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Committee on the Rights of Persons with Disabilities (18)</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Reports; OP communications and inquiry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Party 2007; no OP; reviewed 2019</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CED 2006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Committee on Enforced Disappearances (10)</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Reports; urgent actions; communications (optional)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Signed 2007, not ratified</w:t>
            </w:r>
          </w:p>
        </w:tc>
      </w:tr>
    </w:tbl>
    <w:p>
      <w:pPr>
        <w:spacing w:after="120" w:line="300"/>
        <w:jc w:val="both"/>
      </w:pPr>
      <w:r>
        <w:rPr>
          <w:sz w:val="22"/>
          <w:szCs w:val="22"/>
          <w:rFonts w:ascii="Arial" w:cs="Arial" w:eastAsia="Arial" w:hAnsi="Arial"/>
        </w:rPr>
        <w:t xml:space="preserve">Common features: independent experts elected by the parties; </w:t>
      </w:r>
      <w:r>
        <w:rPr>
          <w:b/>
          <w:bCs/>
          <w:sz w:val="22"/>
          <w:szCs w:val="22"/>
          <w:rFonts w:ascii="Arial" w:cs="Arial" w:eastAsia="Arial" w:hAnsi="Arial"/>
        </w:rPr>
        <w:t xml:space="preserve">periodic State reports</w:t>
      </w:r>
      <w:r>
        <w:rPr>
          <w:sz w:val="22"/>
          <w:szCs w:val="22"/>
          <w:rFonts w:ascii="Arial" w:cs="Arial" w:eastAsia="Arial" w:hAnsi="Arial"/>
        </w:rPr>
        <w:t xml:space="preserve"> examined in dialogue with </w:t>
      </w:r>
      <w:r>
        <w:rPr>
          <w:b/>
          <w:bCs/>
          <w:sz w:val="22"/>
          <w:szCs w:val="22"/>
          <w:rFonts w:ascii="Arial" w:cs="Arial" w:eastAsia="Arial" w:hAnsi="Arial"/>
        </w:rPr>
        <w:t xml:space="preserve">concluding observations</w:t>
      </w:r>
      <w:r>
        <w:rPr>
          <w:sz w:val="22"/>
          <w:szCs w:val="22"/>
          <w:rFonts w:ascii="Arial" w:cs="Arial" w:eastAsia="Arial" w:hAnsi="Arial"/>
        </w:rPr>
        <w:t xml:space="preserve">; </w:t>
      </w:r>
      <w:r>
        <w:rPr>
          <w:b/>
          <w:bCs/>
          <w:sz w:val="22"/>
          <w:szCs w:val="22"/>
          <w:rFonts w:ascii="Arial" w:cs="Arial" w:eastAsia="Arial" w:hAnsi="Arial"/>
        </w:rPr>
        <w:t xml:space="preserve">General Comments/Recommendations</w:t>
      </w:r>
      <w:r>
        <w:rPr>
          <w:sz w:val="22"/>
          <w:szCs w:val="22"/>
          <w:rFonts w:ascii="Arial" w:cs="Arial" w:eastAsia="Arial" w:hAnsi="Arial"/>
        </w:rPr>
        <w:t xml:space="preserve"> interpreting the treaty; </w:t>
      </w:r>
      <w:r>
        <w:rPr>
          <w:b/>
          <w:bCs/>
          <w:sz w:val="22"/>
          <w:szCs w:val="22"/>
          <w:rFonts w:ascii="Arial" w:cs="Arial" w:eastAsia="Arial" w:hAnsi="Arial"/>
        </w:rPr>
        <w:t xml:space="preserve">individual communications</w:t>
      </w:r>
      <w:r>
        <w:rPr>
          <w:sz w:val="22"/>
          <w:szCs w:val="22"/>
          <w:rFonts w:ascii="Arial" w:cs="Arial" w:eastAsia="Arial" w:hAnsi="Arial"/>
        </w:rPr>
        <w:t xml:space="preserve"> where the State has accepted (about 3,000 views across the bodies); </w:t>
      </w:r>
      <w:r>
        <w:rPr>
          <w:b/>
          <w:bCs/>
          <w:sz w:val="22"/>
          <w:szCs w:val="22"/>
          <w:rFonts w:ascii="Arial" w:cs="Arial" w:eastAsia="Arial" w:hAnsi="Arial"/>
        </w:rPr>
        <w:t xml:space="preserve">inquiries</w:t>
      </w:r>
      <w:r>
        <w:rPr>
          <w:sz w:val="22"/>
          <w:szCs w:val="22"/>
          <w:rFonts w:ascii="Arial" w:cs="Arial" w:eastAsia="Arial" w:hAnsi="Arial"/>
        </w:rPr>
        <w:t xml:space="preserve"> into grave or systematic violations; follow-up procedures; the 'simplified reporting procedure'; the treaty-body strengthening process (General Assembly Resolution 68/268, 2014) to address the backlog of reports and the non-reporting of a third of States; and the chairs' annual meeting. Their weakness is the absence of enforcement — 'views' and 'observations' bind in good faith only — and their strength the jurisprudence and the domestic use of their findings by courts and NGOs.</w:t>
      </w:r>
    </w:p>
    <w:p>
      <w:pPr>
        <w:spacing w:before="240" w:after="120"/>
      </w:pPr>
      <w:r>
        <w:rPr>
          <w:b/>
          <w:bCs/>
          <w:color w:val="404040"/>
          <w:sz w:val="23"/>
          <w:szCs w:val="23"/>
          <w:rFonts w:ascii="Arial" w:cs="Arial" w:eastAsia="Arial" w:hAnsi="Arial"/>
        </w:rPr>
        <w:t xml:space="preserve">The ILO and human rights</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International Labour Organization</w:t>
      </w:r>
      <w:r>
        <w:rPr>
          <w:sz w:val="22"/>
          <w:szCs w:val="22"/>
          <w:rFonts w:ascii="Arial" w:cs="Arial" w:eastAsia="Arial" w:hAnsi="Arial"/>
        </w:rPr>
        <w:t xml:space="preserve"> (Part XIII of the Treaty of Versailles, 1919; the Philadelphia Declaration 1944 — 'labour is not a commodity'; a UN specialised agency since 1946; the Nobel Peace Prize 1969; 187 members; Geneva) is the oldest human-rights institution and the only </w:t>
      </w:r>
      <w:r>
        <w:rPr>
          <w:b/>
          <w:bCs/>
          <w:sz w:val="22"/>
          <w:szCs w:val="22"/>
          <w:rFonts w:ascii="Arial" w:cs="Arial" w:eastAsia="Arial" w:hAnsi="Arial"/>
        </w:rPr>
        <w:t xml:space="preserve">tripartite</w:t>
      </w:r>
      <w:r>
        <w:rPr>
          <w:sz w:val="22"/>
          <w:szCs w:val="22"/>
          <w:rFonts w:ascii="Arial" w:cs="Arial" w:eastAsia="Arial" w:hAnsi="Arial"/>
        </w:rPr>
        <w:t xml:space="preserve"> one: its International Labour Conference (annual), Governing Body and Office include governments, employers and workers (2:1:1). It has adopted 191 </w:t>
      </w:r>
      <w:r>
        <w:rPr>
          <w:b/>
          <w:bCs/>
          <w:sz w:val="22"/>
          <w:szCs w:val="22"/>
          <w:rFonts w:ascii="Arial" w:cs="Arial" w:eastAsia="Arial" w:hAnsi="Arial"/>
        </w:rPr>
        <w:t xml:space="preserve">Conventions</w:t>
      </w:r>
      <w:r>
        <w:rPr>
          <w:sz w:val="22"/>
          <w:szCs w:val="22"/>
          <w:rFonts w:ascii="Arial" w:cs="Arial" w:eastAsia="Arial" w:hAnsi="Arial"/>
        </w:rPr>
        <w:t xml:space="preserve"> (binding on ratifying States) and 208 </w:t>
      </w:r>
      <w:r>
        <w:rPr>
          <w:b/>
          <w:bCs/>
          <w:sz w:val="22"/>
          <w:szCs w:val="22"/>
          <w:rFonts w:ascii="Arial" w:cs="Arial" w:eastAsia="Arial" w:hAnsi="Arial"/>
        </w:rPr>
        <w:t xml:space="preserve">Recommendations</w:t>
      </w:r>
      <w:r>
        <w:rPr>
          <w:sz w:val="22"/>
          <w:szCs w:val="22"/>
          <w:rFonts w:ascii="Arial" w:cs="Arial" w:eastAsia="Arial" w:hAnsi="Arial"/>
        </w:rPr>
        <w:t xml:space="preserve">. The </w:t>
      </w:r>
      <w:r>
        <w:rPr>
          <w:b/>
          <w:bCs/>
          <w:sz w:val="22"/>
          <w:szCs w:val="22"/>
          <w:rFonts w:ascii="Arial" w:cs="Arial" w:eastAsia="Arial" w:hAnsi="Arial"/>
        </w:rPr>
        <w:t xml:space="preserve">1998 Declaration on Fundamental Principles and Rights at Work</w:t>
      </w:r>
      <w:r>
        <w:rPr>
          <w:sz w:val="22"/>
          <w:szCs w:val="22"/>
          <w:rFonts w:ascii="Arial" w:cs="Arial" w:eastAsia="Arial" w:hAnsi="Arial"/>
        </w:rPr>
        <w:t xml:space="preserve"> made four (since 2022 five) principles binding on all members by membership alone, embodied in the </w:t>
      </w:r>
      <w:r>
        <w:rPr>
          <w:b/>
          <w:bCs/>
          <w:sz w:val="22"/>
          <w:szCs w:val="22"/>
          <w:rFonts w:ascii="Arial" w:cs="Arial" w:eastAsia="Arial" w:hAnsi="Arial"/>
        </w:rPr>
        <w:t xml:space="preserve">fundamental Conventions</w:t>
      </w:r>
      <w:r>
        <w:rPr>
          <w:sz w:val="22"/>
          <w:szCs w:val="22"/>
          <w:rFonts w:ascii="Arial" w:cs="Arial" w:eastAsia="Arial" w:hAnsi="Arial"/>
        </w:rPr>
        <w:t xml:space="preserve">: freedom of association and collective bargaining (No 87 of 1948 and 98 of 1949); the elimination of forced labour (No 29 of 1930 and 105 of 1957, with the 2014 Protocol); the abolition of child labour (No 138 of 1973 on minimum age and 182 of 1999 on the worst forms — the first universally ratified Convention); the elimination of discrimination in employment (No 100 of 1951 on equal remuneration and 111 of 1958); and (2022) a safe and healthy working environment (No 155 of 1981 and 187 of 2006). India has ratified 47 Conventions including six of the ten fundamental ones (29, 105, 100, 111, 138 and 182 — the last two in 2017) but </w:t>
      </w:r>
      <w:r>
        <w:rPr>
          <w:b/>
          <w:bCs/>
          <w:sz w:val="22"/>
          <w:szCs w:val="22"/>
          <w:rFonts w:ascii="Arial" w:cs="Arial" w:eastAsia="Arial" w:hAnsi="Arial"/>
        </w:rPr>
        <w:t xml:space="preserve">not 87 and 98</w:t>
      </w:r>
      <w:r>
        <w:rPr>
          <w:sz w:val="22"/>
          <w:szCs w:val="22"/>
          <w:rFonts w:ascii="Arial" w:cs="Arial" w:eastAsia="Arial" w:hAnsi="Arial"/>
        </w:rPr>
        <w:t xml:space="preserve"> (on the ground of the restrictions on civil servants' unionisation) nor 155/187. </w:t>
      </w:r>
      <w:r>
        <w:rPr>
          <w:b/>
          <w:bCs/>
          <w:sz w:val="22"/>
          <w:szCs w:val="22"/>
          <w:rFonts w:ascii="Arial" w:cs="Arial" w:eastAsia="Arial" w:hAnsi="Arial"/>
        </w:rPr>
        <w:t xml:space="preserve">Supervision</w:t>
      </w:r>
      <w:r>
        <w:rPr>
          <w:sz w:val="22"/>
          <w:szCs w:val="22"/>
          <w:rFonts w:ascii="Arial" w:cs="Arial" w:eastAsia="Arial" w:hAnsi="Arial"/>
        </w:rPr>
        <w:t xml:space="preserve">: the </w:t>
      </w:r>
      <w:r>
        <w:rPr>
          <w:b/>
          <w:bCs/>
          <w:sz w:val="22"/>
          <w:szCs w:val="22"/>
          <w:rFonts w:ascii="Arial" w:cs="Arial" w:eastAsia="Arial" w:hAnsi="Arial"/>
        </w:rPr>
        <w:t xml:space="preserve">Committee of Experts on the Application of Conventions and Recommendations</w:t>
      </w:r>
      <w:r>
        <w:rPr>
          <w:sz w:val="22"/>
          <w:szCs w:val="22"/>
          <w:rFonts w:ascii="Arial" w:cs="Arial" w:eastAsia="Arial" w:hAnsi="Arial"/>
        </w:rPr>
        <w:t xml:space="preserve"> (20 jurists, since 1926) examines the reports on ratified Conventions (Art 22 of the Constitution) and publishes observations; the Conference's tripartite </w:t>
      </w:r>
      <w:r>
        <w:rPr>
          <w:b/>
          <w:bCs/>
          <w:sz w:val="22"/>
          <w:szCs w:val="22"/>
          <w:rFonts w:ascii="Arial" w:cs="Arial" w:eastAsia="Arial" w:hAnsi="Arial"/>
        </w:rPr>
        <w:t xml:space="preserve">Committee on the Application of Standards</w:t>
      </w:r>
      <w:r>
        <w:rPr>
          <w:sz w:val="22"/>
          <w:szCs w:val="22"/>
          <w:rFonts w:ascii="Arial" w:cs="Arial" w:eastAsia="Arial" w:hAnsi="Arial"/>
        </w:rPr>
        <w:t xml:space="preserve"> discusses the worst cases; </w:t>
      </w:r>
      <w:r>
        <w:rPr>
          <w:b/>
          <w:bCs/>
          <w:sz w:val="22"/>
          <w:szCs w:val="22"/>
          <w:rFonts w:ascii="Arial" w:cs="Arial" w:eastAsia="Arial" w:hAnsi="Arial"/>
        </w:rPr>
        <w:t xml:space="preserve">representations</w:t>
      </w:r>
      <w:r>
        <w:rPr>
          <w:sz w:val="22"/>
          <w:szCs w:val="22"/>
          <w:rFonts w:ascii="Arial" w:cs="Arial" w:eastAsia="Arial" w:hAnsi="Arial"/>
        </w:rPr>
        <w:t xml:space="preserve"> by employers' or workers' organisations (Art 24) and </w:t>
      </w:r>
      <w:r>
        <w:rPr>
          <w:b/>
          <w:bCs/>
          <w:sz w:val="22"/>
          <w:szCs w:val="22"/>
          <w:rFonts w:ascii="Arial" w:cs="Arial" w:eastAsia="Arial" w:hAnsi="Arial"/>
        </w:rPr>
        <w:t xml:space="preserve">complaints</w:t>
      </w:r>
      <w:r>
        <w:rPr>
          <w:sz w:val="22"/>
          <w:szCs w:val="22"/>
          <w:rFonts w:ascii="Arial" w:cs="Arial" w:eastAsia="Arial" w:hAnsi="Arial"/>
        </w:rPr>
        <w:t xml:space="preserve"> by a State, a delegate or the Governing Body (Art 26) lead to a Commission of Inquiry (used a dozen times — Poland 1982, Myanmar 1997 on forced labour, leading to the Art 33 measures of 2000, the only time; Belarus 2003; Venezuela 2018); the </w:t>
      </w:r>
      <w:r>
        <w:rPr>
          <w:b/>
          <w:bCs/>
          <w:sz w:val="22"/>
          <w:szCs w:val="22"/>
          <w:rFonts w:ascii="Arial" w:cs="Arial" w:eastAsia="Arial" w:hAnsi="Arial"/>
        </w:rPr>
        <w:t xml:space="preserve">Committee on Freedom of Association</w:t>
      </w:r>
      <w:r>
        <w:rPr>
          <w:sz w:val="22"/>
          <w:szCs w:val="22"/>
          <w:rFonts w:ascii="Arial" w:cs="Arial" w:eastAsia="Arial" w:hAnsi="Arial"/>
        </w:rPr>
        <w:t xml:space="preserve"> (1951) hears complaints on Conventions 87 and 98 even against non-ratifying States (over 3,400 cases); and the ILO's technical cooperation (IPEC on child labour; the Better Work programme). The ILO's human-rights standards on forced labour, child labour, discrimination, migrant workers (Nos 97 and 143), indigenous peoples (No 107 of 1957, which India ratified in 1958, and No 169 of 1989, which it has not), domestic workers (No 189 of 2011), violence and harassment at work (No 190 of 2019) and social security (No 102) are the substance of the second-generation rights, and the Indian Supreme Court has used them (Bandhua Mukti Morcha, 1984, on forced labour; M.C. Mehta v. State of Tamil Nadu, 1996, on child labour; Vishaka; Apparel Export Promotion Council).</w:t>
      </w:r>
    </w:p>
    <w:p>
      <w:pPr>
        <w:spacing w:before="240" w:after="120"/>
      </w:pPr>
      <w:r>
        <w:rPr>
          <w:b/>
          <w:bCs/>
          <w:color w:val="404040"/>
          <w:sz w:val="23"/>
          <w:szCs w:val="23"/>
          <w:rFonts w:ascii="Arial" w:cs="Arial" w:eastAsia="Arial" w:hAnsi="Arial"/>
        </w:rPr>
        <w:t xml:space="preserve">UNICEF and human rights</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United Nations International Children's Emergency Fund</w:t>
      </w:r>
      <w:r>
        <w:rPr>
          <w:sz w:val="22"/>
          <w:szCs w:val="22"/>
          <w:rFonts w:ascii="Arial" w:cs="Arial" w:eastAsia="Arial" w:hAnsi="Arial"/>
        </w:rPr>
        <w:t xml:space="preserve"> was created by the General Assembly on 11 December 1946 to feed and clothe the children of post-war Europe; made permanent in 1953 (keeping the acronym while becoming the United Nations Children's Fund); Nobel Peace Prize 1965; headquartered in New York with offices in over 190 countries; funded entirely by voluntary contributions (governments and the National Committees' private fundraising — the greeting cards). Its work moved from relief to development (the 1960s 'child survival' campaigns — oral rehydration, immunisation, breastfeeding, growth monitoring; the 1980s 'child survival and development revolution' under James Grant), and after the </w:t>
      </w:r>
      <w:r>
        <w:rPr>
          <w:b/>
          <w:bCs/>
          <w:sz w:val="22"/>
          <w:szCs w:val="22"/>
          <w:rFonts w:ascii="Arial" w:cs="Arial" w:eastAsia="Arial" w:hAnsi="Arial"/>
        </w:rPr>
        <w:t xml:space="preserve">Convention on the Rights of the Child (1989)</w:t>
      </w:r>
      <w:r>
        <w:rPr>
          <w:sz w:val="22"/>
          <w:szCs w:val="22"/>
          <w:rFonts w:ascii="Arial" w:cs="Arial" w:eastAsia="Arial" w:hAnsi="Arial"/>
        </w:rPr>
        <w:t xml:space="preserve"> — which it helped draft and champions — to a </w:t>
      </w:r>
      <w:r>
        <w:rPr>
          <w:b/>
          <w:bCs/>
          <w:sz w:val="22"/>
          <w:szCs w:val="22"/>
          <w:rFonts w:ascii="Arial" w:cs="Arial" w:eastAsia="Arial" w:hAnsi="Arial"/>
        </w:rPr>
        <w:t xml:space="preserve">rights-based approach</w:t>
      </w:r>
      <w:r>
        <w:rPr>
          <w:sz w:val="22"/>
          <w:szCs w:val="22"/>
          <w:rFonts w:ascii="Arial" w:cs="Arial" w:eastAsia="Arial" w:hAnsi="Arial"/>
        </w:rPr>
        <w:t xml:space="preserve">: UNICEF's mission statement (1996) is 'to advocate for the protection of children's rights', and Art 45 of the Convention gives it a formal role in the Committee on the Rights of the Child's work (it may be represented, provide expert advice and receive the Committee's requests). Its human-rights functions: supporting States' reports and the Committee's reviews; the </w:t>
      </w:r>
      <w:r>
        <w:rPr>
          <w:b/>
          <w:bCs/>
          <w:sz w:val="22"/>
          <w:szCs w:val="22"/>
          <w:rFonts w:ascii="Arial" w:cs="Arial" w:eastAsia="Arial" w:hAnsi="Arial"/>
        </w:rPr>
        <w:t xml:space="preserve">World Summit for Children (1990)</w:t>
      </w:r>
      <w:r>
        <w:rPr>
          <w:sz w:val="22"/>
          <w:szCs w:val="22"/>
          <w:rFonts w:ascii="Arial" w:cs="Arial" w:eastAsia="Arial" w:hAnsi="Arial"/>
        </w:rPr>
        <w:t xml:space="preserve"> and its goals, the 2002 Special Session ('A World Fit for Children'); birth registration (Art 7), education (Art 28 — the Education for All movement), protection from violence, exploitation and abuse (Arts 19, 32-36 — child labour, trafficking, child marriage, FGM), children in armed conflict (the Machel report 1996; the Paris Principles 2007 on child soldiers; the monitoring and reporting mechanism under Security Council Resolution 1612), juvenile justice (Art 40), the rights of the girl-child and children with disabilities, and emergency response. In India (since 1949) UNICEF works with the Government on immunisation (the polio eradication of 2014), nutrition (ICDS), water and sanitation (Swachh Bharat), education (the Right to Education Act 2009), child protection (the Integrated Child Protection Scheme, the JJ Act 2015, POCSO), and the State of the World's Children reports are its advocacy voice. UNICEF is not a monitoring or complaint body; its human-rights role is promotional and programmatic, in cooperation with the Committee and the Special Representatives on children and armed conflict and on violence against children.</w:t>
      </w:r>
    </w:p>
    <w:p>
      <w:pPr>
        <w:spacing w:before="240" w:after="120"/>
      </w:pPr>
      <w:r>
        <w:rPr>
          <w:b/>
          <w:bCs/>
          <w:color w:val="404040"/>
          <w:sz w:val="23"/>
          <w:szCs w:val="23"/>
          <w:rFonts w:ascii="Arial" w:cs="Arial" w:eastAsia="Arial" w:hAnsi="Arial"/>
        </w:rPr>
        <w:t xml:space="preserve">The other UN bodies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UNHCR</w:t>
      </w:r>
      <w:r>
        <w:rPr>
          <w:sz w:val="22"/>
          <w:szCs w:val="22"/>
          <w:rFonts w:ascii="Arial" w:cs="Arial" w:eastAsia="Arial" w:hAnsi="Arial"/>
        </w:rPr>
        <w:t xml:space="preserve"> (1950; the Statute; the 1951 Convention's supervisory role under Art 35; Nobel 1954 and 1981; over 100 million forcibly displaced people of concern) — Episode 09. </w:t>
      </w:r>
      <w:r>
        <w:rPr>
          <w:b/>
          <w:bCs/>
          <w:sz w:val="22"/>
          <w:szCs w:val="22"/>
          <w:rFonts w:ascii="Arial" w:cs="Arial" w:eastAsia="Arial" w:hAnsi="Arial"/>
        </w:rPr>
        <w:t xml:space="preserve">UNESCO</w:t>
      </w:r>
      <w:r>
        <w:rPr>
          <w:sz w:val="22"/>
          <w:szCs w:val="22"/>
          <w:rFonts w:ascii="Arial" w:cs="Arial" w:eastAsia="Arial" w:hAnsi="Arial"/>
        </w:rPr>
        <w:t xml:space="preserve"> (1945) — the right to education (the Convention against Discrimination in Education, 1960), the freedom of the press (the Windhoek Declaration 1991, World Press Freedom Day, the Safety of Journalists indicators), the 1974 Recommendation on education for peace and human rights, the Committee on Conventions and Recommendations' confidential communications procedure (the '104 EX/3.3' procedure since 1978) for violations of rights within UNESCO's fields, and cultural rights. </w:t>
      </w:r>
      <w:r>
        <w:rPr>
          <w:b/>
          <w:bCs/>
          <w:sz w:val="22"/>
          <w:szCs w:val="22"/>
          <w:rFonts w:ascii="Arial" w:cs="Arial" w:eastAsia="Arial" w:hAnsi="Arial"/>
        </w:rPr>
        <w:t xml:space="preserve">WHO</w:t>
      </w:r>
      <w:r>
        <w:rPr>
          <w:sz w:val="22"/>
          <w:szCs w:val="22"/>
          <w:rFonts w:ascii="Arial" w:cs="Arial" w:eastAsia="Arial" w:hAnsi="Arial"/>
        </w:rPr>
        <w:t xml:space="preserve"> (1948 — its Constitution's preamble: 'the enjoyment of the highest attainable standard of health is one of the fundamental rights of every human being'; the Alma-Ata Declaration 1978; the Framework Convention on Tobacco Control 2003; the International Health Regulations; the Covid-19 pandemic's human-rights dimensions). </w:t>
      </w:r>
      <w:r>
        <w:rPr>
          <w:b/>
          <w:bCs/>
          <w:sz w:val="22"/>
          <w:szCs w:val="22"/>
          <w:rFonts w:ascii="Arial" w:cs="Arial" w:eastAsia="Arial" w:hAnsi="Arial"/>
        </w:rPr>
        <w:t xml:space="preserve">FAO</w:t>
      </w:r>
      <w:r>
        <w:rPr>
          <w:sz w:val="22"/>
          <w:szCs w:val="22"/>
          <w:rFonts w:ascii="Arial" w:cs="Arial" w:eastAsia="Arial" w:hAnsi="Arial"/>
        </w:rPr>
        <w:t xml:space="preserve"> (the right to food — the 2004 Voluntary Guidelines). </w:t>
      </w:r>
      <w:r>
        <w:rPr>
          <w:b/>
          <w:bCs/>
          <w:sz w:val="22"/>
          <w:szCs w:val="22"/>
          <w:rFonts w:ascii="Arial" w:cs="Arial" w:eastAsia="Arial" w:hAnsi="Arial"/>
        </w:rPr>
        <w:t xml:space="preserve">UNDP</w:t>
      </w:r>
      <w:r>
        <w:rPr>
          <w:sz w:val="22"/>
          <w:szCs w:val="22"/>
          <w:rFonts w:ascii="Arial" w:cs="Arial" w:eastAsia="Arial" w:hAnsi="Arial"/>
        </w:rPr>
        <w:t xml:space="preserve"> (the Human Development Reports since 1990 — Mahbub ul Haq and Sen; the 2000 report on human rights and development). </w:t>
      </w:r>
      <w:r>
        <w:rPr>
          <w:b/>
          <w:bCs/>
          <w:sz w:val="22"/>
          <w:szCs w:val="22"/>
          <w:rFonts w:ascii="Arial" w:cs="Arial" w:eastAsia="Arial" w:hAnsi="Arial"/>
        </w:rPr>
        <w:t xml:space="preserve">UN Women</w:t>
      </w:r>
      <w:r>
        <w:rPr>
          <w:sz w:val="22"/>
          <w:szCs w:val="22"/>
          <w:rFonts w:ascii="Arial" w:cs="Arial" w:eastAsia="Arial" w:hAnsi="Arial"/>
        </w:rPr>
        <w:t xml:space="preserve"> (2010, merging UNIFEM, DAW, OSAGI and INSTRAW; the Commission on the Status of Women's secretariat). </w:t>
      </w:r>
      <w:r>
        <w:rPr>
          <w:b/>
          <w:bCs/>
          <w:sz w:val="22"/>
          <w:szCs w:val="22"/>
          <w:rFonts w:ascii="Arial" w:cs="Arial" w:eastAsia="Arial" w:hAnsi="Arial"/>
        </w:rPr>
        <w:t xml:space="preserve">UNFPA</w:t>
      </w:r>
      <w:r>
        <w:rPr>
          <w:sz w:val="22"/>
          <w:szCs w:val="22"/>
          <w:rFonts w:ascii="Arial" w:cs="Arial" w:eastAsia="Arial" w:hAnsi="Arial"/>
        </w:rPr>
        <w:t xml:space="preserve"> (reproductive rights — Cairo 1994). </w:t>
      </w:r>
      <w:r>
        <w:rPr>
          <w:b/>
          <w:bCs/>
          <w:sz w:val="22"/>
          <w:szCs w:val="22"/>
          <w:rFonts w:ascii="Arial" w:cs="Arial" w:eastAsia="Arial" w:hAnsi="Arial"/>
        </w:rPr>
        <w:t xml:space="preserve">The Office of the Special Representatives</w:t>
      </w:r>
      <w:r>
        <w:rPr>
          <w:sz w:val="22"/>
          <w:szCs w:val="22"/>
          <w:rFonts w:ascii="Arial" w:cs="Arial" w:eastAsia="Arial" w:hAnsi="Arial"/>
        </w:rPr>
        <w:t xml:space="preserve"> on children and armed conflict, sexual violence in conflict, and violence against children; the </w:t>
      </w:r>
      <w:r>
        <w:rPr>
          <w:b/>
          <w:bCs/>
          <w:sz w:val="22"/>
          <w:szCs w:val="22"/>
          <w:rFonts w:ascii="Arial" w:cs="Arial" w:eastAsia="Arial" w:hAnsi="Arial"/>
        </w:rPr>
        <w:t xml:space="preserve">Special Adviser on the Prevention of Genocide</w:t>
      </w:r>
      <w:r>
        <w:rPr>
          <w:sz w:val="22"/>
          <w:szCs w:val="22"/>
          <w:rFonts w:ascii="Arial" w:cs="Arial" w:eastAsia="Arial" w:hAnsi="Arial"/>
        </w:rPr>
        <w:t xml:space="preserve"> (2004). </w:t>
      </w:r>
      <w:r>
        <w:rPr>
          <w:b/>
          <w:bCs/>
          <w:sz w:val="22"/>
          <w:szCs w:val="22"/>
          <w:rFonts w:ascii="Arial" w:cs="Arial" w:eastAsia="Arial" w:hAnsi="Arial"/>
        </w:rPr>
        <w:t xml:space="preserve">The UN Democracy Fund</w:t>
      </w:r>
      <w:r>
        <w:rPr>
          <w:sz w:val="22"/>
          <w:szCs w:val="22"/>
          <w:rFonts w:ascii="Arial" w:cs="Arial" w:eastAsia="Arial" w:hAnsi="Arial"/>
        </w:rPr>
        <w:t xml:space="preserve">, the </w:t>
      </w:r>
      <w:r>
        <w:rPr>
          <w:b/>
          <w:bCs/>
          <w:sz w:val="22"/>
          <w:szCs w:val="22"/>
          <w:rFonts w:ascii="Arial" w:cs="Arial" w:eastAsia="Arial" w:hAnsi="Arial"/>
        </w:rPr>
        <w:t xml:space="preserve">Voluntary Fund for Victims of Torture</w:t>
      </w:r>
      <w:r>
        <w:rPr>
          <w:sz w:val="22"/>
          <w:szCs w:val="22"/>
          <w:rFonts w:ascii="Arial" w:cs="Arial" w:eastAsia="Arial" w:hAnsi="Arial"/>
        </w:rPr>
        <w:t xml:space="preserve">, and the </w:t>
      </w:r>
      <w:r>
        <w:rPr>
          <w:b/>
          <w:bCs/>
          <w:sz w:val="22"/>
          <w:szCs w:val="22"/>
          <w:rFonts w:ascii="Arial" w:cs="Arial" w:eastAsia="Arial" w:hAnsi="Arial"/>
        </w:rPr>
        <w:t xml:space="preserve">Peacebuilding Commission</w:t>
      </w:r>
      <w:r>
        <w:rPr>
          <w:sz w:val="22"/>
          <w:szCs w:val="22"/>
          <w:rFonts w:ascii="Arial" w:cs="Arial" w:eastAsia="Arial" w:hAnsi="Arial"/>
        </w:rPr>
        <w:t xml:space="preserve">.</w:t>
      </w:r>
    </w:p>
    <w:p>
      <w:pPr>
        <w:spacing w:before="240" w:after="120"/>
      </w:pPr>
      <w:r>
        <w:rPr>
          <w:b/>
          <w:bCs/>
          <w:color w:val="404040"/>
          <w:sz w:val="23"/>
          <w:szCs w:val="23"/>
          <w:rFonts w:ascii="Arial" w:cs="Arial" w:eastAsia="Arial" w:hAnsi="Arial"/>
        </w:rPr>
        <w:t xml:space="preserve">Amnesty International, Human Rights Watch and the NGOs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Amnesty International</w:t>
      </w:r>
      <w:r>
        <w:rPr>
          <w:sz w:val="22"/>
          <w:szCs w:val="22"/>
          <w:rFonts w:ascii="Arial" w:cs="Arial" w:eastAsia="Arial" w:hAnsi="Arial"/>
        </w:rPr>
        <w:t xml:space="preserve"> (London, 1961; Peter Benenson; the International Secretariat with about 3 million members and supporters in 150 countries; Nobel Peace Prize 1977; the UN Human Rights Prize 1978): its original mandate — the release of </w:t>
      </w:r>
      <w:r>
        <w:rPr>
          <w:b/>
          <w:bCs/>
          <w:sz w:val="22"/>
          <w:szCs w:val="22"/>
          <w:rFonts w:ascii="Arial" w:cs="Arial" w:eastAsia="Arial" w:hAnsi="Arial"/>
        </w:rPr>
        <w:t xml:space="preserve">prisoners of conscience</w:t>
      </w:r>
      <w:r>
        <w:rPr>
          <w:sz w:val="22"/>
          <w:szCs w:val="22"/>
          <w:rFonts w:ascii="Arial" w:cs="Arial" w:eastAsia="Arial" w:hAnsi="Arial"/>
        </w:rPr>
        <w:t xml:space="preserve"> (persons imprisoned for their beliefs, colour, sex, ethnic origin, language or religion who have not used or advocated violence), fair and prompt trials for political prisoners, the abolition of torture and the death penalty, an end to extrajudicial executions and disappearances — expanded in 2001 to the full range of rights including economic and social rights, and to abuses by armed groups and companies; its methods — research (the fact-finding missions and the annual report), letter-writing and 'urgent actions', campaigns (Stop Torture, the Death Penalty, Arms Trade Treaty 2013, Control Arms, the 2005 'Stop Violence Against Women'), lobbying at the UN (ECOSOC consultative status; the drafting of the Torture Convention, the Rome Statute, the Optional Protocol to CAT), and public education; its impartiality rules (no work on one's own country's prisoners in the early decades; balanced adoption). In India Amnesty's country office was closed in 2020 after the Enforcement Directorate froze its accounts under the FCRA and FEMA — the Government alleging foreign-funding violations, Amnesty alleging reprisal for its Kashmir and Delhi-riots reports. </w:t>
      </w:r>
      <w:r>
        <w:rPr>
          <w:b/>
          <w:bCs/>
          <w:sz w:val="22"/>
          <w:szCs w:val="22"/>
          <w:rFonts w:ascii="Arial" w:cs="Arial" w:eastAsia="Arial" w:hAnsi="Arial"/>
        </w:rPr>
        <w:t xml:space="preserve">Human Rights Watch</w:t>
      </w:r>
      <w:r>
        <w:rPr>
          <w:sz w:val="22"/>
          <w:szCs w:val="22"/>
          <w:rFonts w:ascii="Arial" w:cs="Arial" w:eastAsia="Arial" w:hAnsi="Arial"/>
        </w:rPr>
        <w:t xml:space="preserve"> (New York, 1978 — Helsinki Watch, monitoring the Soviet bloc's compliance with the Helsinki Final Act; Americas Watch 1981; merged 1988): investigative reports, advocacy with governments and the UN, the World Report, the campaign to ban landmines (Nobel 1997 with the ICBL), the Rome Statute coalition; it does not take members. Others: the </w:t>
      </w:r>
      <w:r>
        <w:rPr>
          <w:b/>
          <w:bCs/>
          <w:sz w:val="22"/>
          <w:szCs w:val="22"/>
          <w:rFonts w:ascii="Arial" w:cs="Arial" w:eastAsia="Arial" w:hAnsi="Arial"/>
        </w:rPr>
        <w:t xml:space="preserve">International Commission of Jurists</w:t>
      </w:r>
      <w:r>
        <w:rPr>
          <w:sz w:val="22"/>
          <w:szCs w:val="22"/>
          <w:rFonts w:ascii="Arial" w:cs="Arial" w:eastAsia="Arial" w:hAnsi="Arial"/>
        </w:rPr>
        <w:t xml:space="preserve"> (1952; the rule of law; the Yogyakarta Principles), the </w:t>
      </w:r>
      <w:r>
        <w:rPr>
          <w:b/>
          <w:bCs/>
          <w:sz w:val="22"/>
          <w:szCs w:val="22"/>
          <w:rFonts w:ascii="Arial" w:cs="Arial" w:eastAsia="Arial" w:hAnsi="Arial"/>
        </w:rPr>
        <w:t xml:space="preserve">International Federation for Human Rights (FIDH, 1922)</w:t>
      </w:r>
      <w:r>
        <w:rPr>
          <w:sz w:val="22"/>
          <w:szCs w:val="22"/>
          <w:rFonts w:ascii="Arial" w:cs="Arial" w:eastAsia="Arial" w:hAnsi="Arial"/>
        </w:rPr>
        <w:t xml:space="preserve">, </w:t>
      </w:r>
      <w:r>
        <w:rPr>
          <w:b/>
          <w:bCs/>
          <w:sz w:val="22"/>
          <w:szCs w:val="22"/>
          <w:rFonts w:ascii="Arial" w:cs="Arial" w:eastAsia="Arial" w:hAnsi="Arial"/>
        </w:rPr>
        <w:t xml:space="preserve">Article 19</w:t>
      </w:r>
      <w:r>
        <w:rPr>
          <w:sz w:val="22"/>
          <w:szCs w:val="22"/>
          <w:rFonts w:ascii="Arial" w:cs="Arial" w:eastAsia="Arial" w:hAnsi="Arial"/>
        </w:rPr>
        <w:t xml:space="preserve">, the </w:t>
      </w:r>
      <w:r>
        <w:rPr>
          <w:b/>
          <w:bCs/>
          <w:sz w:val="22"/>
          <w:szCs w:val="22"/>
          <w:rFonts w:ascii="Arial" w:cs="Arial" w:eastAsia="Arial" w:hAnsi="Arial"/>
        </w:rPr>
        <w:t xml:space="preserve">Committee to Protect Journalists</w:t>
      </w:r>
      <w:r>
        <w:rPr>
          <w:sz w:val="22"/>
          <w:szCs w:val="22"/>
          <w:rFonts w:ascii="Arial" w:cs="Arial" w:eastAsia="Arial" w:hAnsi="Arial"/>
        </w:rPr>
        <w:t xml:space="preserve">, </w:t>
      </w:r>
      <w:r>
        <w:rPr>
          <w:b/>
          <w:bCs/>
          <w:sz w:val="22"/>
          <w:szCs w:val="22"/>
          <w:rFonts w:ascii="Arial" w:cs="Arial" w:eastAsia="Arial" w:hAnsi="Arial"/>
        </w:rPr>
        <w:t xml:space="preserve">Reporters Without Borders</w:t>
      </w:r>
      <w:r>
        <w:rPr>
          <w:sz w:val="22"/>
          <w:szCs w:val="22"/>
          <w:rFonts w:ascii="Arial" w:cs="Arial" w:eastAsia="Arial" w:hAnsi="Arial"/>
        </w:rPr>
        <w:t xml:space="preserve">, </w:t>
      </w:r>
      <w:r>
        <w:rPr>
          <w:b/>
          <w:bCs/>
          <w:sz w:val="22"/>
          <w:szCs w:val="22"/>
          <w:rFonts w:ascii="Arial" w:cs="Arial" w:eastAsia="Arial" w:hAnsi="Arial"/>
        </w:rPr>
        <w:t xml:space="preserve">Anti-Slavery International (1839 — the oldest)</w:t>
      </w:r>
      <w:r>
        <w:rPr>
          <w:sz w:val="22"/>
          <w:szCs w:val="22"/>
          <w:rFonts w:ascii="Arial" w:cs="Arial" w:eastAsia="Arial" w:hAnsi="Arial"/>
        </w:rPr>
        <w:t xml:space="preserve">, </w:t>
      </w:r>
      <w:r>
        <w:rPr>
          <w:b/>
          <w:bCs/>
          <w:sz w:val="22"/>
          <w:szCs w:val="22"/>
          <w:rFonts w:ascii="Arial" w:cs="Arial" w:eastAsia="Arial" w:hAnsi="Arial"/>
        </w:rPr>
        <w:t xml:space="preserve">Minority Rights Group</w:t>
      </w:r>
      <w:r>
        <w:rPr>
          <w:sz w:val="22"/>
          <w:szCs w:val="22"/>
          <w:rFonts w:ascii="Arial" w:cs="Arial" w:eastAsia="Arial" w:hAnsi="Arial"/>
        </w:rPr>
        <w:t xml:space="preserve">, </w:t>
      </w:r>
      <w:r>
        <w:rPr>
          <w:b/>
          <w:bCs/>
          <w:sz w:val="22"/>
          <w:szCs w:val="22"/>
          <w:rFonts w:ascii="Arial" w:cs="Arial" w:eastAsia="Arial" w:hAnsi="Arial"/>
        </w:rPr>
        <w:t xml:space="preserve">Survival International</w:t>
      </w:r>
      <w:r>
        <w:rPr>
          <w:sz w:val="22"/>
          <w:szCs w:val="22"/>
          <w:rFonts w:ascii="Arial" w:cs="Arial" w:eastAsia="Arial" w:hAnsi="Arial"/>
        </w:rPr>
        <w:t xml:space="preserve">, the </w:t>
      </w:r>
      <w:r>
        <w:rPr>
          <w:b/>
          <w:bCs/>
          <w:sz w:val="22"/>
          <w:szCs w:val="22"/>
          <w:rFonts w:ascii="Arial" w:cs="Arial" w:eastAsia="Arial" w:hAnsi="Arial"/>
        </w:rPr>
        <w:t xml:space="preserve">Open Society Justice Initiative</w:t>
      </w:r>
      <w:r>
        <w:rPr>
          <w:sz w:val="22"/>
          <w:szCs w:val="22"/>
          <w:rFonts w:ascii="Arial" w:cs="Arial" w:eastAsia="Arial" w:hAnsi="Arial"/>
        </w:rPr>
        <w:t xml:space="preserve">, and in India the </w:t>
      </w:r>
      <w:r>
        <w:rPr>
          <w:b/>
          <w:bCs/>
          <w:sz w:val="22"/>
          <w:szCs w:val="22"/>
          <w:rFonts w:ascii="Arial" w:cs="Arial" w:eastAsia="Arial" w:hAnsi="Arial"/>
        </w:rPr>
        <w:t xml:space="preserve">People's Union for Civil Liberties</w:t>
      </w:r>
      <w:r>
        <w:rPr>
          <w:sz w:val="22"/>
          <w:szCs w:val="22"/>
          <w:rFonts w:ascii="Arial" w:cs="Arial" w:eastAsia="Arial" w:hAnsi="Arial"/>
        </w:rPr>
        <w:t xml:space="preserve"> (1976, Jayaprakash Narayan), the </w:t>
      </w:r>
      <w:r>
        <w:rPr>
          <w:b/>
          <w:bCs/>
          <w:sz w:val="22"/>
          <w:szCs w:val="22"/>
          <w:rFonts w:ascii="Arial" w:cs="Arial" w:eastAsia="Arial" w:hAnsi="Arial"/>
        </w:rPr>
        <w:t xml:space="preserve">People's Union for Democratic Rights</w:t>
      </w:r>
      <w:r>
        <w:rPr>
          <w:sz w:val="22"/>
          <w:szCs w:val="22"/>
          <w:rFonts w:ascii="Arial" w:cs="Arial" w:eastAsia="Arial" w:hAnsi="Arial"/>
        </w:rPr>
        <w:t xml:space="preserve"> (1977), the </w:t>
      </w:r>
      <w:r>
        <w:rPr>
          <w:b/>
          <w:bCs/>
          <w:sz w:val="22"/>
          <w:szCs w:val="22"/>
          <w:rFonts w:ascii="Arial" w:cs="Arial" w:eastAsia="Arial" w:hAnsi="Arial"/>
        </w:rPr>
        <w:t xml:space="preserve">Commonwealth Human Rights Initiative</w:t>
      </w:r>
      <w:r>
        <w:rPr>
          <w:sz w:val="22"/>
          <w:szCs w:val="22"/>
          <w:rFonts w:ascii="Arial" w:cs="Arial" w:eastAsia="Arial" w:hAnsi="Arial"/>
        </w:rPr>
        <w:t xml:space="preserve"> (1987, Delhi), the </w:t>
      </w:r>
      <w:r>
        <w:rPr>
          <w:b/>
          <w:bCs/>
          <w:sz w:val="22"/>
          <w:szCs w:val="22"/>
          <w:rFonts w:ascii="Arial" w:cs="Arial" w:eastAsia="Arial" w:hAnsi="Arial"/>
        </w:rPr>
        <w:t xml:space="preserve">Human Rights Law Network</w:t>
      </w:r>
      <w:r>
        <w:rPr>
          <w:sz w:val="22"/>
          <w:szCs w:val="22"/>
          <w:rFonts w:ascii="Arial" w:cs="Arial" w:eastAsia="Arial" w:hAnsi="Arial"/>
        </w:rPr>
        <w:t xml:space="preserve">, </w:t>
      </w:r>
      <w:r>
        <w:rPr>
          <w:b/>
          <w:bCs/>
          <w:sz w:val="22"/>
          <w:szCs w:val="22"/>
          <w:rFonts w:ascii="Arial" w:cs="Arial" w:eastAsia="Arial" w:hAnsi="Arial"/>
        </w:rPr>
        <w:t xml:space="preserve">SAHRDC</w:t>
      </w:r>
      <w:r>
        <w:rPr>
          <w:sz w:val="22"/>
          <w:szCs w:val="22"/>
          <w:rFonts w:ascii="Arial" w:cs="Arial" w:eastAsia="Arial" w:hAnsi="Arial"/>
        </w:rPr>
        <w:t xml:space="preserve">, and the many which litigate PILs. </w:t>
      </w:r>
      <w:r>
        <w:rPr>
          <w:b/>
          <w:bCs/>
          <w:sz w:val="22"/>
          <w:szCs w:val="22"/>
          <w:rFonts w:ascii="Arial" w:cs="Arial" w:eastAsia="Arial" w:hAnsi="Arial"/>
        </w:rPr>
        <w:t xml:space="preserve">NGOs' legal role</w:t>
      </w:r>
      <w:r>
        <w:rPr>
          <w:sz w:val="22"/>
          <w:szCs w:val="22"/>
          <w:rFonts w:ascii="Arial" w:cs="Arial" w:eastAsia="Arial" w:hAnsi="Arial"/>
        </w:rPr>
        <w:t xml:space="preserve">: consultative status with ECOSOC (Art 71 of the Charter; over 6,000); participation in the Council's sessions and the UPR (the stakeholders' submissions); the submission of 'shadow reports' to the treaty bodies; the 1503/complaint procedure and the Special Procedures' communications, for which they are the principal source; standing before the African Commission and the Inter-American Commission; amicus briefs; and the </w:t>
      </w:r>
      <w:r>
        <w:rPr>
          <w:b/>
          <w:bCs/>
          <w:sz w:val="22"/>
          <w:szCs w:val="22"/>
          <w:rFonts w:ascii="Arial" w:cs="Arial" w:eastAsia="Arial" w:hAnsi="Arial"/>
        </w:rPr>
        <w:t xml:space="preserve">1998 Declaration on Human Rights Defenders</w:t>
      </w:r>
      <w:r>
        <w:rPr>
          <w:sz w:val="22"/>
          <w:szCs w:val="22"/>
          <w:rFonts w:ascii="Arial" w:cs="Arial" w:eastAsia="Arial" w:hAnsi="Arial"/>
        </w:rPr>
        <w:t xml:space="preserve">, with its Special Rapporteur — the instrument that answers the FCRA-type restrictions.</w:t>
      </w:r>
    </w:p>
    <w:p>
      <w:pPr>
        <w:spacing w:before="240" w:after="120"/>
      </w:pPr>
      <w:r>
        <w:rPr>
          <w:b/>
          <w:bCs/>
          <w:color w:val="404040"/>
          <w:sz w:val="23"/>
          <w:szCs w:val="23"/>
          <w:rFonts w:ascii="Arial" w:cs="Arial" w:eastAsia="Arial" w:hAnsi="Arial"/>
        </w:rPr>
        <w:t xml:space="preserve">The International Committee of the Red Cross</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ICRC</w:t>
      </w:r>
      <w:r>
        <w:rPr>
          <w:sz w:val="22"/>
          <w:szCs w:val="22"/>
          <w:rFonts w:ascii="Arial" w:cs="Arial" w:eastAsia="Arial" w:hAnsi="Arial"/>
        </w:rPr>
        <w:t xml:space="preserve"> (Geneva, 1863 — Henry Dunant's Committee of Five after Solferino; a private Swiss association governed by a Committee of up to 25 Swiss citizens; about 20,000 staff in 100 countries; Nobel Peace Prize 1917, 1944 and 1963 — the only triple laureate; observer status at the General Assembly since 1990) is the guardian of international humanitarian law and the founding component of the </w:t>
      </w:r>
      <w:r>
        <w:rPr>
          <w:b/>
          <w:bCs/>
          <w:sz w:val="22"/>
          <w:szCs w:val="22"/>
          <w:rFonts w:ascii="Arial" w:cs="Arial" w:eastAsia="Arial" w:hAnsi="Arial"/>
        </w:rPr>
        <w:t xml:space="preserve">International Red Cross and Red Crescent Movement</w:t>
      </w:r>
      <w:r>
        <w:rPr>
          <w:sz w:val="22"/>
          <w:szCs w:val="22"/>
          <w:rFonts w:ascii="Arial" w:cs="Arial" w:eastAsia="Arial" w:hAnsi="Arial"/>
        </w:rPr>
        <w:t xml:space="preserve"> (the ICRC; the 191 National Societies — the Indian Red Cross Society, 1920; and the International Federation, 1919 — with the Seven Fundamental Principles of 1965: humanity, impartiality, neutrality, independence, voluntary service, unity, universality; the emblems — the red cross, the red crescent and, since 2005, the red crystal — protected by Protocol III and by national law, in India the Geneva Conventions Act 1960 Sec 12-14). Its </w:t>
      </w:r>
      <w:r>
        <w:rPr>
          <w:b/>
          <w:bCs/>
          <w:sz w:val="22"/>
          <w:szCs w:val="22"/>
          <w:rFonts w:ascii="Arial" w:cs="Arial" w:eastAsia="Arial" w:hAnsi="Arial"/>
        </w:rPr>
        <w:t xml:space="preserve">mandate</w:t>
      </w:r>
      <w:r>
        <w:rPr>
          <w:sz w:val="22"/>
          <w:szCs w:val="22"/>
          <w:rFonts w:ascii="Arial" w:cs="Arial" w:eastAsia="Arial" w:hAnsi="Arial"/>
        </w:rPr>
        <w:t xml:space="preserve"> comes from the Geneva Conventions themselves: to visit prisoners of war (GC III Art 126) and civilian internees (GC IV Art 143) without witnesses; to act as a substitute for the Protecting Power (GC I-IV common Art 10/10/10/11); to offer its services in non-international armed conflict (common Art 3 — the 'right of humanitarian initiative'); to run the </w:t>
      </w:r>
      <w:r>
        <w:rPr>
          <w:b/>
          <w:bCs/>
          <w:sz w:val="22"/>
          <w:szCs w:val="22"/>
          <w:rFonts w:ascii="Arial" w:cs="Arial" w:eastAsia="Arial" w:hAnsi="Arial"/>
        </w:rPr>
        <w:t xml:space="preserve">Central Tracing Agency</w:t>
      </w:r>
      <w:r>
        <w:rPr>
          <w:sz w:val="22"/>
          <w:szCs w:val="22"/>
          <w:rFonts w:ascii="Arial" w:cs="Arial" w:eastAsia="Arial" w:hAnsi="Arial"/>
        </w:rPr>
        <w:t xml:space="preserve"> for missing persons and family messages (GC III Art 123, GC IV Art 140); to organise relief for civilians (GC IV Arts 59-63; AP I Art 70); and, under the Statutes of the Movement (1986), to work for the understanding and dissemination of IHL and to prepare its development — the ICRC drafted the 1949 Conventions and the 1977 Protocols, published the Commentaries (the updated Commentaries of 2016-20) and the </w:t>
      </w:r>
      <w:r>
        <w:rPr>
          <w:b/>
          <w:bCs/>
          <w:sz w:val="22"/>
          <w:szCs w:val="22"/>
          <w:rFonts w:ascii="Arial" w:cs="Arial" w:eastAsia="Arial" w:hAnsi="Arial"/>
        </w:rPr>
        <w:t xml:space="preserve">Customary IHL Study (2005)</w:t>
      </w:r>
      <w:r>
        <w:rPr>
          <w:sz w:val="22"/>
          <w:szCs w:val="22"/>
          <w:rFonts w:ascii="Arial" w:cs="Arial" w:eastAsia="Arial" w:hAnsi="Arial"/>
        </w:rPr>
        <w:t xml:space="preserve"> of 161 rules. Its method is </w:t>
      </w:r>
      <w:r>
        <w:rPr>
          <w:b/>
          <w:bCs/>
          <w:sz w:val="22"/>
          <w:szCs w:val="22"/>
          <w:rFonts w:ascii="Arial" w:cs="Arial" w:eastAsia="Arial" w:hAnsi="Arial"/>
        </w:rPr>
        <w:t xml:space="preserve">confidentiality</w:t>
      </w:r>
      <w:r>
        <w:rPr>
          <w:sz w:val="22"/>
          <w:szCs w:val="22"/>
          <w:rFonts w:ascii="Arial" w:cs="Arial" w:eastAsia="Arial" w:hAnsi="Arial"/>
        </w:rPr>
        <w:t xml:space="preserve">: it reports violations to the party concerned, not publicly, so that it retains access (public denunciation only exceptionally, as with the Abu Ghraib leak in 2004 and the Gaza statements of 2023-24); its neutrality (its silence on the Holocaust, acknowledged in 1997, is the historic criticism). In India the ICRC has a regional delegation in New Delhi (1982), visited detainees in Jammu and Kashmir from 1995 to 2017 under an agreement with the Government, worked on the 1971 POWs' repatriation and the Kargil dead, and cooperates with the Indian Red Cross on tracing and disaster relief; India–Pakistan prisoner and fishermen exchanges go through it and the consular agreement of 2008. The ICRC is not a human-rights body — it applies IHL, not the Covenants — but the two bodies of law converge in occupation, detention and non-international conflict (Episode 10), and the ICRC's monitoring of detention is the most effective in the world because it is the least public.</w:t>
      </w:r>
    </w:p>
    <w:p>
      <w:pPr>
        <w:pBdr>
          <w:left w:val="single" w:color="CC0000" w:sz="6" w:space="8"/>
        </w:pBdr>
        <w:spacing w:before="80" w:after="80"/>
        <w:ind w:left="300"/>
      </w:pPr>
      <w:r>
        <w:rPr>
          <w:b/>
          <w:bCs/>
          <w:color w:val="CC0000"/>
          <w:sz w:val="21"/>
          <w:szCs w:val="21"/>
          <w:rFonts w:ascii="Arial" w:cs="Arial" w:eastAsia="Arial" w:hAnsi="Arial"/>
        </w:rPr>
        <w:t xml:space="preserve">Human Rights Council Resolution 60/251 (GA, 2006) and Resolution 5/1 (2007) — </w:t>
      </w:r>
      <w:r>
        <w:rPr>
          <w:sz w:val="21"/>
          <w:szCs w:val="21"/>
          <w:rFonts w:ascii="Arial" w:cs="Arial" w:eastAsia="Arial" w:hAnsi="Arial"/>
        </w:rPr>
        <w:t xml:space="preserve">The Council's constitution and the UPR, Special Procedures, complaint procedure and Advisory Committee; membership criteria and suspension.</w:t>
      </w:r>
    </w:p>
    <w:p>
      <w:pPr>
        <w:pBdr>
          <w:left w:val="single" w:color="CC0000" w:sz="6" w:space="8"/>
        </w:pBdr>
        <w:spacing w:before="80" w:after="80"/>
        <w:ind w:left="300"/>
      </w:pPr>
      <w:r>
        <w:rPr>
          <w:b/>
          <w:bCs/>
          <w:color w:val="CC0000"/>
          <w:sz w:val="21"/>
          <w:szCs w:val="21"/>
          <w:rFonts w:ascii="Arial" w:cs="Arial" w:eastAsia="Arial" w:hAnsi="Arial"/>
        </w:rPr>
        <w:t xml:space="preserve">ILO Commission of Inquiry on Myanmar (1998) and the Art 33 resolution (2000) — </w:t>
      </w:r>
      <w:r>
        <w:rPr>
          <w:sz w:val="21"/>
          <w:szCs w:val="21"/>
          <w:rFonts w:ascii="Arial" w:cs="Arial" w:eastAsia="Arial" w:hAnsi="Arial"/>
        </w:rPr>
        <w:t xml:space="preserve">Systematic forced labour in violation of Convention 29; the only invocation of Art 33 measures; the model of ILO enforcement.</w:t>
      </w:r>
    </w:p>
    <w:p>
      <w:pPr>
        <w:pBdr>
          <w:left w:val="single" w:color="CC0000" w:sz="6" w:space="8"/>
        </w:pBdr>
        <w:spacing w:before="80" w:after="80"/>
        <w:ind w:left="300"/>
      </w:pPr>
      <w:r>
        <w:rPr>
          <w:b/>
          <w:bCs/>
          <w:color w:val="CC0000"/>
          <w:sz w:val="21"/>
          <w:szCs w:val="21"/>
          <w:rFonts w:ascii="Arial" w:cs="Arial" w:eastAsia="Arial" w:hAnsi="Arial"/>
        </w:rPr>
        <w:t xml:space="preserve">Bandhua Mukti Morcha v. Union of India (1984) 3 SCC 161 — </w:t>
      </w:r>
      <w:r>
        <w:rPr>
          <w:sz w:val="21"/>
          <w:szCs w:val="21"/>
          <w:rFonts w:ascii="Arial" w:cs="Arial" w:eastAsia="Arial" w:hAnsi="Arial"/>
        </w:rPr>
        <w:t xml:space="preserve">Bonded labour violates Art 21 and Art 23 and the ILO's forced-labour Conventions; the Court's socio-legal commissions; the State's duty to identify, release and rehabilitate.</w:t>
      </w:r>
    </w:p>
    <w:p>
      <w:pPr>
        <w:pBdr>
          <w:left w:val="single" w:color="CC0000" w:sz="6" w:space="8"/>
        </w:pBdr>
        <w:spacing w:before="80" w:after="80"/>
        <w:ind w:left="300"/>
      </w:pPr>
      <w:r>
        <w:rPr>
          <w:b/>
          <w:bCs/>
          <w:color w:val="CC0000"/>
          <w:sz w:val="21"/>
          <w:szCs w:val="21"/>
          <w:rFonts w:ascii="Arial" w:cs="Arial" w:eastAsia="Arial" w:hAnsi="Arial"/>
        </w:rPr>
        <w:t xml:space="preserve">M.C. Mehta v. State of Tamil Nadu (1996) 6 SCC 756 — </w:t>
      </w:r>
      <w:r>
        <w:rPr>
          <w:sz w:val="21"/>
          <w:szCs w:val="21"/>
          <w:rFonts w:ascii="Arial" w:cs="Arial" w:eastAsia="Arial" w:hAnsi="Arial"/>
        </w:rPr>
        <w:t xml:space="preserve">Child labour in the Sivakasi match factories; the Court's scheme (compensation fund, education, employment for an adult of the family) drawing on Art 24, Art 45 and the CRC and ILO standards.</w:t>
      </w:r>
    </w:p>
    <w:p>
      <w:pPr>
        <w:pBdr>
          <w:left w:val="single" w:color="CC0000" w:sz="6" w:space="8"/>
        </w:pBdr>
        <w:spacing w:before="80" w:after="80"/>
        <w:ind w:left="300"/>
      </w:pPr>
      <w:r>
        <w:rPr>
          <w:b/>
          <w:bCs/>
          <w:color w:val="CC0000"/>
          <w:sz w:val="21"/>
          <w:szCs w:val="21"/>
          <w:rFonts w:ascii="Arial" w:cs="Arial" w:eastAsia="Arial" w:hAnsi="Arial"/>
        </w:rPr>
        <w:t xml:space="preserve">Amnesty International India v. Enforcement Directorate (Karnataka HC 2022, and the 2024 adjudication) — </w:t>
      </w:r>
      <w:r>
        <w:rPr>
          <w:sz w:val="21"/>
          <w:szCs w:val="21"/>
          <w:rFonts w:ascii="Arial" w:cs="Arial" w:eastAsia="Arial" w:hAnsi="Arial"/>
        </w:rPr>
        <w:t xml:space="preserve">The FCRA/FEMA proceedings that closed Amnesty's Indian operations — the domestic illustration of the Human Rights Defenders Declaration's concerns; the courts partly lifted the freezing orders.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Council's sessions are on UN Web TV; the UPR database and the Special Procedures' communications database are public; the OHCHR's 2023 'Universal Human Rights Index' links every recommendation to a State; Amnesty's Digital Verification Corps and HRW's Digital Investigations Lab use satellite imagery and open-source video (the Bucha and Sudan investigations); and the ICRC's 2023 rules of engagement for 'civilian hackers' and its position on cyber-operations extend the Geneva rules to the digital battlefield.</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'Human Rights Council', 'Universal Periodic Review', 'Special Procedures', '1503 procedure', 'High Commissioner for Human Rights', 'Treaty bodies', 'ILO's tripartism', 'ILO core Conventions', 'UNICEF', 'Amnesty International', 'Prisoner of conscience', 'ICRC's mandate', 'Fundamental Principles of the Red Cross'. Part B: 'Describe the UN machinery for the promotion and protection of human rights — the Council, the OHCHR and the treaty bodies'; or 'Discuss the role of the ILO in the protection of human rights and its supervisory machinery'; or 'Examine the contribution of UNICEF, Amnesty International and the ICRC to the protection of human rights'. Part C: a group of Indian NGOs wants the UN to examine custodial deaths in a State — the Special Rapporteur on torture's communication, the UPR stakeholders' submission, the Human Rights Committee's review (no individual complaint, as India is not a Protocol party), the NHRC; a trade union complains that a law bars government employees from unionising — the ILO Committee on Freedom of Association may hear it though India has not ratified Convention 87; a State refuses the ICRC access to detainees in an internal conflict — common Art 3 gives the ICRC only a right to offer; the State may refuse, but the Human Rights Council and the CAT (if a party) may act; a prisoner of conscience's family wants international help — Amnesty's urgent action, the Working Group on Arbitrary Detention (which takes complaints against every State).</w:t>
      </w:r>
    </w:p>
    <w:p>
      <w:r>
        <w:br w:type="page"/>
      </w:r>
    </w:p>
    <w:p>
      <w:pPr>
        <w:pStyle w:val="Heading1"/>
        <w:spacing w:before="480" w:after="200"/>
      </w:pPr>
      <w:r>
        <w:rPr>
          <w:b/>
          <w:bCs/>
          <w:color w:val="1F4E79"/>
          <w:sz w:val="32"/>
          <w:szCs w:val="32"/>
          <w:rFonts w:ascii="Arial" w:cs="Arial" w:eastAsia="Arial" w:hAnsi="Arial"/>
        </w:rPr>
        <w:t xml:space="preserve">Episode 08 — Bhanwari Devi: Vishaka, CEDAW and the Rights of Women and Children</w:t>
      </w:r>
    </w:p>
    <w:p>
      <w:pPr>
        <w:pStyle w:val="Heading2"/>
        <w:spacing w:before="360" w:after="160"/>
      </w:pPr>
      <w:r>
        <w:rPr>
          <w:b/>
          <w:bCs/>
          <w:color w:val="2E75B6"/>
          <w:sz w:val="26"/>
          <w:szCs w:val="26"/>
          <w:rFonts w:ascii="Arial" w:cs="Arial" w:eastAsia="Arial" w:hAnsi="Arial"/>
        </w:rPr>
        <w:t xml:space="preserve">Covers: Women — from the UDHR to CEDAW (1979): the Convention's articles, the Committee, the Optional Protocol, the General Recommendations; DEVAW (1993), Beijing (1995), Security Council 1325; India's ratification and declarations; Vishaka and the 2013 Act · Children — the Geneva Declaration (1924), the UN Declaration of the Rights of the Child (1959), the Convention on the Rights of the Child (1989): the four principles and the articles, the three Optional Protocols, the Committee; India's law — the JJ Act 2015, POCSO 2012, the RTE Act 2009, child labour and marriage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Bhateri village, Rajasthan, 22 September 1992. Bhanwari Devi was a 'saathin' — a grassroots worker in the State Government's Women's Development Programme, paid a small honorarium to work against child marriage, dowry and the practices the Government wished to end. When she tried to stop the marriage of a nine-month-old girl in a Gujjar family, the village turned on her; her family was boycotted; and on that evening, as she and her husband worked in their field, five men beat him and gang-raped her. The police delayed the medical examination for fifty-two hours; the doctor recorded only her age; the trial court in Jaipur acquitted the accused in 1995 on grounds that included the improbability of upper-caste men raping a lower-caste woman and of a man raping in front of his relatives. The women's movement took the case to the Supreme Court in a public-interest petition in the name of Vishaka, a Rajasthan women's group, asking not for the retrial — which was on appeal — but for the enforcement of the right of working women to a safe workplace. On 13 August 1997 the Court, through Chief Justice Verma, held that sexual harassment at the workplace violates the rights to equality, life and dignity and to practise a profession under Articles 14, 15, 19(1)(g) and 21; that in the absence of legislation the Court would lay down guidelines under Article 32 that would bind as law until Parliament acted; and that the content of those guidelines was taken from India's obligations under the Convention on the Elimination of All Forms of Discrimination against Women — Articles 11 and 24 and the CEDAW Committee's General Recommendation 19 on violence — read into the Constitution through Article 51(c). It took Parliament sixteen years to pass the Sexual Harassment of Women at Workplace (Prevention, Prohibition and Redressal) Act 2013. Bhanwari Devi's rapists were never convicted; her case remains the first in which an international women's-rights treaty became Indian law by judicial decision.</w:t>
      </w:r>
    </w:p>
    <w:p>
      <w:pPr>
        <w:spacing w:before="240" w:after="120"/>
      </w:pPr>
      <w:r>
        <w:rPr>
          <w:b/>
          <w:bCs/>
          <w:color w:val="404040"/>
          <w:sz w:val="23"/>
          <w:szCs w:val="23"/>
          <w:rFonts w:ascii="Arial" w:cs="Arial" w:eastAsia="Arial" w:hAnsi="Arial"/>
        </w:rPr>
        <w:t xml:space="preserve">Women — from the Charter to CEDAW</w:t>
      </w:r>
    </w:p>
    <w:p>
      <w:pPr>
        <w:spacing w:after="120" w:line="300"/>
        <w:jc w:val="both"/>
      </w:pPr>
      <w:r>
        <w:rPr>
          <w:sz w:val="22"/>
          <w:szCs w:val="22"/>
          <w:rFonts w:ascii="Arial" w:cs="Arial" w:eastAsia="Arial" w:hAnsi="Arial"/>
        </w:rPr>
        <w:t xml:space="preserve">The Charter (the Preamble's 'equal rights of men and women'; Art 8 — eligibility for all posts), the UDHR (Arts 2 and 16), the </w:t>
      </w:r>
      <w:r>
        <w:rPr>
          <w:b/>
          <w:bCs/>
          <w:sz w:val="22"/>
          <w:szCs w:val="22"/>
          <w:rFonts w:ascii="Arial" w:cs="Arial" w:eastAsia="Arial" w:hAnsi="Arial"/>
        </w:rPr>
        <w:t xml:space="preserve">Commission on the Status of Women</w:t>
      </w:r>
      <w:r>
        <w:rPr>
          <w:sz w:val="22"/>
          <w:szCs w:val="22"/>
          <w:rFonts w:ascii="Arial" w:cs="Arial" w:eastAsia="Arial" w:hAnsi="Arial"/>
        </w:rPr>
        <w:t xml:space="preserve"> (1946, ECOSOC), the early conventions — the </w:t>
      </w:r>
      <w:r>
        <w:rPr>
          <w:b/>
          <w:bCs/>
          <w:sz w:val="22"/>
          <w:szCs w:val="22"/>
          <w:rFonts w:ascii="Arial" w:cs="Arial" w:eastAsia="Arial" w:hAnsi="Arial"/>
        </w:rPr>
        <w:t xml:space="preserve">Convention on the Political Rights of Women (1952)</w:t>
      </w:r>
      <w:r>
        <w:rPr>
          <w:sz w:val="22"/>
          <w:szCs w:val="22"/>
          <w:rFonts w:ascii="Arial" w:cs="Arial" w:eastAsia="Arial" w:hAnsi="Arial"/>
        </w:rPr>
        <w:t xml:space="preserve">, the </w:t>
      </w:r>
      <w:r>
        <w:rPr>
          <w:b/>
          <w:bCs/>
          <w:sz w:val="22"/>
          <w:szCs w:val="22"/>
          <w:rFonts w:ascii="Arial" w:cs="Arial" w:eastAsia="Arial" w:hAnsi="Arial"/>
        </w:rPr>
        <w:t xml:space="preserve">Convention on the Nationality of Married Women (1957)</w:t>
      </w:r>
      <w:r>
        <w:rPr>
          <w:sz w:val="22"/>
          <w:szCs w:val="22"/>
          <w:rFonts w:ascii="Arial" w:cs="Arial" w:eastAsia="Arial" w:hAnsi="Arial"/>
        </w:rPr>
        <w:t xml:space="preserve">, the </w:t>
      </w:r>
      <w:r>
        <w:rPr>
          <w:b/>
          <w:bCs/>
          <w:sz w:val="22"/>
          <w:szCs w:val="22"/>
          <w:rFonts w:ascii="Arial" w:cs="Arial" w:eastAsia="Arial" w:hAnsi="Arial"/>
        </w:rPr>
        <w:t xml:space="preserve">Convention on Consent to Marriage, Minimum Age for Marriage and Registration of Marriages (1962)</w:t>
      </w:r>
      <w:r>
        <w:rPr>
          <w:sz w:val="22"/>
          <w:szCs w:val="22"/>
          <w:rFonts w:ascii="Arial" w:cs="Arial" w:eastAsia="Arial" w:hAnsi="Arial"/>
        </w:rPr>
        <w:t xml:space="preserve">, the ILO's Conventions 100 (equal pay, 1951) and 111 (discrimination, 1958), UNESCO's 1960 Convention on education — and the </w:t>
      </w:r>
      <w:r>
        <w:rPr>
          <w:b/>
          <w:bCs/>
          <w:sz w:val="22"/>
          <w:szCs w:val="22"/>
          <w:rFonts w:ascii="Arial" w:cs="Arial" w:eastAsia="Arial" w:hAnsi="Arial"/>
        </w:rPr>
        <w:t xml:space="preserve">Declaration on the Elimination of Discrimination against Women (1967)</w:t>
      </w:r>
      <w:r>
        <w:rPr>
          <w:sz w:val="22"/>
          <w:szCs w:val="22"/>
          <w:rFonts w:ascii="Arial" w:cs="Arial" w:eastAsia="Arial" w:hAnsi="Arial"/>
        </w:rPr>
        <w:t xml:space="preserve"> led, after the </w:t>
      </w:r>
      <w:r>
        <w:rPr>
          <w:b/>
          <w:bCs/>
          <w:sz w:val="22"/>
          <w:szCs w:val="22"/>
          <w:rFonts w:ascii="Arial" w:cs="Arial" w:eastAsia="Arial" w:hAnsi="Arial"/>
        </w:rPr>
        <w:t xml:space="preserve">International Women's Year (1975)</w:t>
      </w:r>
      <w:r>
        <w:rPr>
          <w:sz w:val="22"/>
          <w:szCs w:val="22"/>
          <w:rFonts w:ascii="Arial" w:cs="Arial" w:eastAsia="Arial" w:hAnsi="Arial"/>
        </w:rPr>
        <w:t xml:space="preserve"> and the Mexico City conference, to the </w:t>
      </w:r>
      <w:r>
        <w:rPr>
          <w:b/>
          <w:bCs/>
          <w:sz w:val="22"/>
          <w:szCs w:val="22"/>
          <w:rFonts w:ascii="Arial" w:cs="Arial" w:eastAsia="Arial" w:hAnsi="Arial"/>
        </w:rPr>
        <w:t xml:space="preserve">Convention on the Elimination of All Forms of Discrimination against Women</w:t>
      </w:r>
      <w:r>
        <w:rPr>
          <w:sz w:val="22"/>
          <w:szCs w:val="22"/>
          <w:rFonts w:ascii="Arial" w:cs="Arial" w:eastAsia="Arial" w:hAnsi="Arial"/>
        </w:rPr>
        <w:t xml:space="preserve"> (General Assembly, 18 December 1979; in force 3 September 1981; 189 parties — the United States has signed but not ratified; Iran, Somalia, Sudan, Tonga and the Holy See are outside; the most reserved-against human-rights treaty, with the Islamic States' Sharia reservations and the Committee's and other parties' objections under Art 28(2) — 'incompatible with the object and purpose').</w:t>
      </w:r>
    </w:p>
    <w:p>
      <w:pPr>
        <w:spacing w:before="240" w:after="120"/>
      </w:pPr>
      <w:r>
        <w:rPr>
          <w:b/>
          <w:bCs/>
          <w:color w:val="404040"/>
          <w:sz w:val="23"/>
          <w:szCs w:val="23"/>
          <w:rFonts w:ascii="Arial" w:cs="Arial" w:eastAsia="Arial" w:hAnsi="Arial"/>
        </w:rPr>
        <w:t xml:space="preserve">CEDAW — the articles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Art 1</w:t>
      </w:r>
      <w:r>
        <w:rPr>
          <w:sz w:val="22"/>
          <w:szCs w:val="22"/>
          <w:rFonts w:ascii="Arial" w:cs="Arial" w:eastAsia="Arial" w:hAnsi="Arial"/>
        </w:rPr>
        <w:t xml:space="preserve"> — 'discrimination against women' means any distinction, exclusion or restriction made on the basis of sex which has the effect or purpose of impairing or nullifying the recognition, enjoyment or exercise by women, irrespective of their marital status, on a basis of equality of men and women, of human rights and fundamental freedoms in the political, economic, social, cultural, civil or any other field (direct and indirect discrimination; public and private). </w:t>
      </w:r>
      <w:r>
        <w:rPr>
          <w:b/>
          <w:bCs/>
          <w:sz w:val="22"/>
          <w:szCs w:val="22"/>
          <w:rFonts w:ascii="Arial" w:cs="Arial" w:eastAsia="Arial" w:hAnsi="Arial"/>
        </w:rPr>
        <w:t xml:space="preserve">Art 2</w:t>
      </w:r>
      <w:r>
        <w:rPr>
          <w:sz w:val="22"/>
          <w:szCs w:val="22"/>
          <w:rFonts w:ascii="Arial" w:cs="Arial" w:eastAsia="Arial" w:hAnsi="Arial"/>
        </w:rPr>
        <w:t xml:space="preserve"> — the parties condemn discrimination and undertake to embody equality in their constitutions, adopt legislation with sanctions, establish legal protection through tribunals, refrain from discrimination, take measures to eliminate discrimination by any person, organisation or enterprise, modify or abolish discriminatory laws, regulations, customs and practices, and repeal discriminatory penal provisions — the 'core' the Committee treats as non-reservable. </w:t>
      </w:r>
      <w:r>
        <w:rPr>
          <w:b/>
          <w:bCs/>
          <w:sz w:val="22"/>
          <w:szCs w:val="22"/>
          <w:rFonts w:ascii="Arial" w:cs="Arial" w:eastAsia="Arial" w:hAnsi="Arial"/>
        </w:rPr>
        <w:t xml:space="preserve">Art 3</w:t>
      </w:r>
      <w:r>
        <w:rPr>
          <w:sz w:val="22"/>
          <w:szCs w:val="22"/>
          <w:rFonts w:ascii="Arial" w:cs="Arial" w:eastAsia="Arial" w:hAnsi="Arial"/>
        </w:rPr>
        <w:t xml:space="preserve"> — full development and advancement of women. </w:t>
      </w:r>
      <w:r>
        <w:rPr>
          <w:b/>
          <w:bCs/>
          <w:sz w:val="22"/>
          <w:szCs w:val="22"/>
          <w:rFonts w:ascii="Arial" w:cs="Arial" w:eastAsia="Arial" w:hAnsi="Arial"/>
        </w:rPr>
        <w:t xml:space="preserve">Art 4</w:t>
      </w:r>
      <w:r>
        <w:rPr>
          <w:sz w:val="22"/>
          <w:szCs w:val="22"/>
          <w:rFonts w:ascii="Arial" w:cs="Arial" w:eastAsia="Arial" w:hAnsi="Arial"/>
        </w:rPr>
        <w:t xml:space="preserve"> — </w:t>
      </w:r>
      <w:r>
        <w:rPr>
          <w:b/>
          <w:bCs/>
          <w:sz w:val="22"/>
          <w:szCs w:val="22"/>
          <w:rFonts w:ascii="Arial" w:cs="Arial" w:eastAsia="Arial" w:hAnsi="Arial"/>
        </w:rPr>
        <w:t xml:space="preserve">temporary special measures</w:t>
      </w:r>
      <w:r>
        <w:rPr>
          <w:sz w:val="22"/>
          <w:szCs w:val="22"/>
          <w:rFonts w:ascii="Arial" w:cs="Arial" w:eastAsia="Arial" w:hAnsi="Arial"/>
        </w:rPr>
        <w:t xml:space="preserve"> to accelerate de facto equality are not discrimination (affirmative action — General Recommendation 25), nor are measures to protect maternity. </w:t>
      </w:r>
      <w:r>
        <w:rPr>
          <w:b/>
          <w:bCs/>
          <w:sz w:val="22"/>
          <w:szCs w:val="22"/>
          <w:rFonts w:ascii="Arial" w:cs="Arial" w:eastAsia="Arial" w:hAnsi="Arial"/>
        </w:rPr>
        <w:t xml:space="preserve">Art 5</w:t>
      </w:r>
      <w:r>
        <w:rPr>
          <w:sz w:val="22"/>
          <w:szCs w:val="22"/>
          <w:rFonts w:ascii="Arial" w:cs="Arial" w:eastAsia="Arial" w:hAnsi="Arial"/>
        </w:rPr>
        <w:t xml:space="preserve"> — the modification of social and cultural patterns of conduct to eliminate prejudices and practices based on the idea of the inferiority or superiority of either sex or on stereotyped roles (5(a)); the recognition of maternity as a social function and the common responsibility of men and women in the upbringing of children (5(b)). </w:t>
      </w:r>
      <w:r>
        <w:rPr>
          <w:b/>
          <w:bCs/>
          <w:sz w:val="22"/>
          <w:szCs w:val="22"/>
          <w:rFonts w:ascii="Arial" w:cs="Arial" w:eastAsia="Arial" w:hAnsi="Arial"/>
        </w:rPr>
        <w:t xml:space="preserve">Art 6</w:t>
      </w:r>
      <w:r>
        <w:rPr>
          <w:sz w:val="22"/>
          <w:szCs w:val="22"/>
          <w:rFonts w:ascii="Arial" w:cs="Arial" w:eastAsia="Arial" w:hAnsi="Arial"/>
        </w:rPr>
        <w:t xml:space="preserve"> — suppression of trafficking and the exploitation of prostitution. </w:t>
      </w:r>
      <w:r>
        <w:rPr>
          <w:b/>
          <w:bCs/>
          <w:sz w:val="22"/>
          <w:szCs w:val="22"/>
          <w:rFonts w:ascii="Arial" w:cs="Arial" w:eastAsia="Arial" w:hAnsi="Arial"/>
        </w:rPr>
        <w:t xml:space="preserve">Art 7</w:t>
      </w:r>
      <w:r>
        <w:rPr>
          <w:sz w:val="22"/>
          <w:szCs w:val="22"/>
          <w:rFonts w:ascii="Arial" w:cs="Arial" w:eastAsia="Arial" w:hAnsi="Arial"/>
        </w:rPr>
        <w:t xml:space="preserve"> — political and public life (vote, eligibility, public office, NGOs). </w:t>
      </w:r>
      <w:r>
        <w:rPr>
          <w:b/>
          <w:bCs/>
          <w:sz w:val="22"/>
          <w:szCs w:val="22"/>
          <w:rFonts w:ascii="Arial" w:cs="Arial" w:eastAsia="Arial" w:hAnsi="Arial"/>
        </w:rPr>
        <w:t xml:space="preserve">Art 8</w:t>
      </w:r>
      <w:r>
        <w:rPr>
          <w:sz w:val="22"/>
          <w:szCs w:val="22"/>
          <w:rFonts w:ascii="Arial" w:cs="Arial" w:eastAsia="Arial" w:hAnsi="Arial"/>
        </w:rPr>
        <w:t xml:space="preserve"> — representation at the international level. </w:t>
      </w:r>
      <w:r>
        <w:rPr>
          <w:b/>
          <w:bCs/>
          <w:sz w:val="22"/>
          <w:szCs w:val="22"/>
          <w:rFonts w:ascii="Arial" w:cs="Arial" w:eastAsia="Arial" w:hAnsi="Arial"/>
        </w:rPr>
        <w:t xml:space="preserve">Art 9</w:t>
      </w:r>
      <w:r>
        <w:rPr>
          <w:sz w:val="22"/>
          <w:szCs w:val="22"/>
          <w:rFonts w:ascii="Arial" w:cs="Arial" w:eastAsia="Arial" w:hAnsi="Arial"/>
        </w:rPr>
        <w:t xml:space="preserve"> — nationality (equal rights to acquire, change, retain; the children's nationality). </w:t>
      </w:r>
      <w:r>
        <w:rPr>
          <w:b/>
          <w:bCs/>
          <w:sz w:val="22"/>
          <w:szCs w:val="22"/>
          <w:rFonts w:ascii="Arial" w:cs="Arial" w:eastAsia="Arial" w:hAnsi="Arial"/>
        </w:rPr>
        <w:t xml:space="preserve">Art 10</w:t>
      </w:r>
      <w:r>
        <w:rPr>
          <w:sz w:val="22"/>
          <w:szCs w:val="22"/>
          <w:rFonts w:ascii="Arial" w:cs="Arial" w:eastAsia="Arial" w:hAnsi="Arial"/>
        </w:rPr>
        <w:t xml:space="preserve"> — education (equal access, the same curricula, the elimination of stereotypes, scholarships, adult literacy, the reduction of drop-out, sports, family-planning information). </w:t>
      </w:r>
      <w:r>
        <w:rPr>
          <w:b/>
          <w:bCs/>
          <w:sz w:val="22"/>
          <w:szCs w:val="22"/>
          <w:rFonts w:ascii="Arial" w:cs="Arial" w:eastAsia="Arial" w:hAnsi="Arial"/>
        </w:rPr>
        <w:t xml:space="preserve">Art 11</w:t>
      </w:r>
      <w:r>
        <w:rPr>
          <w:sz w:val="22"/>
          <w:szCs w:val="22"/>
          <w:rFonts w:ascii="Arial" w:cs="Arial" w:eastAsia="Arial" w:hAnsi="Arial"/>
        </w:rPr>
        <w:t xml:space="preserve"> — employment (the right to work, the same opportunities, free choice of profession, promotion, security, equal remuneration and treatment for work of equal value, social security, health and safety; the prohibition of dismissal for pregnancy or marriage, maternity leave with pay, child-care facilities, special protection during pregnancy). </w:t>
      </w:r>
      <w:r>
        <w:rPr>
          <w:b/>
          <w:bCs/>
          <w:sz w:val="22"/>
          <w:szCs w:val="22"/>
          <w:rFonts w:ascii="Arial" w:cs="Arial" w:eastAsia="Arial" w:hAnsi="Arial"/>
        </w:rPr>
        <w:t xml:space="preserve">Art 12</w:t>
      </w:r>
      <w:r>
        <w:rPr>
          <w:sz w:val="22"/>
          <w:szCs w:val="22"/>
          <w:rFonts w:ascii="Arial" w:cs="Arial" w:eastAsia="Arial" w:hAnsi="Arial"/>
        </w:rPr>
        <w:t xml:space="preserve"> — health care including family planning; free services in pregnancy and confinement. </w:t>
      </w:r>
      <w:r>
        <w:rPr>
          <w:b/>
          <w:bCs/>
          <w:sz w:val="22"/>
          <w:szCs w:val="22"/>
          <w:rFonts w:ascii="Arial" w:cs="Arial" w:eastAsia="Arial" w:hAnsi="Arial"/>
        </w:rPr>
        <w:t xml:space="preserve">Art 13</w:t>
      </w:r>
      <w:r>
        <w:rPr>
          <w:sz w:val="22"/>
          <w:szCs w:val="22"/>
          <w:rFonts w:ascii="Arial" w:cs="Arial" w:eastAsia="Arial" w:hAnsi="Arial"/>
        </w:rPr>
        <w:t xml:space="preserve"> — economic and social life (family benefits, credit, recreation). </w:t>
      </w:r>
      <w:r>
        <w:rPr>
          <w:b/>
          <w:bCs/>
          <w:sz w:val="22"/>
          <w:szCs w:val="22"/>
          <w:rFonts w:ascii="Arial" w:cs="Arial" w:eastAsia="Arial" w:hAnsi="Arial"/>
        </w:rPr>
        <w:t xml:space="preserve">Art 14</w:t>
      </w:r>
      <w:r>
        <w:rPr>
          <w:sz w:val="22"/>
          <w:szCs w:val="22"/>
          <w:rFonts w:ascii="Arial" w:cs="Arial" w:eastAsia="Arial" w:hAnsi="Arial"/>
        </w:rPr>
        <w:t xml:space="preserve"> — </w:t>
      </w:r>
      <w:r>
        <w:rPr>
          <w:b/>
          <w:bCs/>
          <w:sz w:val="22"/>
          <w:szCs w:val="22"/>
          <w:rFonts w:ascii="Arial" w:cs="Arial" w:eastAsia="Arial" w:hAnsi="Arial"/>
        </w:rPr>
        <w:t xml:space="preserve">rural women</w:t>
      </w:r>
      <w:r>
        <w:rPr>
          <w:sz w:val="22"/>
          <w:szCs w:val="22"/>
          <w:rFonts w:ascii="Arial" w:cs="Arial" w:eastAsia="Arial" w:hAnsi="Arial"/>
        </w:rPr>
        <w:t xml:space="preserve"> (the only human-rights treaty article on them — participation in development planning, health, social security, training, cooperatives, credit, housing, sanitation, electricity, water, transport). </w:t>
      </w:r>
      <w:r>
        <w:rPr>
          <w:b/>
          <w:bCs/>
          <w:sz w:val="22"/>
          <w:szCs w:val="22"/>
          <w:rFonts w:ascii="Arial" w:cs="Arial" w:eastAsia="Arial" w:hAnsi="Arial"/>
        </w:rPr>
        <w:t xml:space="preserve">Art 15</w:t>
      </w:r>
      <w:r>
        <w:rPr>
          <w:sz w:val="22"/>
          <w:szCs w:val="22"/>
          <w:rFonts w:ascii="Arial" w:cs="Arial" w:eastAsia="Arial" w:hAnsi="Arial"/>
        </w:rPr>
        <w:t xml:space="preserve"> — equality before the law, legal capacity, contracts and property, freedom of movement and domicile. </w:t>
      </w:r>
      <w:r>
        <w:rPr>
          <w:b/>
          <w:bCs/>
          <w:sz w:val="22"/>
          <w:szCs w:val="22"/>
          <w:rFonts w:ascii="Arial" w:cs="Arial" w:eastAsia="Arial" w:hAnsi="Arial"/>
        </w:rPr>
        <w:t xml:space="preserve">Art 16</w:t>
      </w:r>
      <w:r>
        <w:rPr>
          <w:sz w:val="22"/>
          <w:szCs w:val="22"/>
          <w:rFonts w:ascii="Arial" w:cs="Arial" w:eastAsia="Arial" w:hAnsi="Arial"/>
        </w:rPr>
        <w:t xml:space="preserve"> — marriage and family relations (the same right to enter marriage, free choice of spouse and consent, the same rights and responsibilities during marriage and at dissolution, as parents, to decide the number and spacing of children, guardianship and adoption, personal rights including the choice of name, profession and occupation, ownership of property; the betrothal and marriage of a child shall have no legal effect, with a minimum age and compulsory registration). </w:t>
      </w:r>
      <w:r>
        <w:rPr>
          <w:b/>
          <w:bCs/>
          <w:sz w:val="22"/>
          <w:szCs w:val="22"/>
          <w:rFonts w:ascii="Arial" w:cs="Arial" w:eastAsia="Arial" w:hAnsi="Arial"/>
        </w:rPr>
        <w:t xml:space="preserve">Part V — Arts 17-22</w:t>
      </w:r>
      <w:r>
        <w:rPr>
          <w:sz w:val="22"/>
          <w:szCs w:val="22"/>
          <w:rFonts w:ascii="Arial" w:cs="Arial" w:eastAsia="Arial" w:hAnsi="Arial"/>
        </w:rPr>
        <w:t xml:space="preserve"> — the </w:t>
      </w:r>
      <w:r>
        <w:rPr>
          <w:b/>
          <w:bCs/>
          <w:sz w:val="22"/>
          <w:szCs w:val="22"/>
          <w:rFonts w:ascii="Arial" w:cs="Arial" w:eastAsia="Arial" w:hAnsi="Arial"/>
        </w:rPr>
        <w:t xml:space="preserve">Committee</w:t>
      </w:r>
      <w:r>
        <w:rPr>
          <w:sz w:val="22"/>
          <w:szCs w:val="22"/>
          <w:rFonts w:ascii="Arial" w:cs="Arial" w:eastAsia="Arial" w:hAnsi="Arial"/>
        </w:rPr>
        <w:t xml:space="preserve"> (23 experts); reports within a year and every four years (Art 18); the Committee's reports and General Recommendations (Art 21); the specialised agencies. </w:t>
      </w:r>
      <w:r>
        <w:rPr>
          <w:b/>
          <w:bCs/>
          <w:sz w:val="22"/>
          <w:szCs w:val="22"/>
          <w:rFonts w:ascii="Arial" w:cs="Arial" w:eastAsia="Arial" w:hAnsi="Arial"/>
        </w:rPr>
        <w:t xml:space="preserve">Part VI — Arts 23-30</w:t>
      </w:r>
      <w:r>
        <w:rPr>
          <w:sz w:val="22"/>
          <w:szCs w:val="22"/>
          <w:rFonts w:ascii="Arial" w:cs="Arial" w:eastAsia="Arial" w:hAnsi="Arial"/>
        </w:rPr>
        <w:t xml:space="preserve"> — more favourable national provisions; national implementation; signature and ratification; reservations (Art 28 — not incompatible with object and purpose); inter-State disputes to arbitration and the ICJ (Art 29 — India's reservation). The </w:t>
      </w:r>
      <w:r>
        <w:rPr>
          <w:b/>
          <w:bCs/>
          <w:sz w:val="22"/>
          <w:szCs w:val="22"/>
          <w:rFonts w:ascii="Arial" w:cs="Arial" w:eastAsia="Arial" w:hAnsi="Arial"/>
        </w:rPr>
        <w:t xml:space="preserve">Optional Protocol (1999; in force 2000; 115 parties; India not a party)</w:t>
      </w:r>
      <w:r>
        <w:rPr>
          <w:sz w:val="22"/>
          <w:szCs w:val="22"/>
          <w:rFonts w:ascii="Arial" w:cs="Arial" w:eastAsia="Arial" w:hAnsi="Arial"/>
        </w:rPr>
        <w:t xml:space="preserve"> — individual and group communications after exhaustion of domestic remedies (A.T. v. Hungary, 2005, domestic violence; Vertido v. Philippines, 2010, rape-trial stereotypes; the Alyne da Silva Pimentel v. Brazil, 2011, maternal death; the first Indian-related view is not possible without ratification), and an </w:t>
      </w:r>
      <w:r>
        <w:rPr>
          <w:b/>
          <w:bCs/>
          <w:sz w:val="22"/>
          <w:szCs w:val="22"/>
          <w:rFonts w:ascii="Arial" w:cs="Arial" w:eastAsia="Arial" w:hAnsi="Arial"/>
        </w:rPr>
        <w:t xml:space="preserve">inquiry procedure</w:t>
      </w:r>
      <w:r>
        <w:rPr>
          <w:sz w:val="22"/>
          <w:szCs w:val="22"/>
          <w:rFonts w:ascii="Arial" w:cs="Arial" w:eastAsia="Arial" w:hAnsi="Arial"/>
        </w:rPr>
        <w:t xml:space="preserve"> for grave or systematic violations (Mexico's Ciudad Juárez, 2005; the Philippines; Canada's missing indigenous women, 2015; Kyrgyzstan's bride kidnapping). The </w:t>
      </w:r>
      <w:r>
        <w:rPr>
          <w:b/>
          <w:bCs/>
          <w:sz w:val="22"/>
          <w:szCs w:val="22"/>
          <w:rFonts w:ascii="Arial" w:cs="Arial" w:eastAsia="Arial" w:hAnsi="Arial"/>
        </w:rPr>
        <w:t xml:space="preserve">General Recommendations</w:t>
      </w:r>
      <w:r>
        <w:rPr>
          <w:sz w:val="22"/>
          <w:szCs w:val="22"/>
          <w:rFonts w:ascii="Arial" w:cs="Arial" w:eastAsia="Arial" w:hAnsi="Arial"/>
        </w:rPr>
        <w:t xml:space="preserve"> (40 so far): </w:t>
      </w:r>
      <w:r>
        <w:rPr>
          <w:b/>
          <w:bCs/>
          <w:sz w:val="22"/>
          <w:szCs w:val="22"/>
          <w:rFonts w:ascii="Arial" w:cs="Arial" w:eastAsia="Arial" w:hAnsi="Arial"/>
        </w:rPr>
        <w:t xml:space="preserve">GR 19 (1992)</w:t>
      </w:r>
      <w:r>
        <w:rPr>
          <w:sz w:val="22"/>
          <w:szCs w:val="22"/>
          <w:rFonts w:ascii="Arial" w:cs="Arial" w:eastAsia="Arial" w:hAnsi="Arial"/>
        </w:rPr>
        <w:t xml:space="preserve"> — gender-based violence is discrimination under Art 1, and the State's failure to act with due diligence against private violence makes it responsible (the Velásquez Rodríguez standard); </w:t>
      </w:r>
      <w:r>
        <w:rPr>
          <w:b/>
          <w:bCs/>
          <w:sz w:val="22"/>
          <w:szCs w:val="22"/>
          <w:rFonts w:ascii="Arial" w:cs="Arial" w:eastAsia="Arial" w:hAnsi="Arial"/>
        </w:rPr>
        <w:t xml:space="preserve">GR 35 (2017)</w:t>
      </w:r>
      <w:r>
        <w:rPr>
          <w:sz w:val="22"/>
          <w:szCs w:val="22"/>
          <w:rFonts w:ascii="Arial" w:cs="Arial" w:eastAsia="Arial" w:hAnsi="Arial"/>
        </w:rPr>
        <w:t xml:space="preserve"> updates it — violence as a social, not individual, problem, the prohibition as customary law; GR 21 (marriage and family), GR 24 (health), GR 25 (temporary special measures), GR 28 (Art 2 obligations), GR 30 (conflict), GR 33 (access to justice), GR 34 (rural women), GR 36 (education), GR 38 (trafficking), GR 39 (indigenous women).</w:t>
      </w:r>
    </w:p>
    <w:p>
      <w:pPr>
        <w:spacing w:before="240" w:after="120"/>
      </w:pPr>
      <w:r>
        <w:rPr>
          <w:b/>
          <w:bCs/>
          <w:color w:val="404040"/>
          <w:sz w:val="23"/>
          <w:szCs w:val="23"/>
          <w:rFonts w:ascii="Arial" w:cs="Arial" w:eastAsia="Arial" w:hAnsi="Arial"/>
        </w:rPr>
        <w:t xml:space="preserve">The later instruments</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Declaration on the Elimination of Violence against Women (General Assembly, 1993)</w:t>
      </w:r>
      <w:r>
        <w:rPr>
          <w:sz w:val="22"/>
          <w:szCs w:val="22"/>
          <w:rFonts w:ascii="Arial" w:cs="Arial" w:eastAsia="Arial" w:hAnsi="Arial"/>
        </w:rPr>
        <w:t xml:space="preserve"> — the first UN definition of violence against women (Art 1: any act of gender-based violence that results in, or is likely to result in, physical, sexual or psychological harm or suffering to women, including threats, coercion or arbitrary deprivation of liberty, in public or private life), its forms in the family, the community and by the State (Art 2), and the State's due-diligence duty (Art 4(c)); the </w:t>
      </w:r>
      <w:r>
        <w:rPr>
          <w:b/>
          <w:bCs/>
          <w:sz w:val="22"/>
          <w:szCs w:val="22"/>
          <w:rFonts w:ascii="Arial" w:cs="Arial" w:eastAsia="Arial" w:hAnsi="Arial"/>
        </w:rPr>
        <w:t xml:space="preserve">Special Rapporteur on violence against women (1994)</w:t>
      </w:r>
      <w:r>
        <w:rPr>
          <w:sz w:val="22"/>
          <w:szCs w:val="22"/>
          <w:rFonts w:ascii="Arial" w:cs="Arial" w:eastAsia="Arial" w:hAnsi="Arial"/>
        </w:rPr>
        <w:t xml:space="preserve">; the </w:t>
      </w:r>
      <w:r>
        <w:rPr>
          <w:b/>
          <w:bCs/>
          <w:sz w:val="22"/>
          <w:szCs w:val="22"/>
          <w:rFonts w:ascii="Arial" w:cs="Arial" w:eastAsia="Arial" w:hAnsi="Arial"/>
        </w:rPr>
        <w:t xml:space="preserve">Vienna Declaration (1993)</w:t>
      </w:r>
      <w:r>
        <w:rPr>
          <w:sz w:val="22"/>
          <w:szCs w:val="22"/>
          <w:rFonts w:ascii="Arial" w:cs="Arial" w:eastAsia="Arial" w:hAnsi="Arial"/>
        </w:rPr>
        <w:t xml:space="preserve"> — 'the human rights of women and of the girl-child are an inalienable, integral and indivisible part of universal human rights'; the world conferences — Mexico City (1975), Copenhagen (1980), Nairobi (1985 — the Forward-looking Strategies), </w:t>
      </w:r>
      <w:r>
        <w:rPr>
          <w:b/>
          <w:bCs/>
          <w:sz w:val="22"/>
          <w:szCs w:val="22"/>
          <w:rFonts w:ascii="Arial" w:cs="Arial" w:eastAsia="Arial" w:hAnsi="Arial"/>
        </w:rPr>
        <w:t xml:space="preserve">Beijing (1995 — the Fourth World Conference: the Beijing Declaration and Platform for Action's twelve critical areas of concern, from poverty to the girl-child; 'gender mainstreaming'; the five-yearly reviews, Beijing+30 in 2025)</w:t>
      </w:r>
      <w:r>
        <w:rPr>
          <w:sz w:val="22"/>
          <w:szCs w:val="22"/>
          <w:rFonts w:ascii="Arial" w:cs="Arial" w:eastAsia="Arial" w:hAnsi="Arial"/>
        </w:rPr>
        <w:t xml:space="preserve">; the </w:t>
      </w:r>
      <w:r>
        <w:rPr>
          <w:b/>
          <w:bCs/>
          <w:sz w:val="22"/>
          <w:szCs w:val="22"/>
          <w:rFonts w:ascii="Arial" w:cs="Arial" w:eastAsia="Arial" w:hAnsi="Arial"/>
        </w:rPr>
        <w:t xml:space="preserve">Cairo Programme of Action (1994)</w:t>
      </w:r>
      <w:r>
        <w:rPr>
          <w:sz w:val="22"/>
          <w:szCs w:val="22"/>
          <w:rFonts w:ascii="Arial" w:cs="Arial" w:eastAsia="Arial" w:hAnsi="Arial"/>
        </w:rPr>
        <w:t xml:space="preserve"> on reproductive rights; </w:t>
      </w:r>
      <w:r>
        <w:rPr>
          <w:b/>
          <w:bCs/>
          <w:sz w:val="22"/>
          <w:szCs w:val="22"/>
          <w:rFonts w:ascii="Arial" w:cs="Arial" w:eastAsia="Arial" w:hAnsi="Arial"/>
        </w:rPr>
        <w:t xml:space="preserve">Security Council Resolution 1325 (2000)</w:t>
      </w:r>
      <w:r>
        <w:rPr>
          <w:sz w:val="22"/>
          <w:szCs w:val="22"/>
          <w:rFonts w:ascii="Arial" w:cs="Arial" w:eastAsia="Arial" w:hAnsi="Arial"/>
        </w:rPr>
        <w:t xml:space="preserve"> on women, peace and security (participation, protection, prevention, relief and recovery; the later resolutions 1820 (2008) on sexual violence as a tactic of war, 1888, 1889, 1960, 2106, 2122, 2242, 2467 (2019)); the </w:t>
      </w:r>
      <w:r>
        <w:rPr>
          <w:b/>
          <w:bCs/>
          <w:sz w:val="22"/>
          <w:szCs w:val="22"/>
          <w:rFonts w:ascii="Arial" w:cs="Arial" w:eastAsia="Arial" w:hAnsi="Arial"/>
        </w:rPr>
        <w:t xml:space="preserve">Rome Statute's</w:t>
      </w:r>
      <w:r>
        <w:rPr>
          <w:sz w:val="22"/>
          <w:szCs w:val="22"/>
          <w:rFonts w:ascii="Arial" w:cs="Arial" w:eastAsia="Arial" w:hAnsi="Arial"/>
        </w:rPr>
        <w:t xml:space="preserve"> listing of rape, sexual slavery, enforced prostitution, forced pregnancy, enforced sterilisation and other sexual violence as war crimes and crimes against humanity (Arts 7(1)(g), 8(2)(b)(xxii)); the </w:t>
      </w:r>
      <w:r>
        <w:rPr>
          <w:b/>
          <w:bCs/>
          <w:sz w:val="22"/>
          <w:szCs w:val="22"/>
          <w:rFonts w:ascii="Arial" w:cs="Arial" w:eastAsia="Arial" w:hAnsi="Arial"/>
        </w:rPr>
        <w:t xml:space="preserve">Palermo Protocol (2000)</w:t>
      </w:r>
      <w:r>
        <w:rPr>
          <w:sz w:val="22"/>
          <w:szCs w:val="22"/>
          <w:rFonts w:ascii="Arial" w:cs="Arial" w:eastAsia="Arial" w:hAnsi="Arial"/>
        </w:rPr>
        <w:t xml:space="preserve"> on trafficking; the </w:t>
      </w:r>
      <w:r>
        <w:rPr>
          <w:b/>
          <w:bCs/>
          <w:sz w:val="22"/>
          <w:szCs w:val="22"/>
          <w:rFonts w:ascii="Arial" w:cs="Arial" w:eastAsia="Arial" w:hAnsi="Arial"/>
        </w:rPr>
        <w:t xml:space="preserve">Istanbul Convention (2011)</w:t>
      </w:r>
      <w:r>
        <w:rPr>
          <w:sz w:val="22"/>
          <w:szCs w:val="22"/>
          <w:rFonts w:ascii="Arial" w:cs="Arial" w:eastAsia="Arial" w:hAnsi="Arial"/>
        </w:rPr>
        <w:t xml:space="preserve"> of the Council of Europe on violence against women; the </w:t>
      </w:r>
      <w:r>
        <w:rPr>
          <w:b/>
          <w:bCs/>
          <w:sz w:val="22"/>
          <w:szCs w:val="22"/>
          <w:rFonts w:ascii="Arial" w:cs="Arial" w:eastAsia="Arial" w:hAnsi="Arial"/>
        </w:rPr>
        <w:t xml:space="preserve">Belém do Pará Convention (1994)</w:t>
      </w:r>
      <w:r>
        <w:rPr>
          <w:sz w:val="22"/>
          <w:szCs w:val="22"/>
          <w:rFonts w:ascii="Arial" w:cs="Arial" w:eastAsia="Arial" w:hAnsi="Arial"/>
        </w:rPr>
        <w:t xml:space="preserve"> and the </w:t>
      </w:r>
      <w:r>
        <w:rPr>
          <w:b/>
          <w:bCs/>
          <w:sz w:val="22"/>
          <w:szCs w:val="22"/>
          <w:rFonts w:ascii="Arial" w:cs="Arial" w:eastAsia="Arial" w:hAnsi="Arial"/>
        </w:rPr>
        <w:t xml:space="preserve">Maputo Protocol (2003)</w:t>
      </w:r>
      <w:r>
        <w:rPr>
          <w:sz w:val="22"/>
          <w:szCs w:val="22"/>
          <w:rFonts w:ascii="Arial" w:cs="Arial" w:eastAsia="Arial" w:hAnsi="Arial"/>
        </w:rPr>
        <w:t xml:space="preserve">; the </w:t>
      </w:r>
      <w:r>
        <w:rPr>
          <w:b/>
          <w:bCs/>
          <w:sz w:val="22"/>
          <w:szCs w:val="22"/>
          <w:rFonts w:ascii="Arial" w:cs="Arial" w:eastAsia="Arial" w:hAnsi="Arial"/>
        </w:rPr>
        <w:t xml:space="preserve">ILO Convention 190 (2019)</w:t>
      </w:r>
      <w:r>
        <w:rPr>
          <w:sz w:val="22"/>
          <w:szCs w:val="22"/>
          <w:rFonts w:ascii="Arial" w:cs="Arial" w:eastAsia="Arial" w:hAnsi="Arial"/>
        </w:rPr>
        <w:t xml:space="preserve"> on violence and harassment at work; the </w:t>
      </w:r>
      <w:r>
        <w:rPr>
          <w:b/>
          <w:bCs/>
          <w:sz w:val="22"/>
          <w:szCs w:val="22"/>
          <w:rFonts w:ascii="Arial" w:cs="Arial" w:eastAsia="Arial" w:hAnsi="Arial"/>
        </w:rPr>
        <w:t xml:space="preserve">Sustainable Development Goal 5</w:t>
      </w:r>
      <w:r>
        <w:rPr>
          <w:sz w:val="22"/>
          <w:szCs w:val="22"/>
          <w:rFonts w:ascii="Arial" w:cs="Arial" w:eastAsia="Arial" w:hAnsi="Arial"/>
        </w:rPr>
        <w:t xml:space="preserve">; and </w:t>
      </w:r>
      <w:r>
        <w:rPr>
          <w:b/>
          <w:bCs/>
          <w:sz w:val="22"/>
          <w:szCs w:val="22"/>
          <w:rFonts w:ascii="Arial" w:cs="Arial" w:eastAsia="Arial" w:hAnsi="Arial"/>
        </w:rPr>
        <w:t xml:space="preserve">UN Women (2010)</w:t>
      </w:r>
      <w:r>
        <w:rPr>
          <w:sz w:val="22"/>
          <w:szCs w:val="22"/>
          <w:rFonts w:ascii="Arial" w:cs="Arial" w:eastAsia="Arial" w:hAnsi="Arial"/>
        </w:rPr>
        <w:t xml:space="preserve">.</w:t>
      </w:r>
    </w:p>
    <w:p>
      <w:pPr>
        <w:spacing w:before="240" w:after="120"/>
      </w:pPr>
      <w:r>
        <w:rPr>
          <w:b/>
          <w:bCs/>
          <w:color w:val="404040"/>
          <w:sz w:val="23"/>
          <w:szCs w:val="23"/>
          <w:rFonts w:ascii="Arial" w:cs="Arial" w:eastAsia="Arial" w:hAnsi="Arial"/>
        </w:rPr>
        <w:t xml:space="preserve">India, CEDAW and the courts</w:t>
      </w:r>
    </w:p>
    <w:p>
      <w:pPr>
        <w:spacing w:after="120" w:line="300"/>
        <w:jc w:val="both"/>
      </w:pPr>
      <w:r>
        <w:rPr>
          <w:sz w:val="22"/>
          <w:szCs w:val="22"/>
          <w:rFonts w:ascii="Arial" w:cs="Arial" w:eastAsia="Arial" w:hAnsi="Arial"/>
        </w:rPr>
        <w:t xml:space="preserve">India signed CEDAW on 30 July 1980 and ratified it on 9 July 1993, with </w:t>
      </w:r>
      <w:r>
        <w:rPr>
          <w:b/>
          <w:bCs/>
          <w:sz w:val="22"/>
          <w:szCs w:val="22"/>
          <w:rFonts w:ascii="Arial" w:cs="Arial" w:eastAsia="Arial" w:hAnsi="Arial"/>
        </w:rPr>
        <w:t xml:space="preserve">declarations</w:t>
      </w:r>
      <w:r>
        <w:rPr>
          <w:sz w:val="22"/>
          <w:szCs w:val="22"/>
          <w:rFonts w:ascii="Arial" w:cs="Arial" w:eastAsia="Arial" w:hAnsi="Arial"/>
        </w:rPr>
        <w:t xml:space="preserve">: (1) on </w:t>
      </w:r>
      <w:r>
        <w:rPr>
          <w:b/>
          <w:bCs/>
          <w:sz w:val="22"/>
          <w:szCs w:val="22"/>
          <w:rFonts w:ascii="Arial" w:cs="Arial" w:eastAsia="Arial" w:hAnsi="Arial"/>
        </w:rPr>
        <w:t xml:space="preserve">Arts 5(a) and 16(1)</w:t>
      </w:r>
      <w:r>
        <w:rPr>
          <w:sz w:val="22"/>
          <w:szCs w:val="22"/>
          <w:rFonts w:ascii="Arial" w:cs="Arial" w:eastAsia="Arial" w:hAnsi="Arial"/>
        </w:rPr>
        <w:t xml:space="preserve"> — 'the Government of the Republic of India declares that it shall abide by and ensure these provisions in conformity with its policy of non-interference in the personal affairs of any Community without its initiative and consent' — the personal-law caveat; (2) on </w:t>
      </w:r>
      <w:r>
        <w:rPr>
          <w:b/>
          <w:bCs/>
          <w:sz w:val="22"/>
          <w:szCs w:val="22"/>
          <w:rFonts w:ascii="Arial" w:cs="Arial" w:eastAsia="Arial" w:hAnsi="Arial"/>
        </w:rPr>
        <w:t xml:space="preserve">Art 16(2)</w:t>
      </w:r>
      <w:r>
        <w:rPr>
          <w:sz w:val="22"/>
          <w:szCs w:val="22"/>
          <w:rFonts w:ascii="Arial" w:cs="Arial" w:eastAsia="Arial" w:hAnsi="Arial"/>
        </w:rPr>
        <w:t xml:space="preserve"> — 'though in principle it fully supports the principle of compulsory registration of marriages, it is not practical in a vast country like India with its variety of customs, religions and level of literacy'; and a </w:t>
      </w:r>
      <w:r>
        <w:rPr>
          <w:b/>
          <w:bCs/>
          <w:sz w:val="22"/>
          <w:szCs w:val="22"/>
          <w:rFonts w:ascii="Arial" w:cs="Arial" w:eastAsia="Arial" w:hAnsi="Arial"/>
        </w:rPr>
        <w:t xml:space="preserve">reservation</w:t>
      </w:r>
      <w:r>
        <w:rPr>
          <w:sz w:val="22"/>
          <w:szCs w:val="22"/>
          <w:rFonts w:ascii="Arial" w:cs="Arial" w:eastAsia="Arial" w:hAnsi="Arial"/>
        </w:rPr>
        <w:t xml:space="preserve"> on </w:t>
      </w:r>
      <w:r>
        <w:rPr>
          <w:b/>
          <w:bCs/>
          <w:sz w:val="22"/>
          <w:szCs w:val="22"/>
          <w:rFonts w:ascii="Arial" w:cs="Arial" w:eastAsia="Arial" w:hAnsi="Arial"/>
        </w:rPr>
        <w:t xml:space="preserve">Art 29(1)</w:t>
      </w:r>
      <w:r>
        <w:rPr>
          <w:sz w:val="22"/>
          <w:szCs w:val="22"/>
          <w:rFonts w:ascii="Arial" w:cs="Arial" w:eastAsia="Arial" w:hAnsi="Arial"/>
        </w:rPr>
        <w:t xml:space="preserve"> (ICJ jurisdiction). The Committee has repeatedly asked India to withdraw the declarations (concluding observations 2000, 2007, 2014) and pressed on personal laws, the Uniform Civil Code, the Gujarat and Manipur violence, marital rape (the exception in Sec 375 IPC/Sec 63 BNS), dowry deaths, sex-selective abortion, honour killings, the Armed Forces (Special Powers) Act, and the two-child norm; India's last report was reviewed in 2014 and the next is overdue. </w:t>
      </w:r>
      <w:r>
        <w:rPr>
          <w:b/>
          <w:bCs/>
          <w:sz w:val="22"/>
          <w:szCs w:val="22"/>
          <w:rFonts w:ascii="Arial" w:cs="Arial" w:eastAsia="Arial" w:hAnsi="Arial"/>
        </w:rPr>
        <w:t xml:space="preserve">The courts</w:t>
      </w:r>
      <w:r>
        <w:rPr>
          <w:sz w:val="22"/>
          <w:szCs w:val="22"/>
          <w:rFonts w:ascii="Arial" w:cs="Arial" w:eastAsia="Arial" w:hAnsi="Arial"/>
        </w:rPr>
        <w:t xml:space="preserve">: </w:t>
      </w:r>
      <w:r>
        <w:rPr>
          <w:b/>
          <w:bCs/>
          <w:sz w:val="22"/>
          <w:szCs w:val="22"/>
          <w:rFonts w:ascii="Arial" w:cs="Arial" w:eastAsia="Arial" w:hAnsi="Arial"/>
        </w:rPr>
        <w:t xml:space="preserve">Vishaka (1997)</w:t>
      </w:r>
      <w:r>
        <w:rPr>
          <w:sz w:val="22"/>
          <w:szCs w:val="22"/>
          <w:rFonts w:ascii="Arial" w:cs="Arial" w:eastAsia="Arial" w:hAnsi="Arial"/>
        </w:rPr>
        <w:t xml:space="preserve"> — CEDAW Arts 11, 24 and GR 19 read into Arts 14, 15, 19(1)(g), 21 and 32 to lay down the sexual-harassment guidelines (definition, the employer's duty, complaints committees headed by a woman with a third-party member, disciplinary action, criminal complaints, awareness); </w:t>
      </w:r>
      <w:r>
        <w:rPr>
          <w:b/>
          <w:bCs/>
          <w:sz w:val="22"/>
          <w:szCs w:val="22"/>
          <w:rFonts w:ascii="Arial" w:cs="Arial" w:eastAsia="Arial" w:hAnsi="Arial"/>
        </w:rPr>
        <w:t xml:space="preserve">Apparel Export Promotion Council v. A.K. Chopra (1999)</w:t>
      </w:r>
      <w:r>
        <w:rPr>
          <w:sz w:val="22"/>
          <w:szCs w:val="22"/>
          <w:rFonts w:ascii="Arial" w:cs="Arial" w:eastAsia="Arial" w:hAnsi="Arial"/>
        </w:rPr>
        <w:t xml:space="preserve"> — the dismissal of an officer for attempted molestation upheld; the 'international instruments cast an obligation on the Indian State to gender-sensitise its laws'; </w:t>
      </w:r>
      <w:r>
        <w:rPr>
          <w:b/>
          <w:bCs/>
          <w:sz w:val="22"/>
          <w:szCs w:val="22"/>
          <w:rFonts w:ascii="Arial" w:cs="Arial" w:eastAsia="Arial" w:hAnsi="Arial"/>
        </w:rPr>
        <w:t xml:space="preserve">Madhu Kishwar v. State of Bihar (1996)</w:t>
      </w:r>
      <w:r>
        <w:rPr>
          <w:sz w:val="22"/>
          <w:szCs w:val="22"/>
          <w:rFonts w:ascii="Arial" w:cs="Arial" w:eastAsia="Arial" w:hAnsi="Arial"/>
        </w:rPr>
        <w:t xml:space="preserve"> — the Chotanagpur Tenancy Act's exclusion of tribal women from inheritance was not struck down but the majority gave them a right to hold the land during their lifetime, citing CEDAW and the Vienna Declaration; </w:t>
      </w:r>
      <w:r>
        <w:rPr>
          <w:b/>
          <w:bCs/>
          <w:sz w:val="22"/>
          <w:szCs w:val="22"/>
          <w:rFonts w:ascii="Arial" w:cs="Arial" w:eastAsia="Arial" w:hAnsi="Arial"/>
        </w:rPr>
        <w:t xml:space="preserve">C. Masilamani Mudaliar v. Idol of Sri Swaminathaswami (1996)</w:t>
      </w:r>
      <w:r>
        <w:rPr>
          <w:sz w:val="22"/>
          <w:szCs w:val="22"/>
          <w:rFonts w:ascii="Arial" w:cs="Arial" w:eastAsia="Arial" w:hAnsi="Arial"/>
        </w:rPr>
        <w:t xml:space="preserve"> — women's property rights under Sec 14 of the Hindu Succession Act read with CEDAW and the UDHR; </w:t>
      </w:r>
      <w:r>
        <w:rPr>
          <w:b/>
          <w:bCs/>
          <w:sz w:val="22"/>
          <w:szCs w:val="22"/>
          <w:rFonts w:ascii="Arial" w:cs="Arial" w:eastAsia="Arial" w:hAnsi="Arial"/>
        </w:rPr>
        <w:t xml:space="preserve">Githa Hariharan v. RBI (1999)</w:t>
      </w:r>
      <w:r>
        <w:rPr>
          <w:sz w:val="22"/>
          <w:szCs w:val="22"/>
          <w:rFonts w:ascii="Arial" w:cs="Arial" w:eastAsia="Arial" w:hAnsi="Arial"/>
        </w:rPr>
        <w:t xml:space="preserve"> — the mother as natural guardian, citing CEDAW and the Beijing Declaration; </w:t>
      </w:r>
      <w:r>
        <w:rPr>
          <w:b/>
          <w:bCs/>
          <w:sz w:val="22"/>
          <w:szCs w:val="22"/>
          <w:rFonts w:ascii="Arial" w:cs="Arial" w:eastAsia="Arial" w:hAnsi="Arial"/>
        </w:rPr>
        <w:t xml:space="preserve">Municipal Corporation of Delhi v. Female Workers (Muster Roll) (2000)</w:t>
      </w:r>
      <w:r>
        <w:rPr>
          <w:sz w:val="22"/>
          <w:szCs w:val="22"/>
          <w:rFonts w:ascii="Arial" w:cs="Arial" w:eastAsia="Arial" w:hAnsi="Arial"/>
        </w:rPr>
        <w:t xml:space="preserve"> — maternity benefit for daily-wage women, citing Art 11 CEDAW and the UDHR; </w:t>
      </w:r>
      <w:r>
        <w:rPr>
          <w:b/>
          <w:bCs/>
          <w:sz w:val="22"/>
          <w:szCs w:val="22"/>
          <w:rFonts w:ascii="Arial" w:cs="Arial" w:eastAsia="Arial" w:hAnsi="Arial"/>
        </w:rPr>
        <w:t xml:space="preserve">Air India v. Nergesh Meerza (1981)</w:t>
      </w:r>
      <w:r>
        <w:rPr>
          <w:sz w:val="22"/>
          <w:szCs w:val="22"/>
          <w:rFonts w:ascii="Arial" w:cs="Arial" w:eastAsia="Arial" w:hAnsi="Arial"/>
        </w:rPr>
        <w:t xml:space="preserve"> (before ratification, the pregnancy-termination rule struck down under Art 14); </w:t>
      </w:r>
      <w:r>
        <w:rPr>
          <w:b/>
          <w:bCs/>
          <w:sz w:val="22"/>
          <w:szCs w:val="22"/>
          <w:rFonts w:ascii="Arial" w:cs="Arial" w:eastAsia="Arial" w:hAnsi="Arial"/>
        </w:rPr>
        <w:t xml:space="preserve">Anuj Garg v. Hotel Association of India (2008)</w:t>
      </w:r>
      <w:r>
        <w:rPr>
          <w:sz w:val="22"/>
          <w:szCs w:val="22"/>
          <w:rFonts w:ascii="Arial" w:cs="Arial" w:eastAsia="Arial" w:hAnsi="Arial"/>
        </w:rPr>
        <w:t xml:space="preserve"> — protective discrimination against women bartenders struck down as stereotyping (Art 5(a) logic); </w:t>
      </w:r>
      <w:r>
        <w:rPr>
          <w:b/>
          <w:bCs/>
          <w:sz w:val="22"/>
          <w:szCs w:val="22"/>
          <w:rFonts w:ascii="Arial" w:cs="Arial" w:eastAsia="Arial" w:hAnsi="Arial"/>
        </w:rPr>
        <w:t xml:space="preserve">Charu Khurana v. Union of India (2015)</w:t>
      </w:r>
      <w:r>
        <w:rPr>
          <w:sz w:val="22"/>
          <w:szCs w:val="22"/>
          <w:rFonts w:ascii="Arial" w:cs="Arial" w:eastAsia="Arial" w:hAnsi="Arial"/>
        </w:rPr>
        <w:t xml:space="preserve"> — the film make-up artists' association's ban on women members struck down; </w:t>
      </w:r>
      <w:r>
        <w:rPr>
          <w:b/>
          <w:bCs/>
          <w:sz w:val="22"/>
          <w:szCs w:val="22"/>
          <w:rFonts w:ascii="Arial" w:cs="Arial" w:eastAsia="Arial" w:hAnsi="Arial"/>
        </w:rPr>
        <w:t xml:space="preserve">Shayara Bano v. Union of India (2017)</w:t>
      </w:r>
      <w:r>
        <w:rPr>
          <w:sz w:val="22"/>
          <w:szCs w:val="22"/>
          <w:rFonts w:ascii="Arial" w:cs="Arial" w:eastAsia="Arial" w:hAnsi="Arial"/>
        </w:rPr>
        <w:t xml:space="preserve"> — triple talaq unconstitutional (the minority referred to CEDAW; the majority relied on arbitrariness); </w:t>
      </w:r>
      <w:r>
        <w:rPr>
          <w:b/>
          <w:bCs/>
          <w:sz w:val="22"/>
          <w:szCs w:val="22"/>
          <w:rFonts w:ascii="Arial" w:cs="Arial" w:eastAsia="Arial" w:hAnsi="Arial"/>
        </w:rPr>
        <w:t xml:space="preserve">Joseph Shine v. Union of India (2018)</w:t>
      </w:r>
      <w:r>
        <w:rPr>
          <w:sz w:val="22"/>
          <w:szCs w:val="22"/>
          <w:rFonts w:ascii="Arial" w:cs="Arial" w:eastAsia="Arial" w:hAnsi="Arial"/>
        </w:rPr>
        <w:t xml:space="preserve"> — adultery (Sec 497 IPC) struck down as treating the wife as property (Art 16 CEDAW); </w:t>
      </w:r>
      <w:r>
        <w:rPr>
          <w:b/>
          <w:bCs/>
          <w:sz w:val="22"/>
          <w:szCs w:val="22"/>
          <w:rFonts w:ascii="Arial" w:cs="Arial" w:eastAsia="Arial" w:hAnsi="Arial"/>
        </w:rPr>
        <w:t xml:space="preserve">Indian Young Lawyers Association v. State of Kerala (Sabarimala, 2018)</w:t>
      </w:r>
      <w:r>
        <w:rPr>
          <w:sz w:val="22"/>
          <w:szCs w:val="22"/>
          <w:rFonts w:ascii="Arial" w:cs="Arial" w:eastAsia="Arial" w:hAnsi="Arial"/>
        </w:rPr>
        <w:t xml:space="preserve">; </w:t>
      </w:r>
      <w:r>
        <w:rPr>
          <w:b/>
          <w:bCs/>
          <w:sz w:val="22"/>
          <w:szCs w:val="22"/>
          <w:rFonts w:ascii="Arial" w:cs="Arial" w:eastAsia="Arial" w:hAnsi="Arial"/>
        </w:rPr>
        <w:t xml:space="preserve">Secretary, Ministry of Defence v. Babita Puniya (2020)</w:t>
      </w:r>
      <w:r>
        <w:rPr>
          <w:sz w:val="22"/>
          <w:szCs w:val="22"/>
          <w:rFonts w:ascii="Arial" w:cs="Arial" w:eastAsia="Arial" w:hAnsi="Arial"/>
        </w:rPr>
        <w:t xml:space="preserve"> — permanent commission for women army officers, rejecting stereotypes (Art 5(a)); </w:t>
      </w:r>
      <w:r>
        <w:rPr>
          <w:b/>
          <w:bCs/>
          <w:sz w:val="22"/>
          <w:szCs w:val="22"/>
          <w:rFonts w:ascii="Arial" w:cs="Arial" w:eastAsia="Arial" w:hAnsi="Arial"/>
        </w:rPr>
        <w:t xml:space="preserve">X v. Principal Secretary, Health (2022)</w:t>
      </w:r>
      <w:r>
        <w:rPr>
          <w:sz w:val="22"/>
          <w:szCs w:val="22"/>
          <w:rFonts w:ascii="Arial" w:cs="Arial" w:eastAsia="Arial" w:hAnsi="Arial"/>
        </w:rPr>
        <w:t xml:space="preserve"> — unmarried women's abortion rights and the recognition of marital rape for MTP purposes. The 2013 Act, the Protection of Women from Domestic Violence Act 2005 (which cites CEDAW in its Statement of Objects — the first Indian Act to do so), the Criminal Law (Amendment) Act 2013 after the Delhi gang-rape (the Verma Committee's report used CEDAW and the international standards), the Maternity Benefit (Amendment) Act 2017 (26 weeks), the Prohibition of Child Marriage Act 2006, the Dowry Prohibition Act 1961, the PCPNDT Act 1994, the Hindu Succession (Amendment) Act 2005 (daughters as coparceners — Vineeta Sharma, 2020), the Constitution (106th Amendment) Act 2023 (one-third reservation for women in Parliament and Assemblies, pending delimitation), and the 73rd and 74th Amendments' panchayat reservations are the legislative side.</w:t>
      </w:r>
    </w:p>
    <w:p>
      <w:pPr>
        <w:spacing w:before="240" w:after="120"/>
      </w:pPr>
      <w:r>
        <w:rPr>
          <w:b/>
          <w:bCs/>
          <w:color w:val="404040"/>
          <w:sz w:val="23"/>
          <w:szCs w:val="23"/>
          <w:rFonts w:ascii="Arial" w:cs="Arial" w:eastAsia="Arial" w:hAnsi="Arial"/>
        </w:rPr>
        <w:t xml:space="preserve">Children — from Geneva 1924 to the Convention of 1989</w:t>
      </w:r>
    </w:p>
    <w:p>
      <w:pPr>
        <w:spacing w:after="120" w:line="300"/>
        <w:jc w:val="both"/>
      </w:pPr>
      <w:r>
        <w:rPr>
          <w:sz w:val="22"/>
          <w:szCs w:val="22"/>
          <w:rFonts w:ascii="Arial" w:cs="Arial" w:eastAsia="Arial" w:hAnsi="Arial"/>
        </w:rPr>
      </w:r>
      <w:r>
        <w:rPr>
          <w:b/>
          <w:bCs/>
          <w:sz w:val="22"/>
          <w:szCs w:val="22"/>
          <w:rFonts w:ascii="Arial" w:cs="Arial" w:eastAsia="Arial" w:hAnsi="Arial"/>
        </w:rPr>
        <w:t xml:space="preserve">Eglantyne Jebb's Save the Children Fund</w:t>
      </w:r>
      <w:r>
        <w:rPr>
          <w:sz w:val="22"/>
          <w:szCs w:val="22"/>
          <w:rFonts w:ascii="Arial" w:cs="Arial" w:eastAsia="Arial" w:hAnsi="Arial"/>
        </w:rPr>
        <w:t xml:space="preserve"> (1919) drafted the </w:t>
      </w:r>
      <w:r>
        <w:rPr>
          <w:b/>
          <w:bCs/>
          <w:sz w:val="22"/>
          <w:szCs w:val="22"/>
          <w:rFonts w:ascii="Arial" w:cs="Arial" w:eastAsia="Arial" w:hAnsi="Arial"/>
        </w:rPr>
        <w:t xml:space="preserve">Geneva Declaration of the Rights of the Child (1924)</w:t>
      </w:r>
      <w:r>
        <w:rPr>
          <w:sz w:val="22"/>
          <w:szCs w:val="22"/>
          <w:rFonts w:ascii="Arial" w:cs="Arial" w:eastAsia="Arial" w:hAnsi="Arial"/>
        </w:rPr>
        <w:t xml:space="preserve">, adopted by the League of Nations — five principles: the child must be given the means for normal development; must be fed, nursed, reclaimed, sheltered; must be the first to receive relief in distress; must be protected against exploitation; must be brought up in the consciousness of service. The UDHR's Art 25(2) ('motherhood and childhood are entitled to special care and assistance'). The </w:t>
      </w:r>
      <w:r>
        <w:rPr>
          <w:b/>
          <w:bCs/>
          <w:sz w:val="22"/>
          <w:szCs w:val="22"/>
          <w:rFonts w:ascii="Arial" w:cs="Arial" w:eastAsia="Arial" w:hAnsi="Arial"/>
        </w:rPr>
        <w:t xml:space="preserve">UN Declaration of the Rights of the Child (General Assembly, 20 November 1959)</w:t>
      </w:r>
      <w:r>
        <w:rPr>
          <w:sz w:val="22"/>
          <w:szCs w:val="22"/>
          <w:rFonts w:ascii="Arial" w:cs="Arial" w:eastAsia="Arial" w:hAnsi="Arial"/>
        </w:rPr>
        <w:t xml:space="preserve"> — ten principles: (1) all rights without discrimination; (2) special protection and opportunities for development, 'the best interests of the child shall be the paramount consideration'; (3) a name and nationality; (4) social security, nutrition, housing, recreation and medical services, pre-natal and post-natal care; (5) special treatment for the handicapped; (6) love and understanding, the care of parents, no separation from the mother in tender years except in exceptional circumstances, society's duty to the family-less; (7) free and compulsory education at least in the elementary stages, play and recreation; (8) first to receive protection and relief; (9) protection against neglect, cruelty and exploitation, no employment before a minimum age; (10) protection from discrimination, upbringing in tolerance and peace. The </w:t>
      </w:r>
      <w:r>
        <w:rPr>
          <w:b/>
          <w:bCs/>
          <w:sz w:val="22"/>
          <w:szCs w:val="22"/>
          <w:rFonts w:ascii="Arial" w:cs="Arial" w:eastAsia="Arial" w:hAnsi="Arial"/>
        </w:rPr>
        <w:t xml:space="preserve">International Year of the Child (1979)</w:t>
      </w:r>
      <w:r>
        <w:rPr>
          <w:sz w:val="22"/>
          <w:szCs w:val="22"/>
          <w:rFonts w:ascii="Arial" w:cs="Arial" w:eastAsia="Arial" w:hAnsi="Arial"/>
        </w:rPr>
        <w:t xml:space="preserve"> and Poland's proposal led to ten years of drafting and the </w:t>
      </w:r>
      <w:r>
        <w:rPr>
          <w:b/>
          <w:bCs/>
          <w:sz w:val="22"/>
          <w:szCs w:val="22"/>
          <w:rFonts w:ascii="Arial" w:cs="Arial" w:eastAsia="Arial" w:hAnsi="Arial"/>
        </w:rPr>
        <w:t xml:space="preserve">Convention on the Rights of the Child (General Assembly, 20 November 1989; in force 2 September 1990)</w:t>
      </w:r>
      <w:r>
        <w:rPr>
          <w:sz w:val="22"/>
          <w:szCs w:val="22"/>
          <w:rFonts w:ascii="Arial" w:cs="Arial" w:eastAsia="Arial" w:hAnsi="Arial"/>
        </w:rPr>
        <w:t xml:space="preserve"> — the most ratified human-rights treaty (196 parties — every State except the United States).</w:t>
      </w:r>
    </w:p>
    <w:p>
      <w:pPr>
        <w:spacing w:before="240" w:after="120"/>
      </w:pPr>
      <w:r>
        <w:rPr>
          <w:b/>
          <w:bCs/>
          <w:color w:val="404040"/>
          <w:sz w:val="23"/>
          <w:szCs w:val="23"/>
          <w:rFonts w:ascii="Arial" w:cs="Arial" w:eastAsia="Arial" w:hAnsi="Arial"/>
        </w:rPr>
        <w:t xml:space="preserve">The Convention on the Rights of the Child</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Art 1</w:t>
      </w:r>
      <w:r>
        <w:rPr>
          <w:sz w:val="22"/>
          <w:szCs w:val="22"/>
          <w:rFonts w:ascii="Arial" w:cs="Arial" w:eastAsia="Arial" w:hAnsi="Arial"/>
        </w:rPr>
        <w:t xml:space="preserve"> — a child is every human being below eighteen unless majority is attained earlier under the applicable law. </w:t>
      </w:r>
      <w:r>
        <w:rPr>
          <w:b/>
          <w:bCs/>
          <w:sz w:val="22"/>
          <w:szCs w:val="22"/>
          <w:rFonts w:ascii="Arial" w:cs="Arial" w:eastAsia="Arial" w:hAnsi="Arial"/>
        </w:rPr>
        <w:t xml:space="preserve">The four general principles</w:t>
      </w:r>
      <w:r>
        <w:rPr>
          <w:sz w:val="22"/>
          <w:szCs w:val="22"/>
          <w:rFonts w:ascii="Arial" w:cs="Arial" w:eastAsia="Arial" w:hAnsi="Arial"/>
        </w:rPr>
        <w:t xml:space="preserve"> (the Committee's General Comment 5): </w:t>
      </w:r>
      <w:r>
        <w:rPr>
          <w:b/>
          <w:bCs/>
          <w:sz w:val="22"/>
          <w:szCs w:val="22"/>
          <w:rFonts w:ascii="Arial" w:cs="Arial" w:eastAsia="Arial" w:hAnsi="Arial"/>
        </w:rPr>
        <w:t xml:space="preserve">non-discrimination (Art 2)</w:t>
      </w:r>
      <w:r>
        <w:rPr>
          <w:sz w:val="22"/>
          <w:szCs w:val="22"/>
          <w:rFonts w:ascii="Arial" w:cs="Arial" w:eastAsia="Arial" w:hAnsi="Arial"/>
        </w:rPr>
        <w:t xml:space="preserve">; </w:t>
      </w:r>
      <w:r>
        <w:rPr>
          <w:b/>
          <w:bCs/>
          <w:sz w:val="22"/>
          <w:szCs w:val="22"/>
          <w:rFonts w:ascii="Arial" w:cs="Arial" w:eastAsia="Arial" w:hAnsi="Arial"/>
        </w:rPr>
        <w:t xml:space="preserve">the best interests of the child as a primary consideration in all actions</w:t>
      </w:r>
      <w:r>
        <w:rPr>
          <w:sz w:val="22"/>
          <w:szCs w:val="22"/>
          <w:rFonts w:ascii="Arial" w:cs="Arial" w:eastAsia="Arial" w:hAnsi="Arial"/>
        </w:rPr>
        <w:t xml:space="preserve"> (Art 3 — GC 14); </w:t>
      </w:r>
      <w:r>
        <w:rPr>
          <w:b/>
          <w:bCs/>
          <w:sz w:val="22"/>
          <w:szCs w:val="22"/>
          <w:rFonts w:ascii="Arial" w:cs="Arial" w:eastAsia="Arial" w:hAnsi="Arial"/>
        </w:rPr>
        <w:t xml:space="preserve">the right to life, survival and development (Art 6)</w:t>
      </w:r>
      <w:r>
        <w:rPr>
          <w:sz w:val="22"/>
          <w:szCs w:val="22"/>
          <w:rFonts w:ascii="Arial" w:cs="Arial" w:eastAsia="Arial" w:hAnsi="Arial"/>
        </w:rPr>
        <w:t xml:space="preserve">; and </w:t>
      </w:r>
      <w:r>
        <w:rPr>
          <w:b/>
          <w:bCs/>
          <w:sz w:val="22"/>
          <w:szCs w:val="22"/>
          <w:rFonts w:ascii="Arial" w:cs="Arial" w:eastAsia="Arial" w:hAnsi="Arial"/>
        </w:rPr>
        <w:t xml:space="preserve">respect for the views of the child</w:t>
      </w:r>
      <w:r>
        <w:rPr>
          <w:sz w:val="22"/>
          <w:szCs w:val="22"/>
          <w:rFonts w:ascii="Arial" w:cs="Arial" w:eastAsia="Arial" w:hAnsi="Arial"/>
        </w:rPr>
        <w:t xml:space="preserve"> — the right to be heard in all matters affecting the child, given due weight in accordance with age and maturity, including in judicial and administrative proceedings (Art 12 — GC 12). </w:t>
      </w:r>
      <w:r>
        <w:rPr>
          <w:b/>
          <w:bCs/>
          <w:sz w:val="22"/>
          <w:szCs w:val="22"/>
          <w:rFonts w:ascii="Arial" w:cs="Arial" w:eastAsia="Arial" w:hAnsi="Arial"/>
        </w:rPr>
        <w:t xml:space="preserve">The rights</w:t>
      </w:r>
      <w:r>
        <w:rPr>
          <w:sz w:val="22"/>
          <w:szCs w:val="22"/>
          <w:rFonts w:ascii="Arial" w:cs="Arial" w:eastAsia="Arial" w:hAnsi="Arial"/>
        </w:rPr>
        <w:t xml:space="preserve">, conventionally grouped as the '4 Ps' — provision, protection, participation, prevention — or as: </w:t>
      </w:r>
      <w:r>
        <w:rPr>
          <w:b/>
          <w:bCs/>
          <w:sz w:val="22"/>
          <w:szCs w:val="22"/>
          <w:rFonts w:ascii="Arial" w:cs="Arial" w:eastAsia="Arial" w:hAnsi="Arial"/>
        </w:rPr>
        <w:t xml:space="preserve">civil rights and freedoms</w:t>
      </w:r>
      <w:r>
        <w:rPr>
          <w:sz w:val="22"/>
          <w:szCs w:val="22"/>
          <w:rFonts w:ascii="Arial" w:cs="Arial" w:eastAsia="Arial" w:hAnsi="Arial"/>
        </w:rPr>
        <w:t xml:space="preserve"> — name, nationality and registration at birth (Art 7), preservation of identity (Art 8), expression (13), thought, conscience and religion (14), association (15), privacy (16), access to information and the media's role (17), no torture or capital punishment or life without parole for under-eighteens (37(a)); </w:t>
      </w:r>
      <w:r>
        <w:rPr>
          <w:b/>
          <w:bCs/>
          <w:sz w:val="22"/>
          <w:szCs w:val="22"/>
          <w:rFonts w:ascii="Arial" w:cs="Arial" w:eastAsia="Arial" w:hAnsi="Arial"/>
        </w:rPr>
        <w:t xml:space="preserve">family environment and alternative care</w:t>
      </w:r>
      <w:r>
        <w:rPr>
          <w:sz w:val="22"/>
          <w:szCs w:val="22"/>
          <w:rFonts w:ascii="Arial" w:cs="Arial" w:eastAsia="Arial" w:hAnsi="Arial"/>
        </w:rPr>
        <w:t xml:space="preserve"> — no separation from parents except in the child's best interests (9), family reunification (10), no illicit transfer abroad (11), parents' common responsibilities and State support (18), protection from all forms of violence, abuse and neglect (19), alternative care for the child deprived of a family (20), adoption with the best interests as the paramount consideration and inter-country adoption as a last resort (21 — India's Hague Convention obligations, the CARA system), refugee children (22), periodic review of placement (25), recovery of maintenance (27(4)); </w:t>
      </w:r>
      <w:r>
        <w:rPr>
          <w:b/>
          <w:bCs/>
          <w:sz w:val="22"/>
          <w:szCs w:val="22"/>
          <w:rFonts w:ascii="Arial" w:cs="Arial" w:eastAsia="Arial" w:hAnsi="Arial"/>
        </w:rPr>
        <w:t xml:space="preserve">basic health and welfare</w:t>
      </w:r>
      <w:r>
        <w:rPr>
          <w:sz w:val="22"/>
          <w:szCs w:val="22"/>
          <w:rFonts w:ascii="Arial" w:cs="Arial" w:eastAsia="Arial" w:hAnsi="Arial"/>
        </w:rPr>
        <w:t xml:space="preserve"> — the disabled child (23), the highest attainable standard of health (24 — with the abolition of harmful traditional practices, 24(3)), social security (26), an adequate standard of living (27); </w:t>
      </w:r>
      <w:r>
        <w:rPr>
          <w:b/>
          <w:bCs/>
          <w:sz w:val="22"/>
          <w:szCs w:val="22"/>
          <w:rFonts w:ascii="Arial" w:cs="Arial" w:eastAsia="Arial" w:hAnsi="Arial"/>
        </w:rPr>
        <w:t xml:space="preserve">education, leisure and culture</w:t>
      </w:r>
      <w:r>
        <w:rPr>
          <w:sz w:val="22"/>
          <w:szCs w:val="22"/>
          <w:rFonts w:ascii="Arial" w:cs="Arial" w:eastAsia="Arial" w:hAnsi="Arial"/>
        </w:rPr>
        <w:t xml:space="preserve"> — education, free and compulsory primary, secondary available, discipline consistent with dignity (28), the aims of education (29), minority and indigenous children's culture (30), rest, play and culture (31); </w:t>
      </w:r>
      <w:r>
        <w:rPr>
          <w:b/>
          <w:bCs/>
          <w:sz w:val="22"/>
          <w:szCs w:val="22"/>
          <w:rFonts w:ascii="Arial" w:cs="Arial" w:eastAsia="Arial" w:hAnsi="Arial"/>
        </w:rPr>
        <w:t xml:space="preserve">special protection measures</w:t>
      </w:r>
      <w:r>
        <w:rPr>
          <w:sz w:val="22"/>
          <w:szCs w:val="22"/>
          <w:rFonts w:ascii="Arial" w:cs="Arial" w:eastAsia="Arial" w:hAnsi="Arial"/>
        </w:rPr>
        <w:t xml:space="preserve"> — refugee children (22), children in armed conflict (38 — no recruitment under fifteen; raised to eighteen by the 2000 Protocol), economic exploitation and child labour (32), drugs (33), sexual exploitation and abuse (34), abduction, sale and trafficking (35), other exploitation (36), torture, deprivation of liberty as a last resort and for the shortest time, separation from adults, contact with family, legal assistance (37), recovery and reintegration of victims (39), </w:t>
      </w:r>
      <w:r>
        <w:rPr>
          <w:b/>
          <w:bCs/>
          <w:sz w:val="22"/>
          <w:szCs w:val="22"/>
          <w:rFonts w:ascii="Arial" w:cs="Arial" w:eastAsia="Arial" w:hAnsi="Arial"/>
        </w:rPr>
        <w:t xml:space="preserve">juvenile justice</w:t>
      </w:r>
      <w:r>
        <w:rPr>
          <w:sz w:val="22"/>
          <w:szCs w:val="22"/>
          <w:rFonts w:ascii="Arial" w:cs="Arial" w:eastAsia="Arial" w:hAnsi="Arial"/>
        </w:rPr>
        <w:t xml:space="preserve"> (40 — the presumption of innocence, notice, a fair hearing, no self-incrimination, appeal, interpreter, privacy; a minimum age of criminal responsibility; diversion; a variety of dispositions as alternatives to institutional care). </w:t>
      </w:r>
      <w:r>
        <w:rPr>
          <w:b/>
          <w:bCs/>
          <w:sz w:val="22"/>
          <w:szCs w:val="22"/>
          <w:rFonts w:ascii="Arial" w:cs="Arial" w:eastAsia="Arial" w:hAnsi="Arial"/>
        </w:rPr>
        <w:t xml:space="preserve">Art 4</w:t>
      </w:r>
      <w:r>
        <w:rPr>
          <w:sz w:val="22"/>
          <w:szCs w:val="22"/>
          <w:rFonts w:ascii="Arial" w:cs="Arial" w:eastAsia="Arial" w:hAnsi="Arial"/>
        </w:rPr>
        <w:t xml:space="preserve"> — implementation to the maximum extent of available resources for economic, social and cultural rights; </w:t>
      </w:r>
      <w:r>
        <w:rPr>
          <w:b/>
          <w:bCs/>
          <w:sz w:val="22"/>
          <w:szCs w:val="22"/>
          <w:rFonts w:ascii="Arial" w:cs="Arial" w:eastAsia="Arial" w:hAnsi="Arial"/>
        </w:rPr>
        <w:t xml:space="preserve">Art 5</w:t>
      </w:r>
      <w:r>
        <w:rPr>
          <w:sz w:val="22"/>
          <w:szCs w:val="22"/>
          <w:rFonts w:ascii="Arial" w:cs="Arial" w:eastAsia="Arial" w:hAnsi="Arial"/>
        </w:rPr>
        <w:t xml:space="preserve"> — the evolving capacities of the child and parents' guidance; </w:t>
      </w:r>
      <w:r>
        <w:rPr>
          <w:b/>
          <w:bCs/>
          <w:sz w:val="22"/>
          <w:szCs w:val="22"/>
          <w:rFonts w:ascii="Arial" w:cs="Arial" w:eastAsia="Arial" w:hAnsi="Arial"/>
        </w:rPr>
        <w:t xml:space="preserve">Art 41</w:t>
      </w:r>
      <w:r>
        <w:rPr>
          <w:sz w:val="22"/>
          <w:szCs w:val="22"/>
          <w:rFonts w:ascii="Arial" w:cs="Arial" w:eastAsia="Arial" w:hAnsi="Arial"/>
        </w:rPr>
        <w:t xml:space="preserve"> — more favourable national law. </w:t>
      </w:r>
      <w:r>
        <w:rPr>
          <w:b/>
          <w:bCs/>
          <w:sz w:val="22"/>
          <w:szCs w:val="22"/>
          <w:rFonts w:ascii="Arial" w:cs="Arial" w:eastAsia="Arial" w:hAnsi="Arial"/>
        </w:rPr>
        <w:t xml:space="preserve">Arts 42-45</w:t>
      </w:r>
      <w:r>
        <w:rPr>
          <w:sz w:val="22"/>
          <w:szCs w:val="22"/>
          <w:rFonts w:ascii="Arial" w:cs="Arial" w:eastAsia="Arial" w:hAnsi="Arial"/>
        </w:rPr>
        <w:t xml:space="preserve"> — the </w:t>
      </w:r>
      <w:r>
        <w:rPr>
          <w:b/>
          <w:bCs/>
          <w:sz w:val="22"/>
          <w:szCs w:val="22"/>
          <w:rFonts w:ascii="Arial" w:cs="Arial" w:eastAsia="Arial" w:hAnsi="Arial"/>
        </w:rPr>
        <w:t xml:space="preserve">Committee on the Rights of the Child</w:t>
      </w:r>
      <w:r>
        <w:rPr>
          <w:sz w:val="22"/>
          <w:szCs w:val="22"/>
          <w:rFonts w:ascii="Arial" w:cs="Arial" w:eastAsia="Arial" w:hAnsi="Arial"/>
        </w:rPr>
        <w:t xml:space="preserve"> (18 experts) — reports within two years and every five years, General Comments (26 — on HIV, adolescent health, early childhood, the best interests, the right to be heard, violence, business, the digital environment (GC 25, 2021), the environment and climate (GC 26, 2023)), and UNICEF's and the agencies' participation. </w:t>
      </w:r>
      <w:r>
        <w:rPr>
          <w:b/>
          <w:bCs/>
          <w:sz w:val="22"/>
          <w:szCs w:val="22"/>
          <w:rFonts w:ascii="Arial" w:cs="Arial" w:eastAsia="Arial" w:hAnsi="Arial"/>
        </w:rPr>
        <w:t xml:space="preserve">The Optional Protocols</w:t>
      </w:r>
      <w:r>
        <w:rPr>
          <w:sz w:val="22"/>
          <w:szCs w:val="22"/>
          <w:rFonts w:ascii="Arial" w:cs="Arial" w:eastAsia="Arial" w:hAnsi="Arial"/>
        </w:rPr>
        <w:t xml:space="preserve">: (1) </w:t>
      </w:r>
      <w:r>
        <w:rPr>
          <w:b/>
          <w:bCs/>
          <w:sz w:val="22"/>
          <w:szCs w:val="22"/>
          <w:rFonts w:ascii="Arial" w:cs="Arial" w:eastAsia="Arial" w:hAnsi="Arial"/>
        </w:rPr>
        <w:t xml:space="preserve">on the involvement of children in armed conflict (2000; in force 2002)</w:t>
      </w:r>
      <w:r>
        <w:rPr>
          <w:sz w:val="22"/>
          <w:szCs w:val="22"/>
          <w:rFonts w:ascii="Arial" w:cs="Arial" w:eastAsia="Arial" w:hAnsi="Arial"/>
        </w:rPr>
        <w:t xml:space="preserve"> — no compulsory recruitment under eighteen, no direct participation in hostilities under eighteen, voluntary recruitment by States above fifteen with safeguards, armed groups not to recruit under eighteen; (2) </w:t>
      </w:r>
      <w:r>
        <w:rPr>
          <w:b/>
          <w:bCs/>
          <w:sz w:val="22"/>
          <w:szCs w:val="22"/>
          <w:rFonts w:ascii="Arial" w:cs="Arial" w:eastAsia="Arial" w:hAnsi="Arial"/>
        </w:rPr>
        <w:t xml:space="preserve">on the sale of children, child prostitution and child pornography (2000; in force 2002)</w:t>
      </w:r>
      <w:r>
        <w:rPr>
          <w:sz w:val="22"/>
          <w:szCs w:val="22"/>
          <w:rFonts w:ascii="Arial" w:cs="Arial" w:eastAsia="Arial" w:hAnsi="Arial"/>
        </w:rPr>
        <w:t xml:space="preserve"> — criminalisation, jurisdiction, extradition, victim protection; (3) </w:t>
      </w:r>
      <w:r>
        <w:rPr>
          <w:b/>
          <w:bCs/>
          <w:sz w:val="22"/>
          <w:szCs w:val="22"/>
          <w:rFonts w:ascii="Arial" w:cs="Arial" w:eastAsia="Arial" w:hAnsi="Arial"/>
        </w:rPr>
        <w:t xml:space="preserve">on a communications procedure (2011; in force 2014; 52 parties; India not a party)</w:t>
      </w:r>
      <w:r>
        <w:rPr>
          <w:sz w:val="22"/>
          <w:szCs w:val="22"/>
          <w:rFonts w:ascii="Arial" w:cs="Arial" w:eastAsia="Arial" w:hAnsi="Arial"/>
        </w:rPr>
        <w:t xml:space="preserve"> — individual communications by or on behalf of children, inter-State, and inquiries (Sacchi v. Argentina et al., 2021 — the climate communication by Greta Thunberg and fifteen children, inadmissible for non-exhaustion but recognising extra-territorial jurisdiction for climate harm).</w:t>
      </w:r>
    </w:p>
    <w:p>
      <w:pPr>
        <w:spacing w:before="240" w:after="120"/>
      </w:pPr>
      <w:r>
        <w:rPr>
          <w:b/>
          <w:bCs/>
          <w:color w:val="404040"/>
          <w:sz w:val="23"/>
          <w:szCs w:val="23"/>
          <w:rFonts w:ascii="Arial" w:cs="Arial" w:eastAsia="Arial" w:hAnsi="Arial"/>
        </w:rPr>
        <w:t xml:space="preserve">India and the rights of the child</w:t>
      </w:r>
    </w:p>
    <w:p>
      <w:pPr>
        <w:spacing w:after="120" w:line="300"/>
        <w:jc w:val="both"/>
      </w:pPr>
      <w:r>
        <w:rPr>
          <w:sz w:val="22"/>
          <w:szCs w:val="22"/>
          <w:rFonts w:ascii="Arial" w:cs="Arial" w:eastAsia="Arial" w:hAnsi="Arial"/>
        </w:rPr>
        <w:t xml:space="preserve">India acceded to the Convention on 11 December 1992 with a </w:t>
      </w:r>
      <w:r>
        <w:rPr>
          <w:b/>
          <w:bCs/>
          <w:sz w:val="22"/>
          <w:szCs w:val="22"/>
          <w:rFonts w:ascii="Arial" w:cs="Arial" w:eastAsia="Arial" w:hAnsi="Arial"/>
        </w:rPr>
        <w:t xml:space="preserve">declaration on Art 32</w:t>
      </w:r>
      <w:r>
        <w:rPr>
          <w:sz w:val="22"/>
          <w:szCs w:val="22"/>
          <w:rFonts w:ascii="Arial" w:cs="Arial" w:eastAsia="Arial" w:hAnsi="Arial"/>
        </w:rPr>
        <w:t xml:space="preserve"> (child labour): 'the Government of India undertakes to take measures to progressively implement the provisions of Art 32, particularly paragraph 2(a), in accordance with its national legislation and relevant international instruments to which it is a State Party' — that is, a minimum age only progressively; ratified the first two Optional Protocols in 2005; is not a party to the third. </w:t>
      </w:r>
      <w:r>
        <w:rPr>
          <w:b/>
          <w:bCs/>
          <w:sz w:val="22"/>
          <w:szCs w:val="22"/>
          <w:rFonts w:ascii="Arial" w:cs="Arial" w:eastAsia="Arial" w:hAnsi="Arial"/>
        </w:rPr>
        <w:t xml:space="preserve">The constitutional provisions</w:t>
      </w:r>
      <w:r>
        <w:rPr>
          <w:sz w:val="22"/>
          <w:szCs w:val="22"/>
          <w:rFonts w:ascii="Arial" w:cs="Arial" w:eastAsia="Arial" w:hAnsi="Arial"/>
        </w:rPr>
        <w:t xml:space="preserve">: Art 15(3) (special provisions for children), Art 21A (free and compulsory education for six to fourteen — the 86th Amendment 2002; the Right of Children to Free and Compulsory Education Act 2009 — Society for Unaided Private Schools v. Union of India, 2012, upheld the 25 per cent quota; Pramati, 2014, exempted minority schools), Art 23 (trafficking and forced labour), Art 24 (no child under fourteen in factories, mines or hazardous employment), Art 39(e)-(f) (health and strength of children not abused; opportunities for healthy development, protection against exploitation and moral and material abandonment), Art 45 (early childhood care under six, after 2002), Art 47, Art 51A(k) (the parents' duty to provide education). </w:t>
      </w:r>
      <w:r>
        <w:rPr>
          <w:b/>
          <w:bCs/>
          <w:sz w:val="22"/>
          <w:szCs w:val="22"/>
          <w:rFonts w:ascii="Arial" w:cs="Arial" w:eastAsia="Arial" w:hAnsi="Arial"/>
        </w:rPr>
        <w:t xml:space="preserve">The statutes</w:t>
      </w:r>
      <w:r>
        <w:rPr>
          <w:sz w:val="22"/>
          <w:szCs w:val="22"/>
          <w:rFonts w:ascii="Arial" w:cs="Arial" w:eastAsia="Arial" w:hAnsi="Arial"/>
        </w:rPr>
        <w:t xml:space="preserve">: the </w:t>
      </w:r>
      <w:r>
        <w:rPr>
          <w:b/>
          <w:bCs/>
          <w:sz w:val="22"/>
          <w:szCs w:val="22"/>
          <w:rFonts w:ascii="Arial" w:cs="Arial" w:eastAsia="Arial" w:hAnsi="Arial"/>
        </w:rPr>
        <w:t xml:space="preserve">Juvenile Justice (Care and Protection of Children) Act 2015</w:t>
      </w:r>
      <w:r>
        <w:rPr>
          <w:sz w:val="22"/>
          <w:szCs w:val="22"/>
          <w:rFonts w:ascii="Arial" w:cs="Arial" w:eastAsia="Arial" w:hAnsi="Arial"/>
        </w:rPr>
        <w:t xml:space="preserve"> (replacing 1986 and 2000 — the Convention in its Preamble; children in conflict with law and children in need of care and protection; the Juvenile Justice Boards and Child Welfare Committees; the 2015 provision for trial of sixteen to eighteen-year-olds as adults for heinous offences after a preliminary assessment (Sec 15, after the Delhi gang-rape — criticised by the CRC Committee as contrary to Art 40); adoption under Secs 56-73 and CARA; Sec 74 — no disclosure of identity; foster care; the 2021 amendment — District Magistrates' powers); the </w:t>
      </w:r>
      <w:r>
        <w:rPr>
          <w:b/>
          <w:bCs/>
          <w:sz w:val="22"/>
          <w:szCs w:val="22"/>
          <w:rFonts w:ascii="Arial" w:cs="Arial" w:eastAsia="Arial" w:hAnsi="Arial"/>
        </w:rPr>
        <w:t xml:space="preserve">Protection of Children from Sexual Offences Act 2012</w:t>
      </w:r>
      <w:r>
        <w:rPr>
          <w:sz w:val="22"/>
          <w:szCs w:val="22"/>
          <w:rFonts w:ascii="Arial" w:cs="Arial" w:eastAsia="Arial" w:hAnsi="Arial"/>
        </w:rPr>
        <w:t xml:space="preserve"> (gender-neutral offences of penetrative and aggravated sexual assault, sexual harassment, pornography; child-friendly procedures — Secs 24-33; Special Courts; the presumption of Sec 29; the 2019 amendment's death penalty for aggravated penetrative assault; Sec 23 on the media); the </w:t>
      </w:r>
      <w:r>
        <w:rPr>
          <w:b/>
          <w:bCs/>
          <w:sz w:val="22"/>
          <w:szCs w:val="22"/>
          <w:rFonts w:ascii="Arial" w:cs="Arial" w:eastAsia="Arial" w:hAnsi="Arial"/>
        </w:rPr>
        <w:t xml:space="preserve">Child Labour (Prohibition and Regulation) Act 1986</w:t>
      </w:r>
      <w:r>
        <w:rPr>
          <w:sz w:val="22"/>
          <w:szCs w:val="22"/>
          <w:rFonts w:ascii="Arial" w:cs="Arial" w:eastAsia="Arial" w:hAnsi="Arial"/>
        </w:rPr>
        <w:t xml:space="preserve">, amended in 2016 as the Child and Adolescent Labour (Prohibition and Regulation) Act — a complete prohibition under fourteen (with the contested exceptions for family enterprises and child artists) and of adolescents (fourteen to eighteen) in hazardous occupations, after India's ratification of ILO Conventions 138 and 182 in 2017; the </w:t>
      </w:r>
      <w:r>
        <w:rPr>
          <w:b/>
          <w:bCs/>
          <w:sz w:val="22"/>
          <w:szCs w:val="22"/>
          <w:rFonts w:ascii="Arial" w:cs="Arial" w:eastAsia="Arial" w:hAnsi="Arial"/>
        </w:rPr>
        <w:t xml:space="preserve">Prohibition of Child Marriage Act 2006</w:t>
      </w:r>
      <w:r>
        <w:rPr>
          <w:sz w:val="22"/>
          <w:szCs w:val="22"/>
          <w:rFonts w:ascii="Arial" w:cs="Arial" w:eastAsia="Arial" w:hAnsi="Arial"/>
        </w:rPr>
        <w:t xml:space="preserve"> (voidable marriages, punishment of adults, the 2021 Bill to raise women's age to twenty-one lapsed; Independent Thought v. Union of India, 2017 — sexual intercourse with a wife under eighteen is rape, reading down the IPC exception); the </w:t>
      </w:r>
      <w:r>
        <w:rPr>
          <w:b/>
          <w:bCs/>
          <w:sz w:val="22"/>
          <w:szCs w:val="22"/>
          <w:rFonts w:ascii="Arial" w:cs="Arial" w:eastAsia="Arial" w:hAnsi="Arial"/>
        </w:rPr>
        <w:t xml:space="preserve">Commissions for Protection of Child Rights Act 2005</w:t>
      </w:r>
      <w:r>
        <w:rPr>
          <w:sz w:val="22"/>
          <w:szCs w:val="22"/>
          <w:rFonts w:ascii="Arial" w:cs="Arial" w:eastAsia="Arial" w:hAnsi="Arial"/>
        </w:rPr>
        <w:t xml:space="preserve"> (the NCPCR and the State Commissions — India's Art 4 institutions); the </w:t>
      </w:r>
      <w:r>
        <w:rPr>
          <w:b/>
          <w:bCs/>
          <w:sz w:val="22"/>
          <w:szCs w:val="22"/>
          <w:rFonts w:ascii="Arial" w:cs="Arial" w:eastAsia="Arial" w:hAnsi="Arial"/>
        </w:rPr>
        <w:t xml:space="preserve">Bonded Labour System (Abolition) Act 1976</w:t>
      </w:r>
      <w:r>
        <w:rPr>
          <w:sz w:val="22"/>
          <w:szCs w:val="22"/>
          <w:rFonts w:ascii="Arial" w:cs="Arial" w:eastAsia="Arial" w:hAnsi="Arial"/>
        </w:rPr>
        <w:t xml:space="preserve">; the </w:t>
      </w:r>
      <w:r>
        <w:rPr>
          <w:b/>
          <w:bCs/>
          <w:sz w:val="22"/>
          <w:szCs w:val="22"/>
          <w:rFonts w:ascii="Arial" w:cs="Arial" w:eastAsia="Arial" w:hAnsi="Arial"/>
        </w:rPr>
        <w:t xml:space="preserve">Immoral Traffic (Prevention) Act 1956</w:t>
      </w:r>
      <w:r>
        <w:rPr>
          <w:sz w:val="22"/>
          <w:szCs w:val="22"/>
          <w:rFonts w:ascii="Arial" w:cs="Arial" w:eastAsia="Arial" w:hAnsi="Arial"/>
        </w:rPr>
        <w:t xml:space="preserve">; the </w:t>
      </w:r>
      <w:r>
        <w:rPr>
          <w:b/>
          <w:bCs/>
          <w:sz w:val="22"/>
          <w:szCs w:val="22"/>
          <w:rFonts w:ascii="Arial" w:cs="Arial" w:eastAsia="Arial" w:hAnsi="Arial"/>
        </w:rPr>
        <w:t xml:space="preserve">PCPNDT Act 1994</w:t>
      </w:r>
      <w:r>
        <w:rPr>
          <w:sz w:val="22"/>
          <w:szCs w:val="22"/>
          <w:rFonts w:ascii="Arial" w:cs="Arial" w:eastAsia="Arial" w:hAnsi="Arial"/>
        </w:rPr>
        <w:t xml:space="preserve"> (the girl-child); the </w:t>
      </w:r>
      <w:r>
        <w:rPr>
          <w:b/>
          <w:bCs/>
          <w:sz w:val="22"/>
          <w:szCs w:val="22"/>
          <w:rFonts w:ascii="Arial" w:cs="Arial" w:eastAsia="Arial" w:hAnsi="Arial"/>
        </w:rPr>
        <w:t xml:space="preserve">Infant Milk Substitutes Act 1992</w:t>
      </w:r>
      <w:r>
        <w:rPr>
          <w:sz w:val="22"/>
          <w:szCs w:val="22"/>
          <w:rFonts w:ascii="Arial" w:cs="Arial" w:eastAsia="Arial" w:hAnsi="Arial"/>
        </w:rPr>
        <w:t xml:space="preserve">; the Integrated Child Development Services (1975) and the mid-day meal (PUCL, 2001 — the Court's order making cooked meals compulsory), the National Policy for Children (2013), the Integrated Child Protection Scheme (2009, now Mission Vatsalya), the National Commission's ban on corporal punishment (RTE Act Sec 17). </w:t>
      </w:r>
      <w:r>
        <w:rPr>
          <w:b/>
          <w:bCs/>
          <w:sz w:val="22"/>
          <w:szCs w:val="22"/>
          <w:rFonts w:ascii="Arial" w:cs="Arial" w:eastAsia="Arial" w:hAnsi="Arial"/>
        </w:rPr>
        <w:t xml:space="preserve">The cases</w:t>
      </w:r>
      <w:r>
        <w:rPr>
          <w:sz w:val="22"/>
          <w:szCs w:val="22"/>
          <w:rFonts w:ascii="Arial" w:cs="Arial" w:eastAsia="Arial" w:hAnsi="Arial"/>
        </w:rPr>
        <w:t xml:space="preserve">: M.C. Mehta v. State of Tamil Nadu (1996), Bandhua Mukti Morcha (1984, 1997 — the carpet-weaving children of Mirzapur), Sheela Barse v. Union of India (1986 — children in jails), Lakshmi Kant Pandey v. Union of India (1984 — inter-country adoption guidelines, citing the 1959 Declaration and the draft Convention), Gaurav Jain v. Union of India (1997 — prostitutes' children), Vishal Jeet v. Union of India (1990 — child prostitution), Sampurna Behura v. Union of India (2018 — the implementation of the JJ Act), Exploitation of Children in Orphanages in Tamil Nadu (2017), Salil Bali v. Union of India (2013 — the JJ Act's age of eighteen upheld after the Delhi case), Alakh Alok Srivastava v. Union of India (2018 — POCSO trial timelines), Pratap Singh v. State of Jharkhand (2005 — the date of offence for juvenility), and the 2018-24 directions on child-care institutions. The CRC Committee's 2014 concluding observations on India asked for the withdrawal of the Art 32 declaration, the ratification of the third Protocol, a ban on corporal punishment, an end to the 'adult trial' of sixteen-year-olds, and the reform of the AFSPA's application to children.</w:t>
      </w:r>
    </w:p>
    <w:p>
      <w:pPr>
        <w:pBdr>
          <w:left w:val="single" w:color="CC0000" w:sz="6" w:space="8"/>
        </w:pBdr>
        <w:spacing w:before="80" w:after="80"/>
        <w:ind w:left="300"/>
      </w:pPr>
      <w:r>
        <w:rPr>
          <w:b/>
          <w:bCs/>
          <w:color w:val="CC0000"/>
          <w:sz w:val="21"/>
          <w:szCs w:val="21"/>
          <w:rFonts w:ascii="Arial" w:cs="Arial" w:eastAsia="Arial" w:hAnsi="Arial"/>
        </w:rPr>
        <w:t xml:space="preserve">Vishaka v. State of Rajasthan (1997) 6 SCC 241 — </w:t>
      </w:r>
      <w:r>
        <w:rPr>
          <w:sz w:val="21"/>
          <w:szCs w:val="21"/>
          <w:rFonts w:ascii="Arial" w:cs="Arial" w:eastAsia="Arial" w:hAnsi="Arial"/>
        </w:rPr>
        <w:t xml:space="preserve">Sexual harassment at the workplace violates Arts 14, 15, 19(1)(g) and 21; CEDAW Arts 11 and 24 and GR 19 read into the Constitution; binding guidelines under Art 32 until legislation — the 2013 Act.</w:t>
      </w:r>
    </w:p>
    <w:p>
      <w:pPr>
        <w:pBdr>
          <w:left w:val="single" w:color="CC0000" w:sz="6" w:space="8"/>
        </w:pBdr>
        <w:spacing w:before="80" w:after="80"/>
        <w:ind w:left="300"/>
      </w:pPr>
      <w:r>
        <w:rPr>
          <w:b/>
          <w:bCs/>
          <w:color w:val="CC0000"/>
          <w:sz w:val="21"/>
          <w:szCs w:val="21"/>
          <w:rFonts w:ascii="Arial" w:cs="Arial" w:eastAsia="Arial" w:hAnsi="Arial"/>
        </w:rPr>
        <w:t xml:space="preserve">Apparel Export Promotion Council v. A.K. Chopra (1999) 1 SCC 759 — </w:t>
      </w:r>
      <w:r>
        <w:rPr>
          <w:sz w:val="21"/>
          <w:szCs w:val="21"/>
          <w:rFonts w:ascii="Arial" w:cs="Arial" w:eastAsia="Arial" w:hAnsi="Arial"/>
        </w:rPr>
        <w:t xml:space="preserve">Attempted molestation is sexual harassment; the courts must not be swayed by 'no physical contact'; international instruments oblige gender-sensitive interpretation.</w:t>
      </w:r>
    </w:p>
    <w:p>
      <w:pPr>
        <w:pBdr>
          <w:left w:val="single" w:color="CC0000" w:sz="6" w:space="8"/>
        </w:pBdr>
        <w:spacing w:before="80" w:after="80"/>
        <w:ind w:left="300"/>
      </w:pPr>
      <w:r>
        <w:rPr>
          <w:b/>
          <w:bCs/>
          <w:color w:val="CC0000"/>
          <w:sz w:val="21"/>
          <w:szCs w:val="21"/>
          <w:rFonts w:ascii="Arial" w:cs="Arial" w:eastAsia="Arial" w:hAnsi="Arial"/>
        </w:rPr>
        <w:t xml:space="preserve">Githa Hariharan v. Reserve Bank of India (1999) 2 SCC 228 — </w:t>
      </w:r>
      <w:r>
        <w:rPr>
          <w:sz w:val="21"/>
          <w:szCs w:val="21"/>
          <w:rFonts w:ascii="Arial" w:cs="Arial" w:eastAsia="Arial" w:hAnsi="Arial"/>
        </w:rPr>
        <w:t xml:space="preserve">'After' in Sec 6 of the Hindu Minority and Guardianship Act read as 'in the absence of' so that the mother is a natural guardian; CEDAW and the Beijing Declaration cited; the Convention on the Rights of the Child's best-interests principle applied.</w:t>
      </w:r>
    </w:p>
    <w:p>
      <w:pPr>
        <w:pBdr>
          <w:left w:val="single" w:color="CC0000" w:sz="6" w:space="8"/>
        </w:pBdr>
        <w:spacing w:before="80" w:after="80"/>
        <w:ind w:left="300"/>
      </w:pPr>
      <w:r>
        <w:rPr>
          <w:b/>
          <w:bCs/>
          <w:color w:val="CC0000"/>
          <w:sz w:val="21"/>
          <w:szCs w:val="21"/>
          <w:rFonts w:ascii="Arial" w:cs="Arial" w:eastAsia="Arial" w:hAnsi="Arial"/>
        </w:rPr>
        <w:t xml:space="preserve">Independent Thought v. Union of India (2017) 10 SCC 800 — </w:t>
      </w:r>
      <w:r>
        <w:rPr>
          <w:sz w:val="21"/>
          <w:szCs w:val="21"/>
          <w:rFonts w:ascii="Arial" w:cs="Arial" w:eastAsia="Arial" w:hAnsi="Arial"/>
        </w:rPr>
        <w:t xml:space="preserve">Exception 2 to Sec 375 IPC read down: sexual intercourse with a wife aged fifteen to eighteen is rape; the CRC, the Prohibition of Child Marriage Act and POCSO harmonised; the child's best interests.</w:t>
      </w:r>
    </w:p>
    <w:p>
      <w:pPr>
        <w:pBdr>
          <w:left w:val="single" w:color="CC0000" w:sz="6" w:space="8"/>
        </w:pBdr>
        <w:spacing w:before="80" w:after="80"/>
        <w:ind w:left="300"/>
      </w:pPr>
      <w:r>
        <w:rPr>
          <w:b/>
          <w:bCs/>
          <w:color w:val="CC0000"/>
          <w:sz w:val="21"/>
          <w:szCs w:val="21"/>
          <w:rFonts w:ascii="Arial" w:cs="Arial" w:eastAsia="Arial" w:hAnsi="Arial"/>
        </w:rPr>
        <w:t xml:space="preserve">Lakshmi Kant Pandey v. Union of India (1984) 2 SCC 244 — </w:t>
      </w:r>
      <w:r>
        <w:rPr>
          <w:sz w:val="21"/>
          <w:szCs w:val="21"/>
          <w:rFonts w:ascii="Arial" w:cs="Arial" w:eastAsia="Arial" w:hAnsi="Arial"/>
        </w:rPr>
        <w:t xml:space="preserve">Guidelines for inter-country adoption to prevent trafficking, drawing on the 1959 Declaration and the draft Convention; the child's welfare paramount; CARA created in consequence.</w:t>
      </w:r>
    </w:p>
    <w:p>
      <w:pPr>
        <w:pBdr>
          <w:left w:val="single" w:color="CC0000" w:sz="6" w:space="8"/>
        </w:pBdr>
        <w:spacing w:before="80" w:after="80"/>
        <w:ind w:left="300"/>
      </w:pPr>
      <w:r>
        <w:rPr>
          <w:b/>
          <w:bCs/>
          <w:color w:val="CC0000"/>
          <w:sz w:val="21"/>
          <w:szCs w:val="21"/>
          <w:rFonts w:ascii="Arial" w:cs="Arial" w:eastAsia="Arial" w:hAnsi="Arial"/>
        </w:rPr>
        <w:t xml:space="preserve">A.T. v. Hungary, CEDAW Committee 2/2003 (2005) — </w:t>
      </w:r>
      <w:r>
        <w:rPr>
          <w:sz w:val="21"/>
          <w:szCs w:val="21"/>
          <w:rFonts w:ascii="Arial" w:cs="Arial" w:eastAsia="Arial" w:hAnsi="Arial"/>
        </w:rPr>
        <w:t xml:space="preserve">The State's failure to protect a woman from her violent ex-partner (no protection orders, no shelters) violated Arts 2, 5 and 16; the first communication decided under the Optional Protocol.</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CRC Committee's General Comment 25 (2021) on children's rights in the digital environment — privacy, protection from online abuse, access, the platforms' duties — and India's IT Rules 2021 and the DPDP Act's Sec 9 (verifiable parental consent, no tracking of children) are the current interface; POCSO's Sec 14-15 on child sexual abuse material and the 2024 Supreme Court ruling in Just Rights for Children Alliance v. S. Harish (storing and viewing CSAM is an offence) apply it; and the CEDAW Committee's GR 35 addresses online gender-based violence, which the IT Rules' 24-hour takedown of intimate images implements.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'Definition of discrimination under CEDAW Art 1', 'Temporary special measures (Art 4)', 'Art 5(a) CEDAW', 'CEDAW Committee', 'General Recommendation 19', 'India's declarations to CEDAW', 'Vishaka case', 'DEVAW 1993', 'Beijing Platform', 'Resolution 1325', '1959 Declaration', 'Four principles of the CRC', 'Best interests of the child', 'Art 12 CRC', 'Optional Protocols to the CRC', 'India's declaration on Art 32'. Part B: 'Discuss the salient features of CEDAW and its implementation machinery, and examine India's obligations and reservations'; or 'How has the Indian Supreme Court used CEDAW? Discuss with Vishaka and later cases'; or 'Trace the development of the international law on the rights of the child from the Geneva Declaration to the Convention of 1989, and examine the Convention's principles and India's implementation'. Part C: an employer has no internal complaints committee — Vishaka and the 2013 Act (Sec 4, penalty Sec 26); a personal law denies a woman an equal share — India's Art 16 declaration, but Arts 14-15 apply (Vineeta Sharma; Shayara Bano); a State employs children of twelve in a family beedi enterprise — Art 32 CRC, the 2016 Act's family-enterprise exception is criticised, but beedi is hazardous — prohibited; a sixteen-year-old is tried as an adult — Sec 15 JJ Act, the CRC Committee's objection, the preliminary assessment's safeguards; a girl of sixteen is married and her husband claims the marital exception — Independent Thought, rape.</w:t>
      </w:r>
    </w:p>
    <w:p>
      <w:r>
        <w:br w:type="page"/>
      </w:r>
    </w:p>
    <w:p>
      <w:pPr>
        <w:pStyle w:val="Heading1"/>
        <w:spacing w:before="480" w:after="200"/>
      </w:pPr>
      <w:r>
        <w:rPr>
          <w:b/>
          <w:bCs/>
          <w:color w:val="1F4E79"/>
          <w:sz w:val="32"/>
          <w:szCs w:val="32"/>
          <w:rFonts w:ascii="Arial" w:cs="Arial" w:eastAsia="Arial" w:hAnsi="Arial"/>
        </w:rPr>
        <w:t xml:space="preserve">Episode 09 — The Mountain of the Dongria: Niyamgiri, Indigenous Peoples, Refugees and the Other Vulnerable Groups</w:t>
      </w:r>
    </w:p>
    <w:p>
      <w:pPr>
        <w:pStyle w:val="Heading2"/>
        <w:spacing w:before="360" w:after="160"/>
      </w:pPr>
      <w:r>
        <w:rPr>
          <w:b/>
          <w:bCs/>
          <w:color w:val="2E75B6"/>
          <w:sz w:val="26"/>
          <w:szCs w:val="26"/>
          <w:rFonts w:ascii="Arial" w:cs="Arial" w:eastAsia="Arial" w:hAnsi="Arial"/>
        </w:rPr>
        <w:t xml:space="preserve">Covers: Indigenous peoples — ILO Conventions 107 and 169, the UN Declaration (2007), the Permanent Forum, the Expert Mechanism, free prior and informed consent; India's position — Scheduled Tribes, the Fifth and Sixth Schedules, PESA, the Forest Rights Act, Samatha and Niyamgiri · Refugees — the 1951 Convention and 1967 Protocol, the definition, non-refoulement, exclusion and cessation, UNHCR; India's non-accession and practice — the Chakma, Sri Lankan, Tibetan and Rohingya cases, the CAA · Internally displaced persons, stateless persons, migrant workers, minorities, persons with disabilities, older persons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Niyamgiri hills, Odisha, July 2013. The Dongria Kondh, a 'particularly vulnerable tribal group' of about eight thousand, live in the forests of the Niyamgiri range in Rayagada and Kalahandi districts and worship the summit, Niyam Raja, as their god and lawgiver. Under the hills lies bauxite, and in 2004 the Odisha Mining Corporation and Vedanta Resources agreed to mine it for Vedanta's alumina refinery at Lanjigarh. The environmental clearance was challenged before the Supreme Court's Central Empowered Committee, granted in 2008 on conditions, and withdrawn by the Environment Ministry in 2010 on the Saxena Committee's report that the mining would destroy the Dongria's habitat and violate the Forest Rights Act. The Corporation went to the Supreme Court. In April 2013 the Court, through Justice Radhakrishnan, held that the Forest Rights Act 2006 recognises the tribals' religious and cultural rights over their traditional forests, that the gram sabhas of the affected villages must decide, under Section 4(d) and 6 of the Act and Section 4 of PESA, whether the mining would infringe those rights — including the right to worship Niyam Raja — and that the Ministry must take the gram sabhas' decision into account. The Court cited the ILO's Convention 169, the UN Declaration on the Rights of Indigenous Peoples and the 'free, prior and informed consent' standard of the Inter-American Court's Saramaka judgment, while noting India's position that it has no 'indigenous peoples' as such. In July and August 2013 twelve gram sabhas met — each under a judicial officer, with the villagers speaking in Kui — and every one voted against the mine. The Ministry rejected the clearance in January 2014. Niyamgiri is the Indian case in which the international law of indigenous peoples was applied through the domestic statute, and its outcome — a consultation that was allowed to mean 'no' — is what the Declaration's Article 32 asks for.</w:t>
      </w:r>
    </w:p>
    <w:p>
      <w:pPr>
        <w:spacing w:before="240" w:after="120"/>
      </w:pPr>
      <w:r>
        <w:rPr>
          <w:b/>
          <w:bCs/>
          <w:color w:val="404040"/>
          <w:sz w:val="23"/>
          <w:szCs w:val="23"/>
          <w:rFonts w:ascii="Arial" w:cs="Arial" w:eastAsia="Arial" w:hAnsi="Arial"/>
        </w:rPr>
        <w:t xml:space="preserve">Indigenous peoples — the international law</w:t>
      </w:r>
    </w:p>
    <w:p>
      <w:pPr>
        <w:spacing w:after="120" w:line="300"/>
        <w:jc w:val="both"/>
      </w:pPr>
      <w:r>
        <w:rPr>
          <w:sz w:val="22"/>
          <w:szCs w:val="22"/>
          <w:rFonts w:ascii="Arial" w:cs="Arial" w:eastAsia="Arial" w:hAnsi="Arial"/>
        </w:rPr>
        <w:t xml:space="preserve">The League's mandates and the ILO's early conventions on 'native labour' were the first attention; the </w:t>
      </w:r>
      <w:r>
        <w:rPr>
          <w:b/>
          <w:bCs/>
          <w:sz w:val="22"/>
          <w:szCs w:val="22"/>
          <w:rFonts w:ascii="Arial" w:cs="Arial" w:eastAsia="Arial" w:hAnsi="Arial"/>
        </w:rPr>
        <w:t xml:space="preserve">ILO Convention 107 (1957) concerning the Protection and Integration of Indigenous and Other Tribal and Semi-Tribal Populations</w:t>
      </w:r>
      <w:r>
        <w:rPr>
          <w:sz w:val="22"/>
          <w:szCs w:val="22"/>
          <w:rFonts w:ascii="Arial" w:cs="Arial" w:eastAsia="Arial" w:hAnsi="Arial"/>
        </w:rPr>
        <w:t xml:space="preserve"> — the first binding instrument, with an assimilationist premise ('integration') but with protection of land rights (Art 11 — the right of ownership, collective or individual, over traditionally occupied land; Art 12 — no removal without free consent except by law for national security, development or health, with compensating land) — ratified by 27 States including India (1958), Pakistan and Bangladesh, and closed to ratification after the </w:t>
      </w:r>
      <w:r>
        <w:rPr>
          <w:b/>
          <w:bCs/>
          <w:sz w:val="22"/>
          <w:szCs w:val="22"/>
          <w:rFonts w:ascii="Arial" w:cs="Arial" w:eastAsia="Arial" w:hAnsi="Arial"/>
        </w:rPr>
        <w:t xml:space="preserve">ILO Convention 169 (1989) concerning Indigenous and Tribal Peoples</w:t>
      </w:r>
      <w:r>
        <w:rPr>
          <w:sz w:val="22"/>
          <w:szCs w:val="22"/>
          <w:rFonts w:ascii="Arial" w:cs="Arial" w:eastAsia="Arial" w:hAnsi="Arial"/>
        </w:rPr>
        <w:t xml:space="preserve">, which replaced integration with respect for the peoples' own institutions and ways of life: self-identification (Art 1(2)); the right to decide their own priorities for development (Art 7); consultation through their representative institutions 'with the objective of achieving agreement or consent' whenever legislative or administrative measures may affect them (Art 6); customary law (Arts 8-9); land rights — recognition of ownership and possession of traditionally occupied lands and safeguarding of their right to use lands to which they have traditionally had access (Art 14), natural resources (Art 15 — consultation before exploration or exploitation of sub-surface resources the State owns; participation in benefits; compensation), no relocation except with free and informed consent or by procedures with a right of return (Art 16); employment, vocational training, social security, health, education in their own languages, cross-border contacts — ratified by 24 States, mostly Latin American (Norway, Denmark, the Netherlands, Spain, Nepal and the Central African Republic elsewhere); India has not ratified it. The </w:t>
      </w:r>
      <w:r>
        <w:rPr>
          <w:b/>
          <w:bCs/>
          <w:sz w:val="22"/>
          <w:szCs w:val="22"/>
          <w:rFonts w:ascii="Arial" w:cs="Arial" w:eastAsia="Arial" w:hAnsi="Arial"/>
        </w:rPr>
        <w:t xml:space="preserve">Sub-Commission's Working Group on Indigenous Populations (1982-2006)</w:t>
      </w:r>
      <w:r>
        <w:rPr>
          <w:sz w:val="22"/>
          <w:szCs w:val="22"/>
          <w:rFonts w:ascii="Arial" w:cs="Arial" w:eastAsia="Arial" w:hAnsi="Arial"/>
        </w:rPr>
        <w:t xml:space="preserve"> and the </w:t>
      </w:r>
      <w:r>
        <w:rPr>
          <w:b/>
          <w:bCs/>
          <w:sz w:val="22"/>
          <w:szCs w:val="22"/>
          <w:rFonts w:ascii="Arial" w:cs="Arial" w:eastAsia="Arial" w:hAnsi="Arial"/>
        </w:rPr>
        <w:t xml:space="preserve">Martínez Cobo study</w:t>
      </w:r>
      <w:r>
        <w:rPr>
          <w:sz w:val="22"/>
          <w:szCs w:val="22"/>
          <w:rFonts w:ascii="Arial" w:cs="Arial" w:eastAsia="Arial" w:hAnsi="Arial"/>
        </w:rPr>
        <w:t xml:space="preserve"> (the working definition: indigenous communities are those having a historical continuity with pre-invasion and pre-colonial societies, considering themselves distinct from the dominant sectors, and determined to preserve their ancestral territories and identity) produced the draft Declaration (1993); the two International Decades (1995-2004, 2005-14); the </w:t>
      </w:r>
      <w:r>
        <w:rPr>
          <w:b/>
          <w:bCs/>
          <w:sz w:val="22"/>
          <w:szCs w:val="22"/>
          <w:rFonts w:ascii="Arial" w:cs="Arial" w:eastAsia="Arial" w:hAnsi="Arial"/>
        </w:rPr>
        <w:t xml:space="preserve">Permanent Forum on Indigenous Issues (ECOSOC, 2000)</w:t>
      </w:r>
      <w:r>
        <w:rPr>
          <w:sz w:val="22"/>
          <w:szCs w:val="22"/>
          <w:rFonts w:ascii="Arial" w:cs="Arial" w:eastAsia="Arial" w:hAnsi="Arial"/>
        </w:rPr>
        <w:t xml:space="preserve">; the </w:t>
      </w:r>
      <w:r>
        <w:rPr>
          <w:b/>
          <w:bCs/>
          <w:sz w:val="22"/>
          <w:szCs w:val="22"/>
          <w:rFonts w:ascii="Arial" w:cs="Arial" w:eastAsia="Arial" w:hAnsi="Arial"/>
        </w:rPr>
        <w:t xml:space="preserve">Special Rapporteur (2001)</w:t>
      </w:r>
      <w:r>
        <w:rPr>
          <w:sz w:val="22"/>
          <w:szCs w:val="22"/>
          <w:rFonts w:ascii="Arial" w:cs="Arial" w:eastAsia="Arial" w:hAnsi="Arial"/>
        </w:rPr>
        <w:t xml:space="preserve">; and the </w:t>
      </w:r>
      <w:r>
        <w:rPr>
          <w:b/>
          <w:bCs/>
          <w:sz w:val="22"/>
          <w:szCs w:val="22"/>
          <w:rFonts w:ascii="Arial" w:cs="Arial" w:eastAsia="Arial" w:hAnsi="Arial"/>
        </w:rPr>
        <w:t xml:space="preserve">UN Declaration on the Rights of Indigenous Peoples (General Assembly, 13 September 2007; 144 for, 4 against — Australia, Canada, New Zealand and the United States, all of which later endorsed it — 11 abstentions; India voted in favour)</w:t>
      </w:r>
      <w:r>
        <w:rPr>
          <w:sz w:val="22"/>
          <w:szCs w:val="22"/>
          <w:rFonts w:ascii="Arial" w:cs="Arial" w:eastAsia="Arial" w:hAnsi="Arial"/>
        </w:rPr>
        <w:t xml:space="preserve"> — 46 articles: self-determination (Art 3, within the State — Art 46(1)'s territorial-integrity clause), autonomy in internal and local affairs (4), their own institutions (5), no forced assimilation or destruction of culture (8), no forced removal without free, prior and informed consent (10), cultural and religious rights and repatriation of remains (11-12), languages and education (13-14), media (16), labour (17), participation in decision-making (18), consultation to obtain free, prior and informed consent before adopting measures that may affect them (19), subsistence and development (20), improvement of economic and social conditions (21), women and children (22), health (24), spiritual relationship with lands (25), </w:t>
      </w:r>
      <w:r>
        <w:rPr>
          <w:b/>
          <w:bCs/>
          <w:sz w:val="22"/>
          <w:szCs w:val="22"/>
          <w:rFonts w:ascii="Arial" w:cs="Arial" w:eastAsia="Arial" w:hAnsi="Arial"/>
        </w:rPr>
        <w:t xml:space="preserve">the right to the lands, territories and resources they have traditionally owned, occupied or used, with legal recognition and protection (26)</w:t>
      </w:r>
      <w:r>
        <w:rPr>
          <w:sz w:val="22"/>
          <w:szCs w:val="22"/>
          <w:rFonts w:ascii="Arial" w:cs="Arial" w:eastAsia="Arial" w:hAnsi="Arial"/>
        </w:rPr>
        <w:t xml:space="preserve">, adjudication (27), redress and restitution (28), conservation of the environment (29), no military activities (30), intellectual property and traditional knowledge (31), </w:t>
      </w:r>
      <w:r>
        <w:rPr>
          <w:b/>
          <w:bCs/>
          <w:sz w:val="22"/>
          <w:szCs w:val="22"/>
          <w:rFonts w:ascii="Arial" w:cs="Arial" w:eastAsia="Arial" w:hAnsi="Arial"/>
        </w:rPr>
        <w:t xml:space="preserve">free, prior and informed consent before the approval of any project affecting their lands, particularly the development, utilisation or exploitation of mineral, water or other resources (32)</w:t>
      </w:r>
      <w:r>
        <w:rPr>
          <w:sz w:val="22"/>
          <w:szCs w:val="22"/>
          <w:rFonts w:ascii="Arial" w:cs="Arial" w:eastAsia="Arial" w:hAnsi="Arial"/>
        </w:rPr>
        <w:t xml:space="preserve">, identity and membership (33), juridical systems (34), treaties (37), the State's duty to implement (38), financial assistance (39), dispute resolution (40), the UN's role (41-42 — the </w:t>
      </w:r>
      <w:r>
        <w:rPr>
          <w:b/>
          <w:bCs/>
          <w:sz w:val="22"/>
          <w:szCs w:val="22"/>
          <w:rFonts w:ascii="Arial" w:cs="Arial" w:eastAsia="Arial" w:hAnsi="Arial"/>
        </w:rPr>
        <w:t xml:space="preserve">Expert Mechanism on the Rights of Indigenous Peoples</w:t>
      </w:r>
      <w:r>
        <w:rPr>
          <w:sz w:val="22"/>
          <w:szCs w:val="22"/>
          <w:rFonts w:ascii="Arial" w:cs="Arial" w:eastAsia="Arial" w:hAnsi="Arial"/>
        </w:rPr>
        <w:t xml:space="preserve">, 2007). The </w:t>
      </w:r>
      <w:r>
        <w:rPr>
          <w:b/>
          <w:bCs/>
          <w:sz w:val="22"/>
          <w:szCs w:val="22"/>
          <w:rFonts w:ascii="Arial" w:cs="Arial" w:eastAsia="Arial" w:hAnsi="Arial"/>
        </w:rPr>
        <w:t xml:space="preserve">case law</w:t>
      </w:r>
      <w:r>
        <w:rPr>
          <w:sz w:val="22"/>
          <w:szCs w:val="22"/>
          <w:rFonts w:ascii="Arial" w:cs="Arial" w:eastAsia="Arial" w:hAnsi="Arial"/>
        </w:rPr>
        <w:t xml:space="preserve">: Awas Tingni, Saramaka and Sarayaku (Inter-American — FPIC and communal property), Endorois and Ogiek (African), Lovelace and Kitok (Human Rights Committee, Art 27), Poma Poma v. Peru (2009 — water diversion without consultation violated Art 27), and the CERD's General Recommendation 23 (1997).</w:t>
      </w:r>
    </w:p>
    <w:p>
      <w:pPr>
        <w:spacing w:before="240" w:after="120"/>
      </w:pPr>
      <w:r>
        <w:rPr>
          <w:b/>
          <w:bCs/>
          <w:color w:val="404040"/>
          <w:sz w:val="23"/>
          <w:szCs w:val="23"/>
          <w:rFonts w:ascii="Arial" w:cs="Arial" w:eastAsia="Arial" w:hAnsi="Arial"/>
        </w:rPr>
        <w:t xml:space="preserve">India's position and law</w:t>
      </w:r>
    </w:p>
    <w:p>
      <w:pPr>
        <w:spacing w:after="120" w:line="300"/>
        <w:jc w:val="both"/>
      </w:pPr>
      <w:r>
        <w:rPr>
          <w:sz w:val="22"/>
          <w:szCs w:val="22"/>
          <w:rFonts w:ascii="Arial" w:cs="Arial" w:eastAsia="Arial" w:hAnsi="Arial"/>
        </w:rPr>
        <w:t xml:space="preserve">India's official position (at the Working Group, the Declaration's vote and the Permanent Forum) is that all Indians are indigenous — the concept of 'indigenous peoples' as distinct from settlers does not apply, since India's population is the product of millennia of migration and mixing — and that its </w:t>
      </w:r>
      <w:r>
        <w:rPr>
          <w:b/>
          <w:bCs/>
          <w:sz w:val="22"/>
          <w:szCs w:val="22"/>
          <w:rFonts w:ascii="Arial" w:cs="Arial" w:eastAsia="Arial" w:hAnsi="Arial"/>
        </w:rPr>
        <w:t xml:space="preserve">Scheduled Tribes</w:t>
      </w:r>
      <w:r>
        <w:rPr>
          <w:sz w:val="22"/>
          <w:szCs w:val="22"/>
          <w:rFonts w:ascii="Arial" w:cs="Arial" w:eastAsia="Arial" w:hAnsi="Arial"/>
        </w:rPr>
        <w:t xml:space="preserve"> (Art 342; 705 communities, 8.6 per cent of the population, 10.4 crore in 2011) are the beneficiaries of its constitutional protection; it ratified Convention 107, has not ratified 169, voted for the Declaration with an explanation, and is reviewed by the CERD (which in 2007 called the Scheduled Tribes indigenous). The </w:t>
      </w:r>
      <w:r>
        <w:rPr>
          <w:b/>
          <w:bCs/>
          <w:sz w:val="22"/>
          <w:szCs w:val="22"/>
          <w:rFonts w:ascii="Arial" w:cs="Arial" w:eastAsia="Arial" w:hAnsi="Arial"/>
        </w:rPr>
        <w:t xml:space="preserve">constitutional scheme</w:t>
      </w:r>
      <w:r>
        <w:rPr>
          <w:sz w:val="22"/>
          <w:szCs w:val="22"/>
          <w:rFonts w:ascii="Arial" w:cs="Arial" w:eastAsia="Arial" w:hAnsi="Arial"/>
        </w:rPr>
        <w:t xml:space="preserve">: Arts 15(4), 16(4) and 46 (educational and economic interests, protection from social injustice and exploitation), 19(5) (restrictions on movement and residence for the protection of Scheduled Tribes), 29 (culture), 244 and the </w:t>
      </w:r>
      <w:r>
        <w:rPr>
          <w:b/>
          <w:bCs/>
          <w:sz w:val="22"/>
          <w:szCs w:val="22"/>
          <w:rFonts w:ascii="Arial" w:cs="Arial" w:eastAsia="Arial" w:hAnsi="Arial"/>
        </w:rPr>
        <w:t xml:space="preserve">Fifth Schedule</w:t>
      </w:r>
      <w:r>
        <w:rPr>
          <w:sz w:val="22"/>
          <w:szCs w:val="22"/>
          <w:rFonts w:ascii="Arial" w:cs="Arial" w:eastAsia="Arial" w:hAnsi="Arial"/>
        </w:rPr>
        <w:t xml:space="preserve"> (the administration of Scheduled Areas in ten States — the Governor's powers to modify laws and to regulate land transfer and money-lending, Tribes Advisory Councils) and the </w:t>
      </w:r>
      <w:r>
        <w:rPr>
          <w:b/>
          <w:bCs/>
          <w:sz w:val="22"/>
          <w:szCs w:val="22"/>
          <w:rFonts w:ascii="Arial" w:cs="Arial" w:eastAsia="Arial" w:hAnsi="Arial"/>
        </w:rPr>
        <w:t xml:space="preserve">Sixth Schedule</w:t>
      </w:r>
      <w:r>
        <w:rPr>
          <w:sz w:val="22"/>
          <w:szCs w:val="22"/>
          <w:rFonts w:ascii="Arial" w:cs="Arial" w:eastAsia="Arial" w:hAnsi="Arial"/>
        </w:rPr>
        <w:t xml:space="preserve"> (the autonomous district and regional councils of Assam, Meghalaya, Tripura and Mizoram with legislative, judicial and financial powers over land, forests, customs and inheritance — the closest Indian analogue of self-government), Art 275(1) grants, Art 330 and 332 reservation, Art 338A the National Commission for Scheduled Tribes (2003), Art 371A (Nagaland) and 371G (Mizoram) — no Act of Parliament on Naga/Mizo religious or social practices, customary law, land and resources applies unless the Assembly so decides. The </w:t>
      </w:r>
      <w:r>
        <w:rPr>
          <w:b/>
          <w:bCs/>
          <w:sz w:val="22"/>
          <w:szCs w:val="22"/>
          <w:rFonts w:ascii="Arial" w:cs="Arial" w:eastAsia="Arial" w:hAnsi="Arial"/>
        </w:rPr>
        <w:t xml:space="preserve">statutes</w:t>
      </w:r>
      <w:r>
        <w:rPr>
          <w:sz w:val="22"/>
          <w:szCs w:val="22"/>
          <w:rFonts w:ascii="Arial" w:cs="Arial" w:eastAsia="Arial" w:hAnsi="Arial"/>
        </w:rPr>
        <w:t xml:space="preserve">: the State land-transfer regulations (the A.P. Scheduled Areas Land Transfer Regulation 1959 as amended by Regulation 1 of 1970 — no transfer of land in Scheduled Areas to non-tribals, upheld and extended to Government leases in </w:t>
      </w:r>
      <w:r>
        <w:rPr>
          <w:b/>
          <w:bCs/>
          <w:sz w:val="22"/>
          <w:szCs w:val="22"/>
          <w:rFonts w:ascii="Arial" w:cs="Arial" w:eastAsia="Arial" w:hAnsi="Arial"/>
        </w:rPr>
        <w:t xml:space="preserve">Samatha v. State of A.P. (1997)</w:t>
      </w:r>
      <w:r>
        <w:rPr>
          <w:sz w:val="22"/>
          <w:szCs w:val="22"/>
          <w:rFonts w:ascii="Arial" w:cs="Arial" w:eastAsia="Arial" w:hAnsi="Arial"/>
        </w:rPr>
        <w:t xml:space="preserve"> — the Court held that mining leases to non-tribals in the Scheduled Areas of Visakhapatnam were void, that 'person' includes the Government, and cited the ILO Conventions and the Rio Declaration; the Telangana and A.P. Governments' subsequent attempts to amend the Regulation), the </w:t>
      </w:r>
      <w:r>
        <w:rPr>
          <w:b/>
          <w:bCs/>
          <w:sz w:val="22"/>
          <w:szCs w:val="22"/>
          <w:rFonts w:ascii="Arial" w:cs="Arial" w:eastAsia="Arial" w:hAnsi="Arial"/>
        </w:rPr>
        <w:t xml:space="preserve">Panchayats (Extension to the Scheduled Areas) Act 1996 (PESA)</w:t>
      </w:r>
      <w:r>
        <w:rPr>
          <w:sz w:val="22"/>
          <w:szCs w:val="22"/>
          <w:rFonts w:ascii="Arial" w:cs="Arial" w:eastAsia="Arial" w:hAnsi="Arial"/>
        </w:rPr>
        <w:t xml:space="preserve"> — the gram sabha's powers over minor forest produce, land acquisition (mandatory consultation), minor minerals (recommendation), money-lending, intoxicants, and the preservation of traditions (Sec 4), the </w:t>
      </w:r>
      <w:r>
        <w:rPr>
          <w:b/>
          <w:bCs/>
          <w:sz w:val="22"/>
          <w:szCs w:val="22"/>
          <w:rFonts w:ascii="Arial" w:cs="Arial" w:eastAsia="Arial" w:hAnsi="Arial"/>
        </w:rPr>
        <w:t xml:space="preserve">Scheduled Tribes and Other Traditional Forest Dwellers (Recognition of Forest Rights) Act 2006</w:t>
      </w:r>
      <w:r>
        <w:rPr>
          <w:sz w:val="22"/>
          <w:szCs w:val="22"/>
          <w:rFonts w:ascii="Arial" w:cs="Arial" w:eastAsia="Arial" w:hAnsi="Arial"/>
        </w:rPr>
        <w:t xml:space="preserve"> (the </w:t>
      </w:r>
      <w:r>
        <w:rPr>
          <w:b/>
          <w:bCs/>
          <w:sz w:val="22"/>
          <w:szCs w:val="22"/>
          <w:rFonts w:ascii="Arial" w:cs="Arial" w:eastAsia="Arial" w:hAnsi="Arial"/>
        </w:rPr>
        <w:t xml:space="preserve">Forest Rights Act</w:t>
      </w:r>
      <w:r>
        <w:rPr>
          <w:sz w:val="22"/>
          <w:szCs w:val="22"/>
          <w:rFonts w:ascii="Arial" w:cs="Arial" w:eastAsia="Arial" w:hAnsi="Arial"/>
        </w:rPr>
        <w:t xml:space="preserve"> — individual and community rights over forest land occupied before 13 December 2005, the right to protect and manage community forest resources (Sec 3(1)(i)), the right to habitat for PVTGs (3(1)(e)), the gram sabha as the authority (Sec 6), and Sec 4(5) — no eviction until the recognition process is complete; the 2019 Wildlife First order for eviction of rejected claimants, stayed; the Court's 2024 status), the </w:t>
      </w:r>
      <w:r>
        <w:rPr>
          <w:b/>
          <w:bCs/>
          <w:sz w:val="22"/>
          <w:szCs w:val="22"/>
          <w:rFonts w:ascii="Arial" w:cs="Arial" w:eastAsia="Arial" w:hAnsi="Arial"/>
        </w:rPr>
        <w:t xml:space="preserve">Right to Fair Compensation and Transparency in Land Acquisition, Rehabilitation and Resettlement Act 2013</w:t>
      </w:r>
      <w:r>
        <w:rPr>
          <w:sz w:val="22"/>
          <w:szCs w:val="22"/>
          <w:rFonts w:ascii="Arial" w:cs="Arial" w:eastAsia="Arial" w:hAnsi="Arial"/>
        </w:rPr>
        <w:t xml:space="preserve"> (Sec 41 — Scheduled Areas acquisition only as a last resort with the gram sabha's consent; Sec 42), the </w:t>
      </w:r>
      <w:r>
        <w:rPr>
          <w:b/>
          <w:bCs/>
          <w:sz w:val="22"/>
          <w:szCs w:val="22"/>
          <w:rFonts w:ascii="Arial" w:cs="Arial" w:eastAsia="Arial" w:hAnsi="Arial"/>
        </w:rPr>
        <w:t xml:space="preserve">SC/ST (Prevention of Atrocities) Act 1989</w:t>
      </w:r>
      <w:r>
        <w:rPr>
          <w:sz w:val="22"/>
          <w:szCs w:val="22"/>
          <w:rFonts w:ascii="Arial" w:cs="Arial" w:eastAsia="Arial" w:hAnsi="Arial"/>
        </w:rPr>
        <w:t xml:space="preserve">, the Mines and Minerals Act's 2015 District Mineral Foundations. </w:t>
      </w:r>
      <w:r>
        <w:rPr>
          <w:b/>
          <w:bCs/>
          <w:sz w:val="22"/>
          <w:szCs w:val="22"/>
          <w:rFonts w:ascii="Arial" w:cs="Arial" w:eastAsia="Arial" w:hAnsi="Arial"/>
        </w:rPr>
        <w:t xml:space="preserve">The cases</w:t>
      </w:r>
      <w:r>
        <w:rPr>
          <w:sz w:val="22"/>
          <w:szCs w:val="22"/>
          <w:rFonts w:ascii="Arial" w:cs="Arial" w:eastAsia="Arial" w:hAnsi="Arial"/>
        </w:rPr>
        <w:t xml:space="preserve">: Samatha (1997); </w:t>
      </w:r>
      <w:r>
        <w:rPr>
          <w:b/>
          <w:bCs/>
          <w:sz w:val="22"/>
          <w:szCs w:val="22"/>
          <w:rFonts w:ascii="Arial" w:cs="Arial" w:eastAsia="Arial" w:hAnsi="Arial"/>
        </w:rPr>
        <w:t xml:space="preserve">Orissa Mining Corporation v. Ministry of Environment (Niyamgiri, 2013)</w:t>
      </w:r>
      <w:r>
        <w:rPr>
          <w:sz w:val="22"/>
          <w:szCs w:val="22"/>
          <w:rFonts w:ascii="Arial" w:cs="Arial" w:eastAsia="Arial" w:hAnsi="Arial"/>
        </w:rPr>
        <w:t xml:space="preserve">; Kailas v. State of Maharashtra (2011 — Justice Katju's account of the tribals as India's original inhabitants); Wildlife First v. Ministry (2019, stayed); Narmada Bachao Andolan v. Union of India (2000 — the Sardar Sarovar rehabilitation of tribal oustees under the Tribunal award); the Kerala (Kalliyasseri) and the Chhattisgarh Salwa Judum case (Nandini Sundar v. State of Chhattisgarh, 2011 — the arming of tribal youth as SPOs violated Arts 14 and 21); the Meghalaya and Nagaland Sixth Schedule and Art 371A litigation; the Andaman's Jarawa protection (the Andaman and Nicobar Islands (Protection of Aboriginal Tribes) Regulation 1956). The </w:t>
      </w:r>
      <w:r>
        <w:rPr>
          <w:b/>
          <w:bCs/>
          <w:sz w:val="22"/>
          <w:szCs w:val="22"/>
          <w:rFonts w:ascii="Arial" w:cs="Arial" w:eastAsia="Arial" w:hAnsi="Arial"/>
        </w:rPr>
        <w:t xml:space="preserve">gap</w:t>
      </w:r>
      <w:r>
        <w:rPr>
          <w:sz w:val="22"/>
          <w:szCs w:val="22"/>
          <w:rFonts w:ascii="Arial" w:cs="Arial" w:eastAsia="Arial" w:hAnsi="Arial"/>
        </w:rPr>
        <w:t xml:space="preserve"> between the international standard (FPIC, self-identification, resource rights) and Indian practice (consultation, State ownership of minerals, the Forest Conservation (Amendment) Act 2023's exemptions) is the examiner's discussion point.</w:t>
      </w:r>
    </w:p>
    <w:p>
      <w:pPr>
        <w:spacing w:before="240" w:after="120"/>
      </w:pPr>
      <w:r>
        <w:rPr>
          <w:b/>
          <w:bCs/>
          <w:color w:val="404040"/>
          <w:sz w:val="23"/>
          <w:szCs w:val="23"/>
          <w:rFonts w:ascii="Arial" w:cs="Arial" w:eastAsia="Arial" w:hAnsi="Arial"/>
        </w:rPr>
        <w:t xml:space="preserve">Refugees — the international law</w:t>
      </w:r>
    </w:p>
    <w:p>
      <w:pPr>
        <w:spacing w:after="120" w:line="300"/>
        <w:jc w:val="both"/>
      </w:pPr>
      <w:r>
        <w:rPr>
          <w:sz w:val="22"/>
          <w:szCs w:val="22"/>
          <w:rFonts w:ascii="Arial" w:cs="Arial" w:eastAsia="Arial" w:hAnsi="Arial"/>
        </w:rPr>
        <w:t xml:space="preserve">The League's High Commissioner for Russian refugees (Nansen, 1921 — the Nansen passport), the 1933 and 1938 Conventions, the IRO (1946-52) and the </w:t>
      </w:r>
      <w:r>
        <w:rPr>
          <w:b/>
          <w:bCs/>
          <w:sz w:val="22"/>
          <w:szCs w:val="22"/>
          <w:rFonts w:ascii="Arial" w:cs="Arial" w:eastAsia="Arial" w:hAnsi="Arial"/>
        </w:rPr>
        <w:t xml:space="preserve">UNHCR</w:t>
      </w:r>
      <w:r>
        <w:rPr>
          <w:sz w:val="22"/>
          <w:szCs w:val="22"/>
          <w:rFonts w:ascii="Arial" w:cs="Arial" w:eastAsia="Arial" w:hAnsi="Arial"/>
        </w:rPr>
        <w:t xml:space="preserve"> (General Assembly Resolution 428(V), 14 December 1950; the Statute — a non-political, humanitarian office providing international protection and seeking permanent solutions (voluntary repatriation, local integration, resettlement); Geneva; about 20,000 staff; the 'persons of concern' now including IDPs, the stateless and returnees; the Executive Committee's Conclusions; India joined the Executive Committee in 1995 and hosts UNHCR's office in Delhi, which registers and assists refugees the Government does not recognise). The </w:t>
      </w:r>
      <w:r>
        <w:rPr>
          <w:b/>
          <w:bCs/>
          <w:sz w:val="22"/>
          <w:szCs w:val="22"/>
          <w:rFonts w:ascii="Arial" w:cs="Arial" w:eastAsia="Arial" w:hAnsi="Arial"/>
        </w:rPr>
        <w:t xml:space="preserve">Convention relating to the Status of Refugees (28 July 1951; in force 1954)</w:t>
      </w:r>
      <w:r>
        <w:rPr>
          <w:sz w:val="22"/>
          <w:szCs w:val="22"/>
          <w:rFonts w:ascii="Arial" w:cs="Arial" w:eastAsia="Arial" w:hAnsi="Arial"/>
        </w:rPr>
        <w:t xml:space="preserve"> was limited to events before 1 January 1951 and (optionally) to Europe; the </w:t>
      </w:r>
      <w:r>
        <w:rPr>
          <w:b/>
          <w:bCs/>
          <w:sz w:val="22"/>
          <w:szCs w:val="22"/>
          <w:rFonts w:ascii="Arial" w:cs="Arial" w:eastAsia="Arial" w:hAnsi="Arial"/>
        </w:rPr>
        <w:t xml:space="preserve">1967 Protocol</w:t>
      </w:r>
      <w:r>
        <w:rPr>
          <w:sz w:val="22"/>
          <w:szCs w:val="22"/>
          <w:rFonts w:ascii="Arial" w:cs="Arial" w:eastAsia="Arial" w:hAnsi="Arial"/>
        </w:rPr>
        <w:t xml:space="preserve"> removed the limits (149 parties to one or both; India, Pakistan, Bangladesh, Sri Lanka, Nepal, Myanmar, Thailand, Malaysia, Indonesia are not parties — South Asia's absence is the striking gap). </w:t>
      </w:r>
      <w:r>
        <w:rPr>
          <w:b/>
          <w:bCs/>
          <w:sz w:val="22"/>
          <w:szCs w:val="22"/>
          <w:rFonts w:ascii="Arial" w:cs="Arial" w:eastAsia="Arial" w:hAnsi="Arial"/>
        </w:rPr>
        <w:t xml:space="preserve">Art 1A(2) — the definition</w:t>
      </w:r>
      <w:r>
        <w:rPr>
          <w:sz w:val="22"/>
          <w:szCs w:val="22"/>
          <w:rFonts w:ascii="Arial" w:cs="Arial" w:eastAsia="Arial" w:hAnsi="Arial"/>
        </w:rPr>
        <w:t xml:space="preserve">: a refugee is a person who, owing to a </w:t>
      </w:r>
      <w:r>
        <w:rPr>
          <w:b/>
          <w:bCs/>
          <w:sz w:val="22"/>
          <w:szCs w:val="22"/>
          <w:rFonts w:ascii="Arial" w:cs="Arial" w:eastAsia="Arial" w:hAnsi="Arial"/>
        </w:rPr>
        <w:t xml:space="preserve">well-founded fear of being persecuted</w:t>
      </w:r>
      <w:r>
        <w:rPr>
          <w:sz w:val="22"/>
          <w:szCs w:val="22"/>
          <w:rFonts w:ascii="Arial" w:cs="Arial" w:eastAsia="Arial" w:hAnsi="Arial"/>
        </w:rPr>
        <w:t xml:space="preserve"> for reasons of </w:t>
      </w:r>
      <w:r>
        <w:rPr>
          <w:b/>
          <w:bCs/>
          <w:sz w:val="22"/>
          <w:szCs w:val="22"/>
          <w:rFonts w:ascii="Arial" w:cs="Arial" w:eastAsia="Arial" w:hAnsi="Arial"/>
        </w:rPr>
        <w:t xml:space="preserve">race, religion, nationality, membership of a particular social group or political opinion</w:t>
      </w:r>
      <w:r>
        <w:rPr>
          <w:sz w:val="22"/>
          <w:szCs w:val="22"/>
          <w:rFonts w:ascii="Arial" w:cs="Arial" w:eastAsia="Arial" w:hAnsi="Arial"/>
        </w:rPr>
        <w:t xml:space="preserve">, is outside the country of his nationality and is unable or, owing to such fear, unwilling to avail himself of its protection (or, being stateless, is outside his former habitual residence and unable or unwilling to return) — the five grounds; the subjective fear and the objective basis; persecution (serious harm plus a failure of State protection — by the State or by non-State actors the State cannot or will not control); the 'particular social group' (women, sexual minorities, families — the Acosta and Ward tests; UNHCR's Guidelines); economic migrants, victims of generalised violence and natural disasters and 'climate refugees' are outside unless persecution is shown (the regional definitions of the </w:t>
      </w:r>
      <w:r>
        <w:rPr>
          <w:b/>
          <w:bCs/>
          <w:sz w:val="22"/>
          <w:szCs w:val="22"/>
          <w:rFonts w:ascii="Arial" w:cs="Arial" w:eastAsia="Arial" w:hAnsi="Arial"/>
        </w:rPr>
        <w:t xml:space="preserve">OAU Convention (1969)</w:t>
      </w:r>
      <w:r>
        <w:rPr>
          <w:sz w:val="22"/>
          <w:szCs w:val="22"/>
          <w:rFonts w:ascii="Arial" w:cs="Arial" w:eastAsia="Arial" w:hAnsi="Arial"/>
        </w:rPr>
        <w:t xml:space="preserve"> — persons fleeing external aggression, occupation, foreign domination or events seriously disturbing public order — and the </w:t>
      </w:r>
      <w:r>
        <w:rPr>
          <w:b/>
          <w:bCs/>
          <w:sz w:val="22"/>
          <w:szCs w:val="22"/>
          <w:rFonts w:ascii="Arial" w:cs="Arial" w:eastAsia="Arial" w:hAnsi="Arial"/>
        </w:rPr>
        <w:t xml:space="preserve">Cartagena Declaration (1984)</w:t>
      </w:r>
      <w:r>
        <w:rPr>
          <w:sz w:val="22"/>
          <w:szCs w:val="22"/>
          <w:rFonts w:ascii="Arial" w:cs="Arial" w:eastAsia="Arial" w:hAnsi="Arial"/>
        </w:rPr>
        <w:t xml:space="preserve"> — generalised violence, massive violation of human rights — are wider; Teitiota v. New Zealand (HRC 2020) opened the Covenant's Art 6 to climate displacement). </w:t>
      </w:r>
      <w:r>
        <w:rPr>
          <w:b/>
          <w:bCs/>
          <w:sz w:val="22"/>
          <w:szCs w:val="22"/>
          <w:rFonts w:ascii="Arial" w:cs="Arial" w:eastAsia="Arial" w:hAnsi="Arial"/>
        </w:rPr>
        <w:t xml:space="preserve">Art 1C — cessation</w:t>
      </w:r>
      <w:r>
        <w:rPr>
          <w:sz w:val="22"/>
          <w:szCs w:val="22"/>
          <w:rFonts w:ascii="Arial" w:cs="Arial" w:eastAsia="Arial" w:hAnsi="Arial"/>
        </w:rPr>
        <w:t xml:space="preserve"> (voluntary re-availment, re-acquisition, new nationality, re-establishment, the circumstances have ceased); </w:t>
      </w:r>
      <w:r>
        <w:rPr>
          <w:b/>
          <w:bCs/>
          <w:sz w:val="22"/>
          <w:szCs w:val="22"/>
          <w:rFonts w:ascii="Arial" w:cs="Arial" w:eastAsia="Arial" w:hAnsi="Arial"/>
        </w:rPr>
        <w:t xml:space="preserve">Art 1D</w:t>
      </w:r>
      <w:r>
        <w:rPr>
          <w:sz w:val="22"/>
          <w:szCs w:val="22"/>
          <w:rFonts w:ascii="Arial" w:cs="Arial" w:eastAsia="Arial" w:hAnsi="Arial"/>
        </w:rPr>
        <w:t xml:space="preserve"> (Palestinians under UNRWA), </w:t>
      </w:r>
      <w:r>
        <w:rPr>
          <w:b/>
          <w:bCs/>
          <w:sz w:val="22"/>
          <w:szCs w:val="22"/>
          <w:rFonts w:ascii="Arial" w:cs="Arial" w:eastAsia="Arial" w:hAnsi="Arial"/>
        </w:rPr>
        <w:t xml:space="preserve">1E</w:t>
      </w:r>
      <w:r>
        <w:rPr>
          <w:sz w:val="22"/>
          <w:szCs w:val="22"/>
          <w:rFonts w:ascii="Arial" w:cs="Arial" w:eastAsia="Arial" w:hAnsi="Arial"/>
        </w:rPr>
        <w:t xml:space="preserve"> (rights of nationals in the residence country); </w:t>
      </w:r>
      <w:r>
        <w:rPr>
          <w:b/>
          <w:bCs/>
          <w:sz w:val="22"/>
          <w:szCs w:val="22"/>
          <w:rFonts w:ascii="Arial" w:cs="Arial" w:eastAsia="Arial" w:hAnsi="Arial"/>
        </w:rPr>
        <w:t xml:space="preserve">Art 1F — exclusion</w:t>
      </w:r>
      <w:r>
        <w:rPr>
          <w:sz w:val="22"/>
          <w:szCs w:val="22"/>
          <w:rFonts w:ascii="Arial" w:cs="Arial" w:eastAsia="Arial" w:hAnsi="Arial"/>
        </w:rPr>
        <w:t xml:space="preserve">: serious reasons for considering that the person has committed a crime against peace, a war crime or a crime against humanity, a serious non-political crime outside the country of refuge, or acts contrary to the UN's purposes. </w:t>
      </w:r>
      <w:r>
        <w:rPr>
          <w:b/>
          <w:bCs/>
          <w:sz w:val="22"/>
          <w:szCs w:val="22"/>
          <w:rFonts w:ascii="Arial" w:cs="Arial" w:eastAsia="Arial" w:hAnsi="Arial"/>
        </w:rPr>
        <w:t xml:space="preserve">The rights</w:t>
      </w:r>
      <w:r>
        <w:rPr>
          <w:sz w:val="22"/>
          <w:szCs w:val="22"/>
          <w:rFonts w:ascii="Arial" w:cs="Arial" w:eastAsia="Arial" w:hAnsi="Arial"/>
        </w:rPr>
        <w:t xml:space="preserve"> (Arts 3-34, on a sliding scale — the same as nationals for religion, courts, elementary education, public relief, labour law; the most favourable treatment of foreigners for association and wage-earning employment; not less favourable than aliens generally for property, self-employment, housing, higher education): non-discrimination (3), religion (4), personal status (12), property (13-14), access to courts and legal aid (16), employment (17-19), welfare (20-24), identity papers and travel documents (27-28 — the Convention Travel Document), no penalties for illegal entry of refugees coming directly from the territory of persecution who present themselves without delay (31), expulsion only on grounds of national security or public order with due process (32), and </w:t>
      </w:r>
      <w:r>
        <w:rPr>
          <w:b/>
          <w:bCs/>
          <w:sz w:val="22"/>
          <w:szCs w:val="22"/>
          <w:rFonts w:ascii="Arial" w:cs="Arial" w:eastAsia="Arial" w:hAnsi="Arial"/>
        </w:rPr>
        <w:t xml:space="preserve">Art 33 — non-refoulement</w:t>
      </w:r>
      <w:r>
        <w:rPr>
          <w:sz w:val="22"/>
          <w:szCs w:val="22"/>
          <w:rFonts w:ascii="Arial" w:cs="Arial" w:eastAsia="Arial" w:hAnsi="Arial"/>
        </w:rPr>
        <w:t xml:space="preserve">: 'No Contracting State shall expel or return (refouler) a refugee in any manner whatsoever to the frontiers of territories where his life or freedom would be threatened on account of his race, religion, nationality, membership of a particular social group or political opinion' — except a refugee whom there are reasonable grounds for regarding as a danger to the security of the country or who, having been convicted by a final judgment of a particularly serious crime, constitutes a danger to the community (33(2)); non-refoulement is now customary international law (UNHCR's 2007 advisory opinion; the Cartagena and OAU instruments; the 2001 Declaration of States Parties) and, through the Torture Convention's Art 3 and the Covenant's Arts 6-7 (Soering, Chahal), applies to everyone facing torture, without the 33(2) exception; </w:t>
      </w:r>
      <w:r>
        <w:rPr>
          <w:b/>
          <w:bCs/>
          <w:sz w:val="22"/>
          <w:szCs w:val="22"/>
          <w:rFonts w:ascii="Arial" w:cs="Arial" w:eastAsia="Arial" w:hAnsi="Arial"/>
        </w:rPr>
        <w:t xml:space="preserve">Art 35</w:t>
      </w:r>
      <w:r>
        <w:rPr>
          <w:sz w:val="22"/>
          <w:szCs w:val="22"/>
          <w:rFonts w:ascii="Arial" w:cs="Arial" w:eastAsia="Arial" w:hAnsi="Arial"/>
        </w:rPr>
        <w:t xml:space="preserve"> — cooperation with UNHCR; </w:t>
      </w:r>
      <w:r>
        <w:rPr>
          <w:b/>
          <w:bCs/>
          <w:sz w:val="22"/>
          <w:szCs w:val="22"/>
          <w:rFonts w:ascii="Arial" w:cs="Arial" w:eastAsia="Arial" w:hAnsi="Arial"/>
        </w:rPr>
        <w:t xml:space="preserve">Art 42</w:t>
      </w:r>
      <w:r>
        <w:rPr>
          <w:sz w:val="22"/>
          <w:szCs w:val="22"/>
          <w:rFonts w:ascii="Arial" w:cs="Arial" w:eastAsia="Arial" w:hAnsi="Arial"/>
        </w:rPr>
        <w:t xml:space="preserve"> — no reservations to Arts 1, 3, 4, 16(1), 33, 36-46. The </w:t>
      </w:r>
      <w:r>
        <w:rPr>
          <w:b/>
          <w:bCs/>
          <w:sz w:val="22"/>
          <w:szCs w:val="22"/>
          <w:rFonts w:ascii="Arial" w:cs="Arial" w:eastAsia="Arial" w:hAnsi="Arial"/>
        </w:rPr>
        <w:t xml:space="preserve">Global Compact on Refugees (2018)</w:t>
      </w:r>
      <w:r>
        <w:rPr>
          <w:sz w:val="22"/>
          <w:szCs w:val="22"/>
          <w:rFonts w:ascii="Arial" w:cs="Arial" w:eastAsia="Arial" w:hAnsi="Arial"/>
        </w:rPr>
        <w:t xml:space="preserve"> on burden-sharing; the </w:t>
      </w:r>
      <w:r>
        <w:rPr>
          <w:b/>
          <w:bCs/>
          <w:sz w:val="22"/>
          <w:szCs w:val="22"/>
          <w:rFonts w:ascii="Arial" w:cs="Arial" w:eastAsia="Arial" w:hAnsi="Arial"/>
        </w:rPr>
        <w:t xml:space="preserve">Kampala Convention (2009)</w:t>
      </w:r>
      <w:r>
        <w:rPr>
          <w:sz w:val="22"/>
          <w:szCs w:val="22"/>
          <w:rFonts w:ascii="Arial" w:cs="Arial" w:eastAsia="Arial" w:hAnsi="Arial"/>
        </w:rPr>
        <w:t xml:space="preserve"> on IDPs; the </w:t>
      </w:r>
      <w:r>
        <w:rPr>
          <w:b/>
          <w:bCs/>
          <w:sz w:val="22"/>
          <w:szCs w:val="22"/>
          <w:rFonts w:ascii="Arial" w:cs="Arial" w:eastAsia="Arial" w:hAnsi="Arial"/>
        </w:rPr>
        <w:t xml:space="preserve">Guiding Principles on Internal Displacement (1998, Francis Deng)</w:t>
      </w:r>
      <w:r>
        <w:rPr>
          <w:sz w:val="22"/>
          <w:szCs w:val="22"/>
          <w:rFonts w:ascii="Arial" w:cs="Arial" w:eastAsia="Arial" w:hAnsi="Arial"/>
        </w:rPr>
        <w:t xml:space="preserve"> — soft law for the 70 million IDPs; the </w:t>
      </w:r>
      <w:r>
        <w:rPr>
          <w:b/>
          <w:bCs/>
          <w:sz w:val="22"/>
          <w:szCs w:val="22"/>
          <w:rFonts w:ascii="Arial" w:cs="Arial" w:eastAsia="Arial" w:hAnsi="Arial"/>
        </w:rPr>
        <w:t xml:space="preserve">1954 Convention relating to the Status of Stateless Persons</w:t>
      </w:r>
      <w:r>
        <w:rPr>
          <w:sz w:val="22"/>
          <w:szCs w:val="22"/>
          <w:rFonts w:ascii="Arial" w:cs="Arial" w:eastAsia="Arial" w:hAnsi="Arial"/>
        </w:rPr>
        <w:t xml:space="preserve"> and the </w:t>
      </w:r>
      <w:r>
        <w:rPr>
          <w:b/>
          <w:bCs/>
          <w:sz w:val="22"/>
          <w:szCs w:val="22"/>
          <w:rFonts w:ascii="Arial" w:cs="Arial" w:eastAsia="Arial" w:hAnsi="Arial"/>
        </w:rPr>
        <w:t xml:space="preserve">1961 Convention on the Reduction of Statelessness</w:t>
      </w:r>
      <w:r>
        <w:rPr>
          <w:sz w:val="22"/>
          <w:szCs w:val="22"/>
          <w:rFonts w:ascii="Arial" w:cs="Arial" w:eastAsia="Arial" w:hAnsi="Arial"/>
        </w:rPr>
        <w:t xml:space="preserve"> (India party to neither; the Assam NRC's 19 lakh excluded persons and the Rohingya are the Indian statelessness questions); the </w:t>
      </w:r>
      <w:r>
        <w:rPr>
          <w:b/>
          <w:bCs/>
          <w:sz w:val="22"/>
          <w:szCs w:val="22"/>
          <w:rFonts w:ascii="Arial" w:cs="Arial" w:eastAsia="Arial" w:hAnsi="Arial"/>
        </w:rPr>
        <w:t xml:space="preserve">Palermo Protocols</w:t>
      </w:r>
      <w:r>
        <w:rPr>
          <w:sz w:val="22"/>
          <w:szCs w:val="22"/>
          <w:rFonts w:ascii="Arial" w:cs="Arial" w:eastAsia="Arial" w:hAnsi="Arial"/>
        </w:rPr>
        <w:t xml:space="preserve"> on trafficking and smuggling (2000).</w:t>
      </w:r>
    </w:p>
    <w:p>
      <w:pPr>
        <w:spacing w:before="240" w:after="120"/>
      </w:pPr>
      <w:r>
        <w:rPr>
          <w:b/>
          <w:bCs/>
          <w:color w:val="404040"/>
          <w:sz w:val="23"/>
          <w:szCs w:val="23"/>
          <w:rFonts w:ascii="Arial" w:cs="Arial" w:eastAsia="Arial" w:hAnsi="Arial"/>
        </w:rPr>
        <w:t xml:space="preserve">India and refugees</w:t>
      </w:r>
    </w:p>
    <w:p>
      <w:pPr>
        <w:spacing w:after="120" w:line="300"/>
        <w:jc w:val="both"/>
      </w:pPr>
      <w:r>
        <w:rPr>
          <w:sz w:val="22"/>
          <w:szCs w:val="22"/>
          <w:rFonts w:ascii="Arial" w:cs="Arial" w:eastAsia="Arial" w:hAnsi="Arial"/>
        </w:rPr>
        <w:t xml:space="preserve">India has hosted refugees continuously — the Partition's 14 million (1947), the Tibetans (1959 — about 1 lakh, with the Dalai Lama's government-in-exile at Dharamsala, registration certificates and the 2014 Tibetan Rehabilitation Policy), the East Pakistani 10 million (1971 — the largest single refugee flow of the century, repatriated after the war), the Sri Lankan Tamils (from 1983 — about 1 lakh in Tamil Nadu's camps and outside), the Chakmas and Hajongs of the Chittagong Hill Tracts (1964 — settled in Arunachal Pradesh), the Afghans (from 1979 — UNHCR-registered in Delhi), the Burmese (Chin, and since 2012 and 2017 the Rohingya — about 40,000, of whom 16,000 are UNHCR-registered), the Bhutanese Lhotshampas (in transit), the Somalis and others — without acceding to the 1951 Convention or enacting a refugee law. The reasons given: the Convention's Eurocentric origin and burden-sharing failure; porous borders and the fear of unlimited obligations; security; the preference for bilateral and case-by-case handling. The </w:t>
      </w:r>
      <w:r>
        <w:rPr>
          <w:b/>
          <w:bCs/>
          <w:sz w:val="22"/>
          <w:szCs w:val="22"/>
          <w:rFonts w:ascii="Arial" w:cs="Arial" w:eastAsia="Arial" w:hAnsi="Arial"/>
        </w:rPr>
        <w:t xml:space="preserve">legal regime</w:t>
      </w:r>
      <w:r>
        <w:rPr>
          <w:sz w:val="22"/>
          <w:szCs w:val="22"/>
          <w:rFonts w:ascii="Arial" w:cs="Arial" w:eastAsia="Arial" w:hAnsi="Arial"/>
        </w:rPr>
        <w:t xml:space="preserve"> is the </w:t>
      </w:r>
      <w:r>
        <w:rPr>
          <w:b/>
          <w:bCs/>
          <w:sz w:val="22"/>
          <w:szCs w:val="22"/>
          <w:rFonts w:ascii="Arial" w:cs="Arial" w:eastAsia="Arial" w:hAnsi="Arial"/>
        </w:rPr>
        <w:t xml:space="preserve">Foreigners Act 1946</w:t>
      </w:r>
      <w:r>
        <w:rPr>
          <w:sz w:val="22"/>
          <w:szCs w:val="22"/>
          <w:rFonts w:ascii="Arial" w:cs="Arial" w:eastAsia="Arial" w:hAnsi="Arial"/>
        </w:rPr>
        <w:t xml:space="preserve"> (Sec 3 — the Central Government's power to make orders on entry, stay and departure; Sec 3(2)(c) — deportation; Sec 14 — punishment for illegal entry), the </w:t>
      </w:r>
      <w:r>
        <w:rPr>
          <w:b/>
          <w:bCs/>
          <w:sz w:val="22"/>
          <w:szCs w:val="22"/>
          <w:rFonts w:ascii="Arial" w:cs="Arial" w:eastAsia="Arial" w:hAnsi="Arial"/>
        </w:rPr>
        <w:t xml:space="preserve">Passport (Entry into India) Act 1920</w:t>
      </w:r>
      <w:r>
        <w:rPr>
          <w:sz w:val="22"/>
          <w:szCs w:val="22"/>
          <w:rFonts w:ascii="Arial" w:cs="Arial" w:eastAsia="Arial" w:hAnsi="Arial"/>
        </w:rPr>
        <w:t xml:space="preserve">, the </w:t>
      </w:r>
      <w:r>
        <w:rPr>
          <w:b/>
          <w:bCs/>
          <w:sz w:val="22"/>
          <w:szCs w:val="22"/>
          <w:rFonts w:ascii="Arial" w:cs="Arial" w:eastAsia="Arial" w:hAnsi="Arial"/>
        </w:rPr>
        <w:t xml:space="preserve">Registration of Foreigners Act 1939</w:t>
      </w:r>
      <w:r>
        <w:rPr>
          <w:sz w:val="22"/>
          <w:szCs w:val="22"/>
          <w:rFonts w:ascii="Arial" w:cs="Arial" w:eastAsia="Arial" w:hAnsi="Arial"/>
        </w:rPr>
        <w:t xml:space="preserve">, the </w:t>
      </w:r>
      <w:r>
        <w:rPr>
          <w:b/>
          <w:bCs/>
          <w:sz w:val="22"/>
          <w:szCs w:val="22"/>
          <w:rFonts w:ascii="Arial" w:cs="Arial" w:eastAsia="Arial" w:hAnsi="Arial"/>
        </w:rPr>
        <w:t xml:space="preserve">Foreigners Order 1948</w:t>
      </w:r>
      <w:r>
        <w:rPr>
          <w:sz w:val="22"/>
          <w:szCs w:val="22"/>
          <w:rFonts w:ascii="Arial" w:cs="Arial" w:eastAsia="Arial" w:hAnsi="Arial"/>
        </w:rPr>
        <w:t xml:space="preserve"> (Rule 3 — the power to refuse entry, with the 2017 amendment for the Rohingya), the </w:t>
      </w:r>
      <w:r>
        <w:rPr>
          <w:b/>
          <w:bCs/>
          <w:sz w:val="22"/>
          <w:szCs w:val="22"/>
          <w:rFonts w:ascii="Arial" w:cs="Arial" w:eastAsia="Arial" w:hAnsi="Arial"/>
        </w:rPr>
        <w:t xml:space="preserve">Immigration and Foreigners Act 2025</w:t>
      </w:r>
      <w:r>
        <w:rPr>
          <w:sz w:val="22"/>
          <w:szCs w:val="22"/>
          <w:rFonts w:ascii="Arial" w:cs="Arial" w:eastAsia="Arial" w:hAnsi="Arial"/>
        </w:rPr>
        <w:t xml:space="preserve"> (consolidating these; in force September 2025 — with Sec 3's power to refuse entry, no refugee definition), the </w:t>
      </w:r>
      <w:r>
        <w:rPr>
          <w:b/>
          <w:bCs/>
          <w:sz w:val="22"/>
          <w:szCs w:val="22"/>
          <w:rFonts w:ascii="Arial" w:cs="Arial" w:eastAsia="Arial" w:hAnsi="Arial"/>
        </w:rPr>
        <w:t xml:space="preserve">Citizenship Act 1955</w:t>
      </w:r>
      <w:r>
        <w:rPr>
          <w:sz w:val="22"/>
          <w:szCs w:val="22"/>
          <w:rFonts w:ascii="Arial" w:cs="Arial" w:eastAsia="Arial" w:hAnsi="Arial"/>
        </w:rPr>
        <w:t xml:space="preserve"> (Sec 6A for Assam after the 1985 Accord; the Sec 2(1)(b) proviso and Sec 6B inserted by the </w:t>
      </w:r>
      <w:r>
        <w:rPr>
          <w:b/>
          <w:bCs/>
          <w:sz w:val="22"/>
          <w:szCs w:val="22"/>
          <w:rFonts w:ascii="Arial" w:cs="Arial" w:eastAsia="Arial" w:hAnsi="Arial"/>
        </w:rPr>
        <w:t xml:space="preserve">Citizenship (Amendment) Act 2019</w:t>
      </w:r>
      <w:r>
        <w:rPr>
          <w:sz w:val="22"/>
          <w:szCs w:val="22"/>
          <w:rFonts w:ascii="Arial" w:cs="Arial" w:eastAsia="Arial" w:hAnsi="Arial"/>
        </w:rPr>
        <w:t xml:space="preserve"> — Hindu, Sikh, Buddhist, Jain, Parsi and Christian migrants from Afghanistan, Bangladesh and Pakistan who entered before 31 December 2014 are not 'illegal migrants' and may be naturalised after five years; the Rules of March 2024; the challenge pending in the Supreme Court — the Assam Sec 6A upheld in In re Section 6A, 2024), the Standard Operating Procedure of 2011 (revised 2019) for long-term visas to persecuted minorities and to UNHCR-recognised refugees, and the </w:t>
      </w:r>
      <w:r>
        <w:rPr>
          <w:b/>
          <w:bCs/>
          <w:sz w:val="22"/>
          <w:szCs w:val="22"/>
          <w:rFonts w:ascii="Arial" w:cs="Arial" w:eastAsia="Arial" w:hAnsi="Arial"/>
        </w:rPr>
        <w:t xml:space="preserve">courts</w:t>
      </w:r>
      <w:r>
        <w:rPr>
          <w:sz w:val="22"/>
          <w:szCs w:val="22"/>
          <w:rFonts w:ascii="Arial" w:cs="Arial" w:eastAsia="Arial" w:hAnsi="Arial"/>
        </w:rPr>
        <w:t xml:space="preserve">: </w:t>
      </w:r>
      <w:r>
        <w:rPr>
          <w:b/>
          <w:bCs/>
          <w:sz w:val="22"/>
          <w:szCs w:val="22"/>
          <w:rFonts w:ascii="Arial" w:cs="Arial" w:eastAsia="Arial" w:hAnsi="Arial"/>
        </w:rPr>
        <w:t xml:space="preserve">National Human Rights Commission v. State of Arunachal Pradesh (1996)</w:t>
      </w:r>
      <w:r>
        <w:rPr>
          <w:sz w:val="22"/>
          <w:szCs w:val="22"/>
          <w:rFonts w:ascii="Arial" w:cs="Arial" w:eastAsia="Arial" w:hAnsi="Arial"/>
        </w:rPr>
        <w:t xml:space="preserve"> — the Chakmas' right to life and to be considered for citizenship protected under Art 21, which applies to non-citizens; the State must protect them against the AAPSU's 'quit' notices; </w:t>
      </w:r>
      <w:r>
        <w:rPr>
          <w:b/>
          <w:bCs/>
          <w:sz w:val="22"/>
          <w:szCs w:val="22"/>
          <w:rFonts w:ascii="Arial" w:cs="Arial" w:eastAsia="Arial" w:hAnsi="Arial"/>
        </w:rPr>
        <w:t xml:space="preserve">Ktaer Abbas Habib Al Qutaifi v. Union of India (Gujarat HC, 1998)</w:t>
      </w:r>
      <w:r>
        <w:rPr>
          <w:sz w:val="22"/>
          <w:szCs w:val="22"/>
          <w:rFonts w:ascii="Arial" w:cs="Arial" w:eastAsia="Arial" w:hAnsi="Arial"/>
        </w:rPr>
        <w:t xml:space="preserve"> — non-refoulement is part of Art 21; two Iraqi refugees to be released to UNHCR; </w:t>
      </w:r>
      <w:r>
        <w:rPr>
          <w:b/>
          <w:bCs/>
          <w:sz w:val="22"/>
          <w:szCs w:val="22"/>
          <w:rFonts w:ascii="Arial" w:cs="Arial" w:eastAsia="Arial" w:hAnsi="Arial"/>
        </w:rPr>
        <w:t xml:space="preserve">Dongh Lian Kham v. Union of India (Delhi HC, 2015)</w:t>
      </w:r>
      <w:r>
        <w:rPr>
          <w:sz w:val="22"/>
          <w:szCs w:val="22"/>
          <w:rFonts w:ascii="Arial" w:cs="Arial" w:eastAsia="Arial" w:hAnsi="Arial"/>
        </w:rPr>
        <w:t xml:space="preserve"> — Burmese Chin refugees not to be deported; </w:t>
      </w:r>
      <w:r>
        <w:rPr>
          <w:b/>
          <w:bCs/>
          <w:sz w:val="22"/>
          <w:szCs w:val="22"/>
          <w:rFonts w:ascii="Arial" w:cs="Arial" w:eastAsia="Arial" w:hAnsi="Arial"/>
        </w:rPr>
        <w:t xml:space="preserve">Louis De Raedt v. Union of India (1991)</w:t>
      </w:r>
      <w:r>
        <w:rPr>
          <w:sz w:val="22"/>
          <w:szCs w:val="22"/>
          <w:rFonts w:ascii="Arial" w:cs="Arial" w:eastAsia="Arial" w:hAnsi="Arial"/>
        </w:rPr>
        <w:t xml:space="preserve"> — a foreigner's Art 21 rights but no right to reside; </w:t>
      </w:r>
      <w:r>
        <w:rPr>
          <w:b/>
          <w:bCs/>
          <w:sz w:val="22"/>
          <w:szCs w:val="22"/>
          <w:rFonts w:ascii="Arial" w:cs="Arial" w:eastAsia="Arial" w:hAnsi="Arial"/>
        </w:rPr>
        <w:t xml:space="preserve">Hans Muller of Nurenburg v. Superintendent, Presidency Jail (1955)</w:t>
      </w:r>
      <w:r>
        <w:rPr>
          <w:sz w:val="22"/>
          <w:szCs w:val="22"/>
          <w:rFonts w:ascii="Arial" w:cs="Arial" w:eastAsia="Arial" w:hAnsi="Arial"/>
        </w:rPr>
        <w:t xml:space="preserve"> — the Government's absolute power to expel foreigners; </w:t>
      </w:r>
      <w:r>
        <w:rPr>
          <w:b/>
          <w:bCs/>
          <w:sz w:val="22"/>
          <w:szCs w:val="22"/>
          <w:rFonts w:ascii="Arial" w:cs="Arial" w:eastAsia="Arial" w:hAnsi="Arial"/>
        </w:rPr>
        <w:t xml:space="preserve">Sarbananda Sonowal v. Union of India (2005)</w:t>
      </w:r>
      <w:r>
        <w:rPr>
          <w:sz w:val="22"/>
          <w:szCs w:val="22"/>
          <w:rFonts w:ascii="Arial" w:cs="Arial" w:eastAsia="Arial" w:hAnsi="Arial"/>
        </w:rPr>
        <w:t xml:space="preserve"> — the IMDT Act struck down; 'external aggression' by illegal migration; </w:t>
      </w:r>
      <w:r>
        <w:rPr>
          <w:b/>
          <w:bCs/>
          <w:sz w:val="22"/>
          <w:szCs w:val="22"/>
          <w:rFonts w:ascii="Arial" w:cs="Arial" w:eastAsia="Arial" w:hAnsi="Arial"/>
        </w:rPr>
        <w:t xml:space="preserve">Mohammad Salimullah v. Union of India (2021)</w:t>
      </w:r>
      <w:r>
        <w:rPr>
          <w:sz w:val="22"/>
          <w:szCs w:val="22"/>
          <w:rFonts w:ascii="Arial" w:cs="Arial" w:eastAsia="Arial" w:hAnsi="Arial"/>
        </w:rPr>
        <w:t xml:space="preserve"> — the Supreme Court declined to stay the deportation of Rohingya detained in Jammu, observing that the right not to be deported is 'ancillary or concomitant to the right to reside or settle' under Art 19(1)(e), available only to citizens, while directing that the deportation follow the prescribed procedure — the ruling that has narrowed the Art 21 non-refoulement reading; the 2024-25 orders on the Rohingya in Delhi and Assam. The Chakma case, Ktaer Abbas and the NHRC's interventions represent the humanitarian strand; Salimullah and the CAA's religious criterion the sovereignty strand; the Asylum Bills of 2015 (Shashi Tharoor) and the Model National Law on Refugees (the Eminent Persons Group, 1997) were never taken up.</w:t>
      </w:r>
    </w:p>
    <w:p>
      <w:pPr>
        <w:spacing w:before="240" w:after="120"/>
      </w:pPr>
      <w:r>
        <w:rPr>
          <w:b/>
          <w:bCs/>
          <w:color w:val="404040"/>
          <w:sz w:val="23"/>
          <w:szCs w:val="23"/>
          <w:rFonts w:ascii="Arial" w:cs="Arial" w:eastAsia="Arial" w:hAnsi="Arial"/>
        </w:rPr>
        <w:t xml:space="preserve">The other vulnerable groups — in outline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Minorities</w:t>
      </w:r>
      <w:r>
        <w:rPr>
          <w:sz w:val="22"/>
          <w:szCs w:val="22"/>
          <w:rFonts w:ascii="Arial" w:cs="Arial" w:eastAsia="Arial" w:hAnsi="Arial"/>
        </w:rPr>
        <w:t xml:space="preserve"> — Art 27 ICCPR; the </w:t>
      </w:r>
      <w:r>
        <w:rPr>
          <w:b/>
          <w:bCs/>
          <w:sz w:val="22"/>
          <w:szCs w:val="22"/>
          <w:rFonts w:ascii="Arial" w:cs="Arial" w:eastAsia="Arial" w:hAnsi="Arial"/>
        </w:rPr>
        <w:t xml:space="preserve">Declaration on the Rights of Persons Belonging to National or Ethnic, Religious and Linguistic Minorities (1992)</w:t>
      </w:r>
      <w:r>
        <w:rPr>
          <w:sz w:val="22"/>
          <w:szCs w:val="22"/>
          <w:rFonts w:ascii="Arial" w:cs="Arial" w:eastAsia="Arial" w:hAnsi="Arial"/>
        </w:rPr>
        <w:t xml:space="preserve">; the Forum on Minority Issues; the Special Rapporteur; the Council of Europe's Framework Convention (1995); in India Arts 25-30, the National Commission for Minorities Act 1992 (the six notified minorities), the Linguistic Minorities Commissioner (Art 350B), T.M.A. Pai (2002) and the minority-institution cases. </w:t>
      </w:r>
      <w:r>
        <w:rPr>
          <w:b/>
          <w:bCs/>
          <w:sz w:val="22"/>
          <w:szCs w:val="22"/>
          <w:rFonts w:ascii="Arial" w:cs="Arial" w:eastAsia="Arial" w:hAnsi="Arial"/>
        </w:rPr>
        <w:t xml:space="preserve">Persons with disabilities</w:t>
      </w:r>
      <w:r>
        <w:rPr>
          <w:sz w:val="22"/>
          <w:szCs w:val="22"/>
          <w:rFonts w:ascii="Arial" w:cs="Arial" w:eastAsia="Arial" w:hAnsi="Arial"/>
        </w:rPr>
        <w:t xml:space="preserve"> — the </w:t>
      </w:r>
      <w:r>
        <w:rPr>
          <w:b/>
          <w:bCs/>
          <w:sz w:val="22"/>
          <w:szCs w:val="22"/>
          <w:rFonts w:ascii="Arial" w:cs="Arial" w:eastAsia="Arial" w:hAnsi="Arial"/>
        </w:rPr>
        <w:t xml:space="preserve">Convention on the Rights of Persons with Disabilities (2006; in force 2008; 191 parties; India ratified 2007)</w:t>
      </w:r>
      <w:r>
        <w:rPr>
          <w:sz w:val="22"/>
          <w:szCs w:val="22"/>
          <w:rFonts w:ascii="Arial" w:cs="Arial" w:eastAsia="Arial" w:hAnsi="Arial"/>
        </w:rPr>
        <w:t xml:space="preserve"> — the social model, reasonable accommodation, accessibility, legal capacity (Art 12), inclusive education, the CRPD Committee; India's </w:t>
      </w:r>
      <w:r>
        <w:rPr>
          <w:b/>
          <w:bCs/>
          <w:sz w:val="22"/>
          <w:szCs w:val="22"/>
          <w:rFonts w:ascii="Arial" w:cs="Arial" w:eastAsia="Arial" w:hAnsi="Arial"/>
        </w:rPr>
        <w:t xml:space="preserve">Rights of Persons with Disabilities Act 2016</w:t>
      </w:r>
      <w:r>
        <w:rPr>
          <w:sz w:val="22"/>
          <w:szCs w:val="22"/>
          <w:rFonts w:ascii="Arial" w:cs="Arial" w:eastAsia="Arial" w:hAnsi="Arial"/>
        </w:rPr>
        <w:t xml:space="preserve"> (21 disabilities, four per cent reservation, the 2017 Mental Healthcare Act's decriminalisation of suicide; Vikash Kumar v. UPSC, 2021; Rajive Raturi v. Union of India, 2024 — accessibility rules mandatory). </w:t>
      </w:r>
      <w:r>
        <w:rPr>
          <w:b/>
          <w:bCs/>
          <w:sz w:val="22"/>
          <w:szCs w:val="22"/>
          <w:rFonts w:ascii="Arial" w:cs="Arial" w:eastAsia="Arial" w:hAnsi="Arial"/>
        </w:rPr>
        <w:t xml:space="preserve">Migrant workers</w:t>
      </w:r>
      <w:r>
        <w:rPr>
          <w:sz w:val="22"/>
          <w:szCs w:val="22"/>
          <w:rFonts w:ascii="Arial" w:cs="Arial" w:eastAsia="Arial" w:hAnsi="Arial"/>
        </w:rPr>
        <w:t xml:space="preserve"> — the </w:t>
      </w:r>
      <w:r>
        <w:rPr>
          <w:b/>
          <w:bCs/>
          <w:sz w:val="22"/>
          <w:szCs w:val="22"/>
          <w:rFonts w:ascii="Arial" w:cs="Arial" w:eastAsia="Arial" w:hAnsi="Arial"/>
        </w:rPr>
        <w:t xml:space="preserve">ICRMW (1990; in force 2003; 59 parties, none of the major destination States; India not a party)</w:t>
      </w:r>
      <w:r>
        <w:rPr>
          <w:sz w:val="22"/>
          <w:szCs w:val="22"/>
          <w:rFonts w:ascii="Arial" w:cs="Arial" w:eastAsia="Arial" w:hAnsi="Arial"/>
        </w:rPr>
        <w:t xml:space="preserve">; the ILO Conventions 97 and 143; the Global Compact for Migration (2018); in India the Inter-State Migrant Workmen Act 1979 (now the OSH Code) and the Covid-19 migrant crisis (the Supreme Court's 2020-21 suo motu orders). </w:t>
      </w:r>
      <w:r>
        <w:rPr>
          <w:b/>
          <w:bCs/>
          <w:sz w:val="22"/>
          <w:szCs w:val="22"/>
          <w:rFonts w:ascii="Arial" w:cs="Arial" w:eastAsia="Arial" w:hAnsi="Arial"/>
        </w:rPr>
        <w:t xml:space="preserve">Older persons</w:t>
      </w:r>
      <w:r>
        <w:rPr>
          <w:sz w:val="22"/>
          <w:szCs w:val="22"/>
          <w:rFonts w:ascii="Arial" w:cs="Arial" w:eastAsia="Arial" w:hAnsi="Arial"/>
        </w:rPr>
        <w:t xml:space="preserve"> — the Madrid Plan (2002), the Open-ended Working Group; India's Maintenance and Welfare of Parents and Senior Citizens Act 2007. </w:t>
      </w:r>
      <w:r>
        <w:rPr>
          <w:b/>
          <w:bCs/>
          <w:sz w:val="22"/>
          <w:szCs w:val="22"/>
          <w:rFonts w:ascii="Arial" w:cs="Arial" w:eastAsia="Arial" w:hAnsi="Arial"/>
        </w:rPr>
        <w:t xml:space="preserve">LGBTQI+ persons</w:t>
      </w:r>
      <w:r>
        <w:rPr>
          <w:sz w:val="22"/>
          <w:szCs w:val="22"/>
          <w:rFonts w:ascii="Arial" w:cs="Arial" w:eastAsia="Arial" w:hAnsi="Arial"/>
        </w:rPr>
        <w:t xml:space="preserve"> — the Yogyakarta Principles (2006, +10 in 2017), the Independent Expert (2016), Toonen, Navtej Johar (2018), NALSA v. Union of India (2014 — transgender persons' rights, citing the Yogyakarta Principles), the Transgender Persons (Protection of Rights) Act 2019, Supriyo v. Union of India (2023 — no right to same-sex marriage). </w:t>
      </w:r>
      <w:r>
        <w:rPr>
          <w:b/>
          <w:bCs/>
          <w:sz w:val="22"/>
          <w:szCs w:val="22"/>
          <w:rFonts w:ascii="Arial" w:cs="Arial" w:eastAsia="Arial" w:hAnsi="Arial"/>
        </w:rPr>
        <w:t xml:space="preserve">Dalits and caste</w:t>
      </w:r>
      <w:r>
        <w:rPr>
          <w:sz w:val="22"/>
          <w:szCs w:val="22"/>
          <w:rFonts w:ascii="Arial" w:cs="Arial" w:eastAsia="Arial" w:hAnsi="Arial"/>
        </w:rPr>
        <w:t xml:space="preserve"> — the CERD's General Recommendation 29 (2002) on descent-based discrimination, which India contests as inapplicable; the SC/ST (Prevention of Atrocities) Act 1989 and the Manual Scavengers Act 2013. </w:t>
      </w:r>
      <w:r>
        <w:rPr>
          <w:b/>
          <w:bCs/>
          <w:sz w:val="22"/>
          <w:szCs w:val="22"/>
          <w:rFonts w:ascii="Arial" w:cs="Arial" w:eastAsia="Arial" w:hAnsi="Arial"/>
        </w:rPr>
        <w:t xml:space="preserve">Human rights defenders</w:t>
      </w:r>
      <w:r>
        <w:rPr>
          <w:sz w:val="22"/>
          <w:szCs w:val="22"/>
          <w:rFonts w:ascii="Arial" w:cs="Arial" w:eastAsia="Arial" w:hAnsi="Arial"/>
        </w:rPr>
        <w:t xml:space="preserve"> — the 1998 Declaration; </w:t>
      </w:r>
      <w:r>
        <w:rPr>
          <w:b/>
          <w:bCs/>
          <w:sz w:val="22"/>
          <w:szCs w:val="22"/>
          <w:rFonts w:ascii="Arial" w:cs="Arial" w:eastAsia="Arial" w:hAnsi="Arial"/>
        </w:rPr>
        <w:t xml:space="preserve">journalists</w:t>
      </w:r>
      <w:r>
        <w:rPr>
          <w:sz w:val="22"/>
          <w:szCs w:val="22"/>
          <w:rFonts w:ascii="Arial" w:cs="Arial" w:eastAsia="Arial" w:hAnsi="Arial"/>
        </w:rPr>
        <w:t xml:space="preserve"> — Security Council Resolution 2222 (2015). </w:t>
      </w:r>
      <w:r>
        <w:rPr>
          <w:b/>
          <w:bCs/>
          <w:sz w:val="22"/>
          <w:szCs w:val="22"/>
          <w:rFonts w:ascii="Arial" w:cs="Arial" w:eastAsia="Arial" w:hAnsi="Arial"/>
        </w:rPr>
        <w:t xml:space="preserve">Victims of trafficking and contemporary slavery</w:t>
      </w:r>
      <w:r>
        <w:rPr>
          <w:sz w:val="22"/>
          <w:szCs w:val="22"/>
          <w:rFonts w:ascii="Arial" w:cs="Arial" w:eastAsia="Arial" w:hAnsi="Arial"/>
        </w:rPr>
        <w:t xml:space="preserve"> — the Palermo Protocol, the Special Rapporteur, India's Immoral Traffic Act, Sec 370 IPC/BNS 143, and the anti-trafficking Bill drafts of 2018 and 2021.</w:t>
      </w:r>
    </w:p>
    <w:p>
      <w:pPr>
        <w:pBdr>
          <w:left w:val="single" w:color="CC0000" w:sz="6" w:space="8"/>
        </w:pBdr>
        <w:spacing w:before="80" w:after="80"/>
        <w:ind w:left="300"/>
      </w:pPr>
      <w:r>
        <w:rPr>
          <w:b/>
          <w:bCs/>
          <w:color w:val="CC0000"/>
          <w:sz w:val="21"/>
          <w:szCs w:val="21"/>
          <w:rFonts w:ascii="Arial" w:cs="Arial" w:eastAsia="Arial" w:hAnsi="Arial"/>
        </w:rPr>
        <w:t xml:space="preserve">Orissa Mining Corporation v. Ministry of Environment and Forests (2013) 6 SCC 476 (Niyamgiri) — </w:t>
      </w:r>
      <w:r>
        <w:rPr>
          <w:sz w:val="21"/>
          <w:szCs w:val="21"/>
          <w:rFonts w:ascii="Arial" w:cs="Arial" w:eastAsia="Arial" w:hAnsi="Arial"/>
        </w:rPr>
        <w:t xml:space="preserve">The gram sabhas under the Forest Rights Act and PESA must decide whether the mining infringes the Dongria Kondh's religious and cultural rights; ILO 169, UNDRIP and Saramaka's FPIC standard cited; the Ministry to abide by the decision.</w:t>
      </w:r>
    </w:p>
    <w:p>
      <w:pPr>
        <w:pBdr>
          <w:left w:val="single" w:color="CC0000" w:sz="6" w:space="8"/>
        </w:pBdr>
        <w:spacing w:before="80" w:after="80"/>
        <w:ind w:left="300"/>
      </w:pPr>
      <w:r>
        <w:rPr>
          <w:b/>
          <w:bCs/>
          <w:color w:val="CC0000"/>
          <w:sz w:val="21"/>
          <w:szCs w:val="21"/>
          <w:rFonts w:ascii="Arial" w:cs="Arial" w:eastAsia="Arial" w:hAnsi="Arial"/>
        </w:rPr>
        <w:t xml:space="preserve">Samatha v. State of Andhra Pradesh (1997) 8 SCC 191 — </w:t>
      </w:r>
      <w:r>
        <w:rPr>
          <w:sz w:val="21"/>
          <w:szCs w:val="21"/>
          <w:rFonts w:ascii="Arial" w:cs="Arial" w:eastAsia="Arial" w:hAnsi="Arial"/>
        </w:rPr>
        <w:t xml:space="preserve">Mining leases in Scheduled Areas to non-tribals (including through the Government) are void under the A.P. Regulation; the Fifth Schedule, Art 46 and the ILO Conventions; tribal land is a source of livelihood and identity.</w:t>
      </w:r>
    </w:p>
    <w:p>
      <w:pPr>
        <w:pBdr>
          <w:left w:val="single" w:color="CC0000" w:sz="6" w:space="8"/>
        </w:pBdr>
        <w:spacing w:before="80" w:after="80"/>
        <w:ind w:left="300"/>
      </w:pPr>
      <w:r>
        <w:rPr>
          <w:b/>
          <w:bCs/>
          <w:color w:val="CC0000"/>
          <w:sz w:val="21"/>
          <w:szCs w:val="21"/>
          <w:rFonts w:ascii="Arial" w:cs="Arial" w:eastAsia="Arial" w:hAnsi="Arial"/>
        </w:rPr>
        <w:t xml:space="preserve">National Human Rights Commission v. State of Arunachal Pradesh (1996) 1 SCC 742 — </w:t>
      </w:r>
      <w:r>
        <w:rPr>
          <w:sz w:val="21"/>
          <w:szCs w:val="21"/>
          <w:rFonts w:ascii="Arial" w:cs="Arial" w:eastAsia="Arial" w:hAnsi="Arial"/>
        </w:rPr>
        <w:t xml:space="preserve">The Chakma refugees' right to life and liberty under Art 21 protects them against forcible eviction; the State must protect them and process their citizenship applications; Art 21 applies to non-citizens.</w:t>
      </w:r>
    </w:p>
    <w:p>
      <w:pPr>
        <w:pBdr>
          <w:left w:val="single" w:color="CC0000" w:sz="6" w:space="8"/>
        </w:pBdr>
        <w:spacing w:before="80" w:after="80"/>
        <w:ind w:left="300"/>
      </w:pPr>
      <w:r>
        <w:rPr>
          <w:b/>
          <w:bCs/>
          <w:color w:val="CC0000"/>
          <w:sz w:val="21"/>
          <w:szCs w:val="21"/>
          <w:rFonts w:ascii="Arial" w:cs="Arial" w:eastAsia="Arial" w:hAnsi="Arial"/>
        </w:rPr>
        <w:t xml:space="preserve">Ktaer Abbas Habib Al Qutaifi v. Union of India, 1999 CriLJ 919 (Gujarat HC) — </w:t>
      </w:r>
      <w:r>
        <w:rPr>
          <w:sz w:val="21"/>
          <w:szCs w:val="21"/>
          <w:rFonts w:ascii="Arial" w:cs="Arial" w:eastAsia="Arial" w:hAnsi="Arial"/>
        </w:rPr>
        <w:t xml:space="preserve">Non-refoulement is encompassed in Art 21 so long as it is not prejudicial to national security; the Iraqi refugees to be handed to UNHCR, not deported.</w:t>
      </w:r>
    </w:p>
    <w:p>
      <w:pPr>
        <w:pBdr>
          <w:left w:val="single" w:color="CC0000" w:sz="6" w:space="8"/>
        </w:pBdr>
        <w:spacing w:before="80" w:after="80"/>
        <w:ind w:left="300"/>
      </w:pPr>
      <w:r>
        <w:rPr>
          <w:b/>
          <w:bCs/>
          <w:color w:val="CC0000"/>
          <w:sz w:val="21"/>
          <w:szCs w:val="21"/>
          <w:rFonts w:ascii="Arial" w:cs="Arial" w:eastAsia="Arial" w:hAnsi="Arial"/>
        </w:rPr>
        <w:t xml:space="preserve">Mohammad Salimullah v. Union of India (2021) SCC OnLine SC 296 — </w:t>
      </w:r>
      <w:r>
        <w:rPr>
          <w:sz w:val="21"/>
          <w:szCs w:val="21"/>
          <w:rFonts w:ascii="Arial" w:cs="Arial" w:eastAsia="Arial" w:hAnsi="Arial"/>
        </w:rPr>
        <w:t xml:space="preserve">Interim order: no stay on the deportation of Rohingya from Jammu; the right not to be deported is concomitant to Art 19(1)(e), a citizens' right; deportation to follow procedure; the non-refoulement question left open.</w:t>
      </w:r>
    </w:p>
    <w:p>
      <w:pPr>
        <w:pBdr>
          <w:left w:val="single" w:color="CC0000" w:sz="6" w:space="8"/>
        </w:pBdr>
        <w:spacing w:before="80" w:after="80"/>
        <w:ind w:left="300"/>
      </w:pPr>
      <w:r>
        <w:rPr>
          <w:b/>
          <w:bCs/>
          <w:color w:val="CC0000"/>
          <w:sz w:val="21"/>
          <w:szCs w:val="21"/>
          <w:rFonts w:ascii="Arial" w:cs="Arial" w:eastAsia="Arial" w:hAnsi="Arial"/>
        </w:rPr>
        <w:t xml:space="preserve">Application of the Convention on the Prevention and Punishment of the Crime of Genocide (The Gambia v. Myanmar), ICJ 2020 (provisional measures) and 2022 (jurisdiction) — </w:t>
      </w:r>
      <w:r>
        <w:rPr>
          <w:sz w:val="21"/>
          <w:szCs w:val="21"/>
          <w:rFonts w:ascii="Arial" w:cs="Arial" w:eastAsia="Arial" w:hAnsi="Arial"/>
        </w:rPr>
        <w:t xml:space="preserve">Myanmar ordered to prevent genocidal acts against the Rohingya and preserve evidence; any State party may bring a claim under the Convention (erga omnes partes); the Rohingya's displacement as the subject of an inter-State case.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UNHCR's biometric registration (PRIMES) covers the refugees it registers in India; the Forest Rights Act claims are tracked on the Tribal Affairs Ministry's MIS; the Niyamgiri gram sabhas' proceedings were video-recorded under the Court's order; and the Rohingya's identity cards, the NRC's digital exclusion lists and the CAA's online portal are the digital face of the statelessness problem.</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'ILO Convention 107 vs 169', 'UNDRIP', 'Free, prior and informed consent', 'Samatha case', 'Niyamgiri case', 'Definition of refugee (Art 1A(2))', 'Non-refoulement (Art 33)', 'Exclusion clauses (Art 1F)', 'UNHCR', 'Why India is not a party to the 1951 Convention', 'Chakma case', 'CAA 2019', 'Internally displaced persons', 'CRPD'. Part B: 'Discuss the international law relating to indigenous peoples and examine India's position and law'; or 'Explain the definition of refugee and the principle of non-refoulement under the 1951 Convention, and examine the Indian practice in the absence of a refugee law'; or 'Write notes on the rights of minorities, migrant workers and persons with disabilities'. Part C: a State grants a bauxite lease in a Scheduled Area without consulting the gram sabha — Samatha (void if to a non-tribal), PESA Sec 4, the FRA, Niyamgiri; a Rohingya woman registered with UNHCR is detained for deportation — Salimullah allows deportation by procedure, but Chahal/Art 3 CAT (India signed) and the Gambia v. Myanmar findings support non-refoulement under Art 21 (Ktaer Abbas); a Sri Lankan Tamil refugee in a camp is refused work — no Convention rights, but Art 21 and Art 14 apply to the extent of life and dignity; a person excluded from the Assam NRC has no other nationality — statelessness, the 1961 Convention's standards, the Foreigners Tribunals and the Sec 6A ruling.</w:t>
      </w:r>
    </w:p>
    <w:p>
      <w:r>
        <w:br w:type="page"/>
      </w:r>
    </w:p>
    <w:p>
      <w:pPr>
        <w:pStyle w:val="Heading1"/>
        <w:spacing w:before="480" w:after="200"/>
      </w:pPr>
      <w:r>
        <w:rPr>
          <w:b/>
          <w:bCs/>
          <w:color w:val="1F4E79"/>
          <w:sz w:val="32"/>
          <w:szCs w:val="32"/>
          <w:rFonts w:ascii="Arial" w:cs="Arial" w:eastAsia="Arial" w:hAnsi="Arial"/>
        </w:rPr>
        <w:t xml:space="preserve">Episode 10 — A Memory of Solferino: Henry Dunant and International Humanitarian Law</w:t>
      </w:r>
    </w:p>
    <w:p>
      <w:pPr>
        <w:pStyle w:val="Heading2"/>
        <w:spacing w:before="360" w:after="160"/>
      </w:pPr>
      <w:r>
        <w:rPr>
          <w:b/>
          <w:bCs/>
          <w:color w:val="2E75B6"/>
          <w:sz w:val="26"/>
          <w:szCs w:val="26"/>
          <w:rFonts w:ascii="Arial" w:cs="Arial" w:eastAsia="Arial" w:hAnsi="Arial"/>
        </w:rPr>
        <w:t xml:space="preserve">Covers: Origin and sources — Dunant, the Lieber Code, Geneva and Hague law, the 1949 Conventions and the 1977 Protocols, customary IHL · Basic principles — distinction, military necessity, proportionality, humanity, precaution, the Martens clause · The four Geneva Conventions · Rights of prisoners of war (GC III) · Rights of civilians (GC IV and AP I) · Common Art 3 and non-international armed conflict (AP II) · Women and IHL · IHL and human rights law · India and IHL — the Geneva Conventions Act 1960</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Solferino, Lombardy, 24 June 1859. A Swiss businessman, Henry Dunant, had come to northern Italy to petition Napoleon III about a business concession in Algeria, and found himself at the edge of the largest battle Europe had seen since Waterloo — 300,000 men of the French-Sardinian and Austrian armies, and by nightfall 40,000 dead and wounded on the field. The armies' medical services collapsed; the wounded lay for days; the Austrians who could not move were bayoneted. Dunant organised the women of the nearby town of Castiglione to nurse the wounded of both sides — 'tutti fratelli', all brothers, they said — bought supplies with his own money and persuaded the French to release captured Austrian doctors. In 1862 he published, at his own expense, 'A Memory of Solferino', which ended with two proposals: that every country form a society of trained volunteers to care for the wounded in war, and that the nations agree a treaty to protect the wounded and those who tend them. The Geneva Society for Public Welfare formed the Committee of Five — Dunant, the jurist Gustave Moynier, General Dufour and two doctors — in February 1863; the International Conference of October 1863 created the national societies and the emblem; and on 22 August 1864 twelve States signed the Geneva Convention for the Amelioration of the Condition of the Wounded in Armies in the Field — ten articles that made ambulances, hospitals and medical personnel neutral and required the wounded of every side to be collected and cared for. Dunant went bankrupt, was expelled from the Committee, lived in obscurity for thirty years and shared the first Nobel Peace Prize in 1901. His two proposals became the Red Cross and the Geneva Conventions, and his book's rule — that the enemy who can no longer fight is a man to be cared for — is the first principle of the law this episode describes.</w:t>
      </w:r>
    </w:p>
    <w:p>
      <w:pPr>
        <w:spacing w:before="240" w:after="120"/>
      </w:pPr>
      <w:r>
        <w:rPr>
          <w:b/>
          <w:bCs/>
          <w:color w:val="404040"/>
          <w:sz w:val="23"/>
          <w:szCs w:val="23"/>
          <w:rFonts w:ascii="Arial" w:cs="Arial" w:eastAsia="Arial" w:hAnsi="Arial"/>
        </w:rPr>
        <w:t xml:space="preserve">Origin and sources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International humanitarian law (IHL)</w:t>
      </w:r>
      <w:r>
        <w:rPr>
          <w:sz w:val="22"/>
          <w:szCs w:val="22"/>
          <w:rFonts w:ascii="Arial" w:cs="Arial" w:eastAsia="Arial" w:hAnsi="Arial"/>
        </w:rPr>
        <w:t xml:space="preserve"> — the law of armed conflict, the jus in bello (as distinct from the jus ad bellum, the law on the resort to force under the UN Charter's Arts 2(4) and 51) — is the body of rules which, for humanitarian reasons, limits the effects of armed conflict by protecting persons who are not or are no longer participating in hostilities and by restricting the means and methods of warfare. Its two historical streams: </w:t>
      </w:r>
      <w:r>
        <w:rPr>
          <w:b/>
          <w:bCs/>
          <w:sz w:val="22"/>
          <w:szCs w:val="22"/>
          <w:rFonts w:ascii="Arial" w:cs="Arial" w:eastAsia="Arial" w:hAnsi="Arial"/>
        </w:rPr>
        <w:t xml:space="preserve">Geneva law</w:t>
      </w:r>
      <w:r>
        <w:rPr>
          <w:sz w:val="22"/>
          <w:szCs w:val="22"/>
          <w:rFonts w:ascii="Arial" w:cs="Arial" w:eastAsia="Arial" w:hAnsi="Arial"/>
        </w:rPr>
        <w:t xml:space="preserve"> (the protection of victims — the wounded, sick, shipwrecked, prisoners, civilians) and </w:t>
      </w:r>
      <w:r>
        <w:rPr>
          <w:b/>
          <w:bCs/>
          <w:sz w:val="22"/>
          <w:szCs w:val="22"/>
          <w:rFonts w:ascii="Arial" w:cs="Arial" w:eastAsia="Arial" w:hAnsi="Arial"/>
        </w:rPr>
        <w:t xml:space="preserve">Hague law</w:t>
      </w:r>
      <w:r>
        <w:rPr>
          <w:sz w:val="22"/>
          <w:szCs w:val="22"/>
          <w:rFonts w:ascii="Arial" w:cs="Arial" w:eastAsia="Arial" w:hAnsi="Arial"/>
        </w:rPr>
        <w:t xml:space="preserve"> (the conduct of hostilities — weapons, targets, methods), merged in the 1977 Protocols. </w:t>
      </w:r>
      <w:r>
        <w:rPr>
          <w:b/>
          <w:bCs/>
          <w:sz w:val="22"/>
          <w:szCs w:val="22"/>
          <w:rFonts w:ascii="Arial" w:cs="Arial" w:eastAsia="Arial" w:hAnsi="Arial"/>
        </w:rPr>
        <w:t xml:space="preserve">Sources</w:t>
      </w:r>
      <w:r>
        <w:rPr>
          <w:sz w:val="22"/>
          <w:szCs w:val="22"/>
          <w:rFonts w:ascii="Arial" w:cs="Arial" w:eastAsia="Arial" w:hAnsi="Arial"/>
        </w:rPr>
        <w:t xml:space="preserve">: (1) the </w:t>
      </w:r>
      <w:r>
        <w:rPr>
          <w:b/>
          <w:bCs/>
          <w:sz w:val="22"/>
          <w:szCs w:val="22"/>
          <w:rFonts w:ascii="Arial" w:cs="Arial" w:eastAsia="Arial" w:hAnsi="Arial"/>
        </w:rPr>
        <w:t xml:space="preserve">Lieber Code (1863)</w:t>
      </w:r>
      <w:r>
        <w:rPr>
          <w:sz w:val="22"/>
          <w:szCs w:val="22"/>
          <w:rFonts w:ascii="Arial" w:cs="Arial" w:eastAsia="Arial" w:hAnsi="Arial"/>
        </w:rPr>
        <w:t xml:space="preserve"> — Francis Lieber's instructions for the Union armies, the first modern codification; (2) the </w:t>
      </w:r>
      <w:r>
        <w:rPr>
          <w:b/>
          <w:bCs/>
          <w:sz w:val="22"/>
          <w:szCs w:val="22"/>
          <w:rFonts w:ascii="Arial" w:cs="Arial" w:eastAsia="Arial" w:hAnsi="Arial"/>
        </w:rPr>
        <w:t xml:space="preserve">Geneva Convention of 1864</w:t>
      </w:r>
      <w:r>
        <w:rPr>
          <w:sz w:val="22"/>
          <w:szCs w:val="22"/>
          <w:rFonts w:ascii="Arial" w:cs="Arial" w:eastAsia="Arial" w:hAnsi="Arial"/>
        </w:rPr>
        <w:t xml:space="preserve"> (revised 1906, 1929, 1949); the </w:t>
      </w:r>
      <w:r>
        <w:rPr>
          <w:b/>
          <w:bCs/>
          <w:sz w:val="22"/>
          <w:szCs w:val="22"/>
          <w:rFonts w:ascii="Arial" w:cs="Arial" w:eastAsia="Arial" w:hAnsi="Arial"/>
        </w:rPr>
        <w:t xml:space="preserve">St Petersburg Declaration (1868)</w:t>
      </w:r>
      <w:r>
        <w:rPr>
          <w:sz w:val="22"/>
          <w:szCs w:val="22"/>
          <w:rFonts w:ascii="Arial" w:cs="Arial" w:eastAsia="Arial" w:hAnsi="Arial"/>
        </w:rPr>
        <w:t xml:space="preserve"> — no explosive bullets under 400 grams, and the principle that the only legitimate object of war is to weaken the enemy's military forces and that weapons causing unnecessary suffering are prohibited; (3) the </w:t>
      </w:r>
      <w:r>
        <w:rPr>
          <w:b/>
          <w:bCs/>
          <w:sz w:val="22"/>
          <w:szCs w:val="22"/>
          <w:rFonts w:ascii="Arial" w:cs="Arial" w:eastAsia="Arial" w:hAnsi="Arial"/>
        </w:rPr>
        <w:t xml:space="preserve">Hague Conventions of 1899 and 1907</w:t>
      </w:r>
      <w:r>
        <w:rPr>
          <w:sz w:val="22"/>
          <w:szCs w:val="22"/>
          <w:rFonts w:ascii="Arial" w:cs="Arial" w:eastAsia="Arial" w:hAnsi="Arial"/>
        </w:rPr>
        <w:t xml:space="preserve"> — the Regulations on the Laws and Customs of War on Land (Hague IV, 1907 — belligerents, POWs, hostilities, occupation) and the </w:t>
      </w:r>
      <w:r>
        <w:rPr>
          <w:b/>
          <w:bCs/>
          <w:sz w:val="22"/>
          <w:szCs w:val="22"/>
          <w:rFonts w:ascii="Arial" w:cs="Arial" w:eastAsia="Arial" w:hAnsi="Arial"/>
        </w:rPr>
        <w:t xml:space="preserve">Martens clause</w:t>
      </w:r>
      <w:r>
        <w:rPr>
          <w:sz w:val="22"/>
          <w:szCs w:val="22"/>
          <w:rFonts w:ascii="Arial" w:cs="Arial" w:eastAsia="Arial" w:hAnsi="Arial"/>
        </w:rPr>
        <w:t xml:space="preserve"> in the preamble; the prohibitions of dum-dum bullets and asphyxiating gases; (4) the </w:t>
      </w:r>
      <w:r>
        <w:rPr>
          <w:b/>
          <w:bCs/>
          <w:sz w:val="22"/>
          <w:szCs w:val="22"/>
          <w:rFonts w:ascii="Arial" w:cs="Arial" w:eastAsia="Arial" w:hAnsi="Arial"/>
        </w:rPr>
        <w:t xml:space="preserve">Geneva Protocol of 1925</w:t>
      </w:r>
      <w:r>
        <w:rPr>
          <w:sz w:val="22"/>
          <w:szCs w:val="22"/>
          <w:rFonts w:ascii="Arial" w:cs="Arial" w:eastAsia="Arial" w:hAnsi="Arial"/>
        </w:rPr>
        <w:t xml:space="preserve"> on gas and bacteriological weapons; the </w:t>
      </w:r>
      <w:r>
        <w:rPr>
          <w:b/>
          <w:bCs/>
          <w:sz w:val="22"/>
          <w:szCs w:val="22"/>
          <w:rFonts w:ascii="Arial" w:cs="Arial" w:eastAsia="Arial" w:hAnsi="Arial"/>
        </w:rPr>
        <w:t xml:space="preserve">1929 Geneva Conventions</w:t>
      </w:r>
      <w:r>
        <w:rPr>
          <w:sz w:val="22"/>
          <w:szCs w:val="22"/>
          <w:rFonts w:ascii="Arial" w:cs="Arial" w:eastAsia="Arial" w:hAnsi="Arial"/>
        </w:rPr>
        <w:t xml:space="preserve"> on the wounded and on POWs; (5) the </w:t>
      </w:r>
      <w:r>
        <w:rPr>
          <w:b/>
          <w:bCs/>
          <w:sz w:val="22"/>
          <w:szCs w:val="22"/>
          <w:rFonts w:ascii="Arial" w:cs="Arial" w:eastAsia="Arial" w:hAnsi="Arial"/>
        </w:rPr>
        <w:t xml:space="preserve">four Geneva Conventions of 12 August 1949</w:t>
      </w:r>
      <w:r>
        <w:rPr>
          <w:sz w:val="22"/>
          <w:szCs w:val="22"/>
          <w:rFonts w:ascii="Arial" w:cs="Arial" w:eastAsia="Arial" w:hAnsi="Arial"/>
        </w:rPr>
        <w:t xml:space="preserve"> (in force 21 October 1950; 196 parties — universal): I — wounded and sick in the field; II — wounded, sick and shipwrecked at sea; III — prisoners of war; IV — civilians; (6) the </w:t>
      </w:r>
      <w:r>
        <w:rPr>
          <w:b/>
          <w:bCs/>
          <w:sz w:val="22"/>
          <w:szCs w:val="22"/>
          <w:rFonts w:ascii="Arial" w:cs="Arial" w:eastAsia="Arial" w:hAnsi="Arial"/>
        </w:rPr>
        <w:t xml:space="preserve">Additional Protocols of 8 June 1977</w:t>
      </w:r>
      <w:r>
        <w:rPr>
          <w:sz w:val="22"/>
          <w:szCs w:val="22"/>
          <w:rFonts w:ascii="Arial" w:cs="Arial" w:eastAsia="Arial" w:hAnsi="Arial"/>
        </w:rPr>
        <w:t xml:space="preserve">: I — international armed conflicts (174 parties; India, the United States, Pakistan, Israel, Iran, Turkey are not parties); II — non-international armed conflicts (169 parties; India not a party); and </w:t>
      </w:r>
      <w:r>
        <w:rPr>
          <w:b/>
          <w:bCs/>
          <w:sz w:val="22"/>
          <w:szCs w:val="22"/>
          <w:rFonts w:ascii="Arial" w:cs="Arial" w:eastAsia="Arial" w:hAnsi="Arial"/>
        </w:rPr>
        <w:t xml:space="preserve">AP III (2005)</w:t>
      </w:r>
      <w:r>
        <w:rPr>
          <w:sz w:val="22"/>
          <w:szCs w:val="22"/>
          <w:rFonts w:ascii="Arial" w:cs="Arial" w:eastAsia="Arial" w:hAnsi="Arial"/>
        </w:rPr>
        <w:t xml:space="preserve"> on the red crystal; (7) the weapons treaties — the </w:t>
      </w:r>
      <w:r>
        <w:rPr>
          <w:b/>
          <w:bCs/>
          <w:sz w:val="22"/>
          <w:szCs w:val="22"/>
          <w:rFonts w:ascii="Arial" w:cs="Arial" w:eastAsia="Arial" w:hAnsi="Arial"/>
        </w:rPr>
        <w:t xml:space="preserve">Biological Weapons Convention (1972)</w:t>
      </w:r>
      <w:r>
        <w:rPr>
          <w:sz w:val="22"/>
          <w:szCs w:val="22"/>
          <w:rFonts w:ascii="Arial" w:cs="Arial" w:eastAsia="Arial" w:hAnsi="Arial"/>
        </w:rPr>
        <w:t xml:space="preserve">, the </w:t>
      </w:r>
      <w:r>
        <w:rPr>
          <w:b/>
          <w:bCs/>
          <w:sz w:val="22"/>
          <w:szCs w:val="22"/>
          <w:rFonts w:ascii="Arial" w:cs="Arial" w:eastAsia="Arial" w:hAnsi="Arial"/>
        </w:rPr>
        <w:t xml:space="preserve">Conventional Weapons Convention (1980)</w:t>
      </w:r>
      <w:r>
        <w:rPr>
          <w:sz w:val="22"/>
          <w:szCs w:val="22"/>
          <w:rFonts w:ascii="Arial" w:cs="Arial" w:eastAsia="Arial" w:hAnsi="Arial"/>
        </w:rPr>
        <w:t xml:space="preserve"> with its Protocols (non-detectable fragments, mines and booby-traps, incendiaries, blinding lasers, explosive remnants), the </w:t>
      </w:r>
      <w:r>
        <w:rPr>
          <w:b/>
          <w:bCs/>
          <w:sz w:val="22"/>
          <w:szCs w:val="22"/>
          <w:rFonts w:ascii="Arial" w:cs="Arial" w:eastAsia="Arial" w:hAnsi="Arial"/>
        </w:rPr>
        <w:t xml:space="preserve">Chemical Weapons Convention (1993)</w:t>
      </w:r>
      <w:r>
        <w:rPr>
          <w:sz w:val="22"/>
          <w:szCs w:val="22"/>
          <w:rFonts w:ascii="Arial" w:cs="Arial" w:eastAsia="Arial" w:hAnsi="Arial"/>
        </w:rPr>
        <w:t xml:space="preserve">, the </w:t>
      </w:r>
      <w:r>
        <w:rPr>
          <w:b/>
          <w:bCs/>
          <w:sz w:val="22"/>
          <w:szCs w:val="22"/>
          <w:rFonts w:ascii="Arial" w:cs="Arial" w:eastAsia="Arial" w:hAnsi="Arial"/>
        </w:rPr>
        <w:t xml:space="preserve">Ottawa Convention on anti-personnel mines (1997)</w:t>
      </w:r>
      <w:r>
        <w:rPr>
          <w:sz w:val="22"/>
          <w:szCs w:val="22"/>
          <w:rFonts w:ascii="Arial" w:cs="Arial" w:eastAsia="Arial" w:hAnsi="Arial"/>
        </w:rPr>
        <w:t xml:space="preserve">, the </w:t>
      </w:r>
      <w:r>
        <w:rPr>
          <w:b/>
          <w:bCs/>
          <w:sz w:val="22"/>
          <w:szCs w:val="22"/>
          <w:rFonts w:ascii="Arial" w:cs="Arial" w:eastAsia="Arial" w:hAnsi="Arial"/>
        </w:rPr>
        <w:t xml:space="preserve">Cluster Munitions Convention (2008)</w:t>
      </w:r>
      <w:r>
        <w:rPr>
          <w:sz w:val="22"/>
          <w:szCs w:val="22"/>
          <w:rFonts w:ascii="Arial" w:cs="Arial" w:eastAsia="Arial" w:hAnsi="Arial"/>
        </w:rPr>
        <w:t xml:space="preserve">, the </w:t>
      </w:r>
      <w:r>
        <w:rPr>
          <w:b/>
          <w:bCs/>
          <w:sz w:val="22"/>
          <w:szCs w:val="22"/>
          <w:rFonts w:ascii="Arial" w:cs="Arial" w:eastAsia="Arial" w:hAnsi="Arial"/>
        </w:rPr>
        <w:t xml:space="preserve">Arms Trade Treaty (2013)</w:t>
      </w:r>
      <w:r>
        <w:rPr>
          <w:sz w:val="22"/>
          <w:szCs w:val="22"/>
          <w:rFonts w:ascii="Arial" w:cs="Arial" w:eastAsia="Arial" w:hAnsi="Arial"/>
        </w:rPr>
        <w:t xml:space="preserve">, the </w:t>
      </w:r>
      <w:r>
        <w:rPr>
          <w:b/>
          <w:bCs/>
          <w:sz w:val="22"/>
          <w:szCs w:val="22"/>
          <w:rFonts w:ascii="Arial" w:cs="Arial" w:eastAsia="Arial" w:hAnsi="Arial"/>
        </w:rPr>
        <w:t xml:space="preserve">Nuclear Weapons Prohibition Treaty (2017)</w:t>
      </w:r>
      <w:r>
        <w:rPr>
          <w:sz w:val="22"/>
          <w:szCs w:val="22"/>
          <w:rFonts w:ascii="Arial" w:cs="Arial" w:eastAsia="Arial" w:hAnsi="Arial"/>
        </w:rPr>
        <w:t xml:space="preserve">; (8) the </w:t>
      </w:r>
      <w:r>
        <w:rPr>
          <w:b/>
          <w:bCs/>
          <w:sz w:val="22"/>
          <w:szCs w:val="22"/>
          <w:rFonts w:ascii="Arial" w:cs="Arial" w:eastAsia="Arial" w:hAnsi="Arial"/>
        </w:rPr>
        <w:t xml:space="preserve">Hague Convention on Cultural Property (1954)</w:t>
      </w:r>
      <w:r>
        <w:rPr>
          <w:sz w:val="22"/>
          <w:szCs w:val="22"/>
          <w:rFonts w:ascii="Arial" w:cs="Arial" w:eastAsia="Arial" w:hAnsi="Arial"/>
        </w:rPr>
        <w:t xml:space="preserve"> with its 1999 Protocol; (9) the </w:t>
      </w:r>
      <w:r>
        <w:rPr>
          <w:b/>
          <w:bCs/>
          <w:sz w:val="22"/>
          <w:szCs w:val="22"/>
          <w:rFonts w:ascii="Arial" w:cs="Arial" w:eastAsia="Arial" w:hAnsi="Arial"/>
        </w:rPr>
        <w:t xml:space="preserve">Rome Statute (1998)</w:t>
      </w:r>
      <w:r>
        <w:rPr>
          <w:sz w:val="22"/>
          <w:szCs w:val="22"/>
          <w:rFonts w:ascii="Arial" w:cs="Arial" w:eastAsia="Arial" w:hAnsi="Arial"/>
        </w:rPr>
        <w:t xml:space="preserve"> — war crimes in Art 8; (10) </w:t>
      </w:r>
      <w:r>
        <w:rPr>
          <w:b/>
          <w:bCs/>
          <w:sz w:val="22"/>
          <w:szCs w:val="22"/>
          <w:rFonts w:ascii="Arial" w:cs="Arial" w:eastAsia="Arial" w:hAnsi="Arial"/>
        </w:rPr>
        <w:t xml:space="preserve">customary IHL</w:t>
      </w:r>
      <w:r>
        <w:rPr>
          <w:sz w:val="22"/>
          <w:szCs w:val="22"/>
          <w:rFonts w:ascii="Arial" w:cs="Arial" w:eastAsia="Arial" w:hAnsi="Arial"/>
        </w:rPr>
        <w:t xml:space="preserve"> — the ICRC's 2005 study of 161 rules, most applicable in both international and non-international conflicts, binding on all States (the ICJ's Nuclear Weapons opinion, 1996: the Hague and Geneva rules are 'intransgressible principles of international customary law'); (11) the </w:t>
      </w:r>
      <w:r>
        <w:rPr>
          <w:b/>
          <w:bCs/>
          <w:sz w:val="22"/>
          <w:szCs w:val="22"/>
          <w:rFonts w:ascii="Arial" w:cs="Arial" w:eastAsia="Arial" w:hAnsi="Arial"/>
        </w:rPr>
        <w:t xml:space="preserve">Martens clause</w:t>
      </w:r>
      <w:r>
        <w:rPr>
          <w:sz w:val="22"/>
          <w:szCs w:val="22"/>
          <w:rFonts w:ascii="Arial" w:cs="Arial" w:eastAsia="Arial" w:hAnsi="Arial"/>
        </w:rPr>
        <w:t xml:space="preserve"> (Hague 1899, GC common Art 63/62/142/158, AP I Art 1(2)): in cases not covered by treaty, civilians and combatants remain under the protection and authority of the principles of international law derived from established custom, from the principles of humanity and from the dictates of public conscience; (12) military manuals, judicial decisions (Nuremberg, the ICTY — Tadić, 1995, on the definition of armed conflict; the ICTR; the ICC) and the ICRC's Commentaries.</w:t>
      </w:r>
    </w:p>
    <w:p>
      <w:pPr>
        <w:spacing w:before="240" w:after="120"/>
      </w:pPr>
      <w:r>
        <w:rPr>
          <w:b/>
          <w:bCs/>
          <w:color w:val="404040"/>
          <w:sz w:val="23"/>
          <w:szCs w:val="23"/>
          <w:rFonts w:ascii="Arial" w:cs="Arial" w:eastAsia="Arial" w:hAnsi="Arial"/>
        </w:rPr>
        <w:t xml:space="preserve">Basic principles</w:t>
      </w:r>
    </w:p>
    <w:p>
      <w:pPr>
        <w:spacing w:after="120" w:line="300"/>
        <w:jc w:val="both"/>
      </w:pPr>
      <w:r>
        <w:rPr>
          <w:sz w:val="22"/>
          <w:szCs w:val="22"/>
          <w:rFonts w:ascii="Arial" w:cs="Arial" w:eastAsia="Arial" w:hAnsi="Arial"/>
        </w:rPr>
        <w:t xml:space="preserve">(1) </w:t>
      </w:r>
      <w:r>
        <w:rPr>
          <w:b/>
          <w:bCs/>
          <w:sz w:val="22"/>
          <w:szCs w:val="22"/>
          <w:rFonts w:ascii="Arial" w:cs="Arial" w:eastAsia="Arial" w:hAnsi="Arial"/>
        </w:rPr>
        <w:t xml:space="preserve">Distinction</w:t>
      </w:r>
      <w:r>
        <w:rPr>
          <w:sz w:val="22"/>
          <w:szCs w:val="22"/>
          <w:rFonts w:ascii="Arial" w:cs="Arial" w:eastAsia="Arial" w:hAnsi="Arial"/>
        </w:rPr>
        <w:t xml:space="preserve"> — the parties must at all times distinguish between the civilian population and combatants, and between civilian objects and military objectives, and direct operations only against military objectives (AP I Art 48 — the 'basic rule'; Art 51(2) — the civilian population as such and individual civilians shall not be the object of attack; Art 52(2) — military objectives are objects which by their nature, location, purpose or use make an effective contribution to military action and whose destruction offers a definite military advantage; Art 51(4) — indiscriminate attacks prohibited; civilians lose protection 'for such time as they take a direct part in hostilities' — Art 51(3)); the corollary of </w:t>
      </w:r>
      <w:r>
        <w:rPr>
          <w:b/>
          <w:bCs/>
          <w:sz w:val="22"/>
          <w:szCs w:val="22"/>
          <w:rFonts w:ascii="Arial" w:cs="Arial" w:eastAsia="Arial" w:hAnsi="Arial"/>
        </w:rPr>
        <w:t xml:space="preserve">combatant status</w:t>
      </w:r>
      <w:r>
        <w:rPr>
          <w:sz w:val="22"/>
          <w:szCs w:val="22"/>
          <w:rFonts w:ascii="Arial" w:cs="Arial" w:eastAsia="Arial" w:hAnsi="Arial"/>
        </w:rPr>
        <w:t xml:space="preserve"> — members of the armed forces (other than medical and religious personnel) are combatants who may participate directly in hostilities and, if captured, are POWs (AP I Arts 43-44); (2) </w:t>
      </w:r>
      <w:r>
        <w:rPr>
          <w:b/>
          <w:bCs/>
          <w:sz w:val="22"/>
          <w:szCs w:val="22"/>
          <w:rFonts w:ascii="Arial" w:cs="Arial" w:eastAsia="Arial" w:hAnsi="Arial"/>
        </w:rPr>
        <w:t xml:space="preserve">military necessity</w:t>
      </w:r>
      <w:r>
        <w:rPr>
          <w:sz w:val="22"/>
          <w:szCs w:val="22"/>
          <w:rFonts w:ascii="Arial" w:cs="Arial" w:eastAsia="Arial" w:hAnsi="Arial"/>
        </w:rPr>
        <w:t xml:space="preserve"> — the use of only that degree and kind of force required to achieve the legitimate purpose of the conflict, the complete or partial submission of the enemy at the earliest moment with the minimum expenditure of life and resources (the Lieber Code Art 14; Hague Art 23(g) — no destruction or seizure of enemy property unless imperatively demanded by the necessities of war); necessity operates within the law, not above it (the Nuremberg Hostages case rejected Kriegsraison); (3) </w:t>
      </w:r>
      <w:r>
        <w:rPr>
          <w:b/>
          <w:bCs/>
          <w:sz w:val="22"/>
          <w:szCs w:val="22"/>
          <w:rFonts w:ascii="Arial" w:cs="Arial" w:eastAsia="Arial" w:hAnsi="Arial"/>
        </w:rPr>
        <w:t xml:space="preserve">proportionality</w:t>
      </w:r>
      <w:r>
        <w:rPr>
          <w:sz w:val="22"/>
          <w:szCs w:val="22"/>
          <w:rFonts w:ascii="Arial" w:cs="Arial" w:eastAsia="Arial" w:hAnsi="Arial"/>
        </w:rPr>
        <w:t xml:space="preserve"> — an attack is prohibited if it may be expected to cause incidental loss of civilian life, injury to civilians, damage to civilian objects, or a combination, which would be excessive in relation to the concrete and direct military advantage anticipated (AP I Arts 51(5)(b) and 57(2)(a)(iii)); (4) </w:t>
      </w:r>
      <w:r>
        <w:rPr>
          <w:b/>
          <w:bCs/>
          <w:sz w:val="22"/>
          <w:szCs w:val="22"/>
          <w:rFonts w:ascii="Arial" w:cs="Arial" w:eastAsia="Arial" w:hAnsi="Arial"/>
        </w:rPr>
        <w:t xml:space="preserve">humanity / the prohibition of unnecessary suffering</w:t>
      </w:r>
      <w:r>
        <w:rPr>
          <w:sz w:val="22"/>
          <w:szCs w:val="22"/>
          <w:rFonts w:ascii="Arial" w:cs="Arial" w:eastAsia="Arial" w:hAnsi="Arial"/>
        </w:rPr>
        <w:t xml:space="preserve"> — it is prohibited to employ weapons, projectiles and material and methods of warfare of a nature to cause superfluous injury or unnecessary suffering (AP I Art 35(2); Hague Art 23(e); St Petersburg); the prohibition of means that cause widespread, long-term and severe damage to the natural environment (Art 35(3), 55); no quarter, perfidy, and the killing of the hors de combat prohibited (Arts 37, 40, 41); (5) </w:t>
      </w:r>
      <w:r>
        <w:rPr>
          <w:b/>
          <w:bCs/>
          <w:sz w:val="22"/>
          <w:szCs w:val="22"/>
          <w:rFonts w:ascii="Arial" w:cs="Arial" w:eastAsia="Arial" w:hAnsi="Arial"/>
        </w:rPr>
        <w:t xml:space="preserve">precaution</w:t>
      </w:r>
      <w:r>
        <w:rPr>
          <w:sz w:val="22"/>
          <w:szCs w:val="22"/>
          <w:rFonts w:ascii="Arial" w:cs="Arial" w:eastAsia="Arial" w:hAnsi="Arial"/>
        </w:rPr>
        <w:t xml:space="preserve"> — constant care to spare civilians; precautions in attack (verify targets, choose means to minimise civilian harm, cancel if disproportionate, effective advance warning where circumstances permit — Art 57) and against the effects of attacks (remove civilians from military objectives, no human shields — Art 58, 51(7)); (6) </w:t>
      </w:r>
      <w:r>
        <w:rPr>
          <w:b/>
          <w:bCs/>
          <w:sz w:val="22"/>
          <w:szCs w:val="22"/>
          <w:rFonts w:ascii="Arial" w:cs="Arial" w:eastAsia="Arial" w:hAnsi="Arial"/>
        </w:rPr>
        <w:t xml:space="preserve">the protection of the hors de combat and of persons in the power of the enemy</w:t>
      </w:r>
      <w:r>
        <w:rPr>
          <w:sz w:val="22"/>
          <w:szCs w:val="22"/>
          <w:rFonts w:ascii="Arial" w:cs="Arial" w:eastAsia="Arial" w:hAnsi="Arial"/>
        </w:rPr>
        <w:t xml:space="preserve"> — humane treatment without adverse distinction (common Art 3; GC III Art 13; GC IV Art 27); (7) </w:t>
      </w:r>
      <w:r>
        <w:rPr>
          <w:b/>
          <w:bCs/>
          <w:sz w:val="22"/>
          <w:szCs w:val="22"/>
          <w:rFonts w:ascii="Arial" w:cs="Arial" w:eastAsia="Arial" w:hAnsi="Arial"/>
        </w:rPr>
        <w:t xml:space="preserve">the limitation of methods and means</w:t>
      </w:r>
      <w:r>
        <w:rPr>
          <w:sz w:val="22"/>
          <w:szCs w:val="22"/>
          <w:rFonts w:ascii="Arial" w:cs="Arial" w:eastAsia="Arial" w:hAnsi="Arial"/>
        </w:rPr>
        <w:t xml:space="preserve"> — 'the right of belligerents to adopt means of injuring the enemy is not unlimited' (Hague Art 22; AP I Art 35(1)); (8) </w:t>
      </w:r>
      <w:r>
        <w:rPr>
          <w:b/>
          <w:bCs/>
          <w:sz w:val="22"/>
          <w:szCs w:val="22"/>
          <w:rFonts w:ascii="Arial" w:cs="Arial" w:eastAsia="Arial" w:hAnsi="Arial"/>
        </w:rPr>
        <w:t xml:space="preserve">neutrality and impartiality</w:t>
      </w:r>
      <w:r>
        <w:rPr>
          <w:sz w:val="22"/>
          <w:szCs w:val="22"/>
          <w:rFonts w:ascii="Arial" w:cs="Arial" w:eastAsia="Arial" w:hAnsi="Arial"/>
        </w:rPr>
        <w:t xml:space="preserve"> of medical services and of the ICRC; (9) </w:t>
      </w:r>
      <w:r>
        <w:rPr>
          <w:b/>
          <w:bCs/>
          <w:sz w:val="22"/>
          <w:szCs w:val="22"/>
          <w:rFonts w:ascii="Arial" w:cs="Arial" w:eastAsia="Arial" w:hAnsi="Arial"/>
        </w:rPr>
        <w:t xml:space="preserve">the equal application</w:t>
      </w:r>
      <w:r>
        <w:rPr>
          <w:sz w:val="22"/>
          <w:szCs w:val="22"/>
          <w:rFonts w:ascii="Arial" w:cs="Arial" w:eastAsia="Arial" w:hAnsi="Arial"/>
        </w:rPr>
        <w:t xml:space="preserve"> of IHL to all parties regardless of the justice of their cause (the separation of jus in bello from jus ad bellum); (10) </w:t>
      </w:r>
      <w:r>
        <w:rPr>
          <w:b/>
          <w:bCs/>
          <w:sz w:val="22"/>
          <w:szCs w:val="22"/>
          <w:rFonts w:ascii="Arial" w:cs="Arial" w:eastAsia="Arial" w:hAnsi="Arial"/>
        </w:rPr>
        <w:t xml:space="preserve">the Martens clause</w:t>
      </w:r>
      <w:r>
        <w:rPr>
          <w:sz w:val="22"/>
          <w:szCs w:val="22"/>
          <w:rFonts w:ascii="Arial" w:cs="Arial" w:eastAsia="Arial" w:hAnsi="Arial"/>
        </w:rPr>
        <w:t xml:space="preserve">. The ICJ's </w:t>
      </w:r>
      <w:r>
        <w:rPr>
          <w:b/>
          <w:bCs/>
          <w:sz w:val="22"/>
          <w:szCs w:val="22"/>
          <w:rFonts w:ascii="Arial" w:cs="Arial" w:eastAsia="Arial" w:hAnsi="Arial"/>
        </w:rPr>
        <w:t xml:space="preserve">Nuclear Weapons Advisory Opinion (1996)</w:t>
      </w:r>
      <w:r>
        <w:rPr>
          <w:sz w:val="22"/>
          <w:szCs w:val="22"/>
          <w:rFonts w:ascii="Arial" w:cs="Arial" w:eastAsia="Arial" w:hAnsi="Arial"/>
        </w:rPr>
        <w:t xml:space="preserve"> named distinction and unnecessary suffering as the 'cardinal principles', held IHL applicable to nuclear weapons, and could not conclude definitively whether their use in an extreme circumstance of self-defence would be lawful.</w:t>
      </w:r>
    </w:p>
    <w:p>
      <w:pPr>
        <w:spacing w:before="240" w:after="120"/>
      </w:pPr>
      <w:r>
        <w:rPr>
          <w:b/>
          <w:bCs/>
          <w:color w:val="404040"/>
          <w:sz w:val="23"/>
          <w:szCs w:val="23"/>
          <w:rFonts w:ascii="Arial" w:cs="Arial" w:eastAsia="Arial" w:hAnsi="Arial"/>
        </w:rPr>
        <w:t xml:space="preserve">The four Geneva Conventions of 1949 — the scheme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Common articles</w:t>
      </w:r>
      <w:r>
        <w:rPr>
          <w:sz w:val="22"/>
          <w:szCs w:val="22"/>
          <w:rFonts w:ascii="Arial" w:cs="Arial" w:eastAsia="Arial" w:hAnsi="Arial"/>
        </w:rPr>
        <w:t xml:space="preserve">: </w:t>
      </w:r>
      <w:r>
        <w:rPr>
          <w:b/>
          <w:bCs/>
          <w:sz w:val="22"/>
          <w:szCs w:val="22"/>
          <w:rFonts w:ascii="Arial" w:cs="Arial" w:eastAsia="Arial" w:hAnsi="Arial"/>
        </w:rPr>
        <w:t xml:space="preserve">Art 1</w:t>
      </w:r>
      <w:r>
        <w:rPr>
          <w:sz w:val="22"/>
          <w:szCs w:val="22"/>
          <w:rFonts w:ascii="Arial" w:cs="Arial" w:eastAsia="Arial" w:hAnsi="Arial"/>
        </w:rPr>
        <w:t xml:space="preserve"> — the parties undertake to respect and to ensure respect for the Conventions in all circumstances (the erga omnes duty — the Wall opinion, 2004); </w:t>
      </w:r>
      <w:r>
        <w:rPr>
          <w:b/>
          <w:bCs/>
          <w:sz w:val="22"/>
          <w:szCs w:val="22"/>
          <w:rFonts w:ascii="Arial" w:cs="Arial" w:eastAsia="Arial" w:hAnsi="Arial"/>
        </w:rPr>
        <w:t xml:space="preserve">Art 2</w:t>
      </w:r>
      <w:r>
        <w:rPr>
          <w:sz w:val="22"/>
          <w:szCs w:val="22"/>
          <w:rFonts w:ascii="Arial" w:cs="Arial" w:eastAsia="Arial" w:hAnsi="Arial"/>
        </w:rPr>
        <w:t xml:space="preserve"> — the Conventions apply to declared war or any other armed conflict between two or more parties even if the state of war is not recognised, and to all cases of partial or total occupation even if it meets no armed resistance — the </w:t>
      </w:r>
      <w:r>
        <w:rPr>
          <w:b/>
          <w:bCs/>
          <w:sz w:val="22"/>
          <w:szCs w:val="22"/>
          <w:rFonts w:ascii="Arial" w:cs="Arial" w:eastAsia="Arial" w:hAnsi="Arial"/>
        </w:rPr>
        <w:t xml:space="preserve">international armed conflict (IAC)</w:t>
      </w:r>
      <w:r>
        <w:rPr>
          <w:sz w:val="22"/>
          <w:szCs w:val="22"/>
          <w:rFonts w:ascii="Arial" w:cs="Arial" w:eastAsia="Arial" w:hAnsi="Arial"/>
        </w:rPr>
        <w:t xml:space="preserve">; </w:t>
      </w:r>
      <w:r>
        <w:rPr>
          <w:b/>
          <w:bCs/>
          <w:sz w:val="22"/>
          <w:szCs w:val="22"/>
          <w:rFonts w:ascii="Arial" w:cs="Arial" w:eastAsia="Arial" w:hAnsi="Arial"/>
        </w:rPr>
        <w:t xml:space="preserve">Art 3</w:t>
      </w:r>
      <w:r>
        <w:rPr>
          <w:sz w:val="22"/>
          <w:szCs w:val="22"/>
          <w:rFonts w:ascii="Arial" w:cs="Arial" w:eastAsia="Arial" w:hAnsi="Arial"/>
        </w:rPr>
        <w:t xml:space="preserve"> — the 'Convention in miniature' for </w:t>
      </w:r>
      <w:r>
        <w:rPr>
          <w:b/>
          <w:bCs/>
          <w:sz w:val="22"/>
          <w:szCs w:val="22"/>
          <w:rFonts w:ascii="Arial" w:cs="Arial" w:eastAsia="Arial" w:hAnsi="Arial"/>
        </w:rPr>
        <w:t xml:space="preserve">non-international armed conflict</w:t>
      </w:r>
      <w:r>
        <w:rPr>
          <w:sz w:val="22"/>
          <w:szCs w:val="22"/>
          <w:rFonts w:ascii="Arial" w:cs="Arial" w:eastAsia="Arial" w:hAnsi="Arial"/>
        </w:rPr>
        <w:t xml:space="preserve"> (below); the articles on Protecting Powers and the ICRC's substitute role (8-11 / 9-11); the </w:t>
      </w:r>
      <w:r>
        <w:rPr>
          <w:b/>
          <w:bCs/>
          <w:sz w:val="22"/>
          <w:szCs w:val="22"/>
          <w:rFonts w:ascii="Arial" w:cs="Arial" w:eastAsia="Arial" w:hAnsi="Arial"/>
        </w:rPr>
        <w:t xml:space="preserve">grave breaches</w:t>
      </w:r>
      <w:r>
        <w:rPr>
          <w:sz w:val="22"/>
          <w:szCs w:val="22"/>
          <w:rFonts w:ascii="Arial" w:cs="Arial" w:eastAsia="Arial" w:hAnsi="Arial"/>
        </w:rPr>
        <w:t xml:space="preserve"> regime (GC I Arts 49-50, II 50-51, III 129-130, IV 146-147) — the parties must enact penal legislation, search for and try or extradite persons who commit grave breaches (wilful killing, torture or inhuman treatment, biological experiments, wilfully causing great suffering or serious injury, extensive destruction and appropriation of property not justified by military necessity, compelling a POW or protected person to serve in hostile forces, depriving them of a fair trial, unlawful deportation, transfer or confinement, taking hostages) — </w:t>
      </w:r>
      <w:r>
        <w:rPr>
          <w:b/>
          <w:bCs/>
          <w:sz w:val="22"/>
          <w:szCs w:val="22"/>
          <w:rFonts w:ascii="Arial" w:cs="Arial" w:eastAsia="Arial" w:hAnsi="Arial"/>
        </w:rPr>
        <w:t xml:space="preserve">universal jurisdiction</w:t>
      </w:r>
      <w:r>
        <w:rPr>
          <w:sz w:val="22"/>
          <w:szCs w:val="22"/>
          <w:rFonts w:ascii="Arial" w:cs="Arial" w:eastAsia="Arial" w:hAnsi="Arial"/>
        </w:rPr>
        <w:t xml:space="preserve">; the non-renunciation of rights (7/7/7/8); the dissemination duty (47/48/127/144); the denunciation and Martens clauses. </w:t>
      </w:r>
      <w:r>
        <w:rPr>
          <w:b/>
          <w:bCs/>
          <w:sz w:val="22"/>
          <w:szCs w:val="22"/>
          <w:rFonts w:ascii="Arial" w:cs="Arial" w:eastAsia="Arial" w:hAnsi="Arial"/>
        </w:rPr>
        <w:t xml:space="preserve">GC I — wounded and sick in armed forces in the field</w:t>
      </w:r>
      <w:r>
        <w:rPr>
          <w:sz w:val="22"/>
          <w:szCs w:val="22"/>
          <w:rFonts w:ascii="Arial" w:cs="Arial" w:eastAsia="Arial" w:hAnsi="Arial"/>
        </w:rPr>
        <w:t xml:space="preserve"> (64 articles): respect and protection of the wounded and sick, humane treatment and care without adverse distinction, the prohibition of murder, extermination, torture and biological experiments (Art 12); the search for and collection of the wounded and the dead after an engagement (15); recording and forwarding of information (16); the dead (17); the civilian population's role (18); medical units and establishments respected and protected (19-23); medical personnel, chaplains and the staff of relief societies respected and protected, and if captured retained only as needed and not as POWs (24-32); buildings and material (33-34); medical transports (35-37); the emblem — its use and protection (38-44). </w:t>
      </w:r>
      <w:r>
        <w:rPr>
          <w:b/>
          <w:bCs/>
          <w:sz w:val="22"/>
          <w:szCs w:val="22"/>
          <w:rFonts w:ascii="Arial" w:cs="Arial" w:eastAsia="Arial" w:hAnsi="Arial"/>
        </w:rPr>
        <w:t xml:space="preserve">GC II — wounded, sick and shipwrecked at sea</w:t>
      </w:r>
      <w:r>
        <w:rPr>
          <w:sz w:val="22"/>
          <w:szCs w:val="22"/>
          <w:rFonts w:ascii="Arial" w:cs="Arial" w:eastAsia="Arial" w:hAnsi="Arial"/>
        </w:rPr>
        <w:t xml:space="preserve"> (63 articles): the same for naval warfare — hospital ships (22-35), which may not be attacked or captured, the shipwrecked, the medical personnel of ships. </w:t>
      </w:r>
      <w:r>
        <w:rPr>
          <w:b/>
          <w:bCs/>
          <w:sz w:val="22"/>
          <w:szCs w:val="22"/>
          <w:rFonts w:ascii="Arial" w:cs="Arial" w:eastAsia="Arial" w:hAnsi="Arial"/>
        </w:rPr>
        <w:t xml:space="preserve">GC III — prisoners of war</w:t>
      </w:r>
      <w:r>
        <w:rPr>
          <w:sz w:val="22"/>
          <w:szCs w:val="22"/>
          <w:rFonts w:ascii="Arial" w:cs="Arial" w:eastAsia="Arial" w:hAnsi="Arial"/>
        </w:rPr>
        <w:t xml:space="preserve"> (below). </w:t>
      </w:r>
      <w:r>
        <w:rPr>
          <w:b/>
          <w:bCs/>
          <w:sz w:val="22"/>
          <w:szCs w:val="22"/>
          <w:rFonts w:ascii="Arial" w:cs="Arial" w:eastAsia="Arial" w:hAnsi="Arial"/>
        </w:rPr>
        <w:t xml:space="preserve">GC IV — civilians</w:t>
      </w:r>
      <w:r>
        <w:rPr>
          <w:sz w:val="22"/>
          <w:szCs w:val="22"/>
          <w:rFonts w:ascii="Arial" w:cs="Arial" w:eastAsia="Arial" w:hAnsi="Arial"/>
        </w:rPr>
        <w:t xml:space="preserve"> (below).</w:t>
      </w:r>
    </w:p>
    <w:p>
      <w:pPr>
        <w:spacing w:before="240" w:after="120"/>
      </w:pPr>
      <w:r>
        <w:rPr>
          <w:b/>
          <w:bCs/>
          <w:color w:val="404040"/>
          <w:sz w:val="23"/>
          <w:szCs w:val="23"/>
          <w:rFonts w:ascii="Arial" w:cs="Arial" w:eastAsia="Arial" w:hAnsi="Arial"/>
        </w:rPr>
        <w:t xml:space="preserve">Prisoners of war — GC III</w:t>
      </w:r>
    </w:p>
    <w:p>
      <w:pPr>
        <w:spacing w:after="120" w:line="300"/>
        <w:jc w:val="both"/>
      </w:pPr>
      <w:r>
        <w:rPr>
          <w:sz w:val="22"/>
          <w:szCs w:val="22"/>
          <w:rFonts w:ascii="Arial" w:cs="Arial" w:eastAsia="Arial" w:hAnsi="Arial"/>
        </w:rPr>
      </w:r>
      <w:r>
        <w:rPr>
          <w:b/>
          <w:bCs/>
          <w:sz w:val="22"/>
          <w:szCs w:val="22"/>
          <w:rFonts w:ascii="Arial" w:cs="Arial" w:eastAsia="Arial" w:hAnsi="Arial"/>
        </w:rPr>
        <w:t xml:space="preserve">Who is a POW (Art 4)</w:t>
      </w:r>
      <w:r>
        <w:rPr>
          <w:sz w:val="22"/>
          <w:szCs w:val="22"/>
          <w:rFonts w:ascii="Arial" w:cs="Arial" w:eastAsia="Arial" w:hAnsi="Arial"/>
        </w:rPr>
        <w:t xml:space="preserve">: persons who have fallen into the power of the enemy and are (1) members of the armed forces of a party and of militias or volunteer corps forming part of them; (2) members of other militias, volunteer corps and organised resistance movements belonging to a party, operating in or outside their own territory, provided that they (a) are commanded by a person responsible for his subordinates, (b) have a fixed distinctive sign recognisable at a distance, (c) carry arms openly, and (d) conduct their operations in accordance with the laws and customs of war — the four conditions; (3) members of regular armed forces professing allegiance to a Government not recognised by the Detaining Power; (4) persons accompanying the armed forces without being members (war correspondents, supply contractors, labour units) with identity cards; (5) crews of the merchant marine and civil aircraft; (6) the </w:t>
      </w:r>
      <w:r>
        <w:rPr>
          <w:b/>
          <w:bCs/>
          <w:sz w:val="22"/>
          <w:szCs w:val="22"/>
          <w:rFonts w:ascii="Arial" w:cs="Arial" w:eastAsia="Arial" w:hAnsi="Arial"/>
        </w:rPr>
        <w:t xml:space="preserve">levée en masse</w:t>
      </w:r>
      <w:r>
        <w:rPr>
          <w:sz w:val="22"/>
          <w:szCs w:val="22"/>
          <w:rFonts w:ascii="Arial" w:cs="Arial" w:eastAsia="Arial" w:hAnsi="Arial"/>
        </w:rPr>
        <w:t xml:space="preserve"> — inhabitants of a non-occupied territory who on the approach of the enemy spontaneously take up arms, if they carry arms openly and respect the laws of war. AP I Art 44 relaxes the distinctive-sign and open-arms conditions for guerrillas (arms carried openly during each engagement and while visible to the adversary before an attack) — the reason the United States and India did not ratify. </w:t>
      </w:r>
      <w:r>
        <w:rPr>
          <w:b/>
          <w:bCs/>
          <w:sz w:val="22"/>
          <w:szCs w:val="22"/>
          <w:rFonts w:ascii="Arial" w:cs="Arial" w:eastAsia="Arial" w:hAnsi="Arial"/>
        </w:rPr>
        <w:t xml:space="preserve">Art 5</w:t>
      </w:r>
      <w:r>
        <w:rPr>
          <w:sz w:val="22"/>
          <w:szCs w:val="22"/>
          <w:rFonts w:ascii="Arial" w:cs="Arial" w:eastAsia="Arial" w:hAnsi="Arial"/>
        </w:rPr>
        <w:t xml:space="preserve"> — where there is doubt whether a captured person is entitled to POW status, he enjoys the protection of the Convention until his status has been determined by a </w:t>
      </w:r>
      <w:r>
        <w:rPr>
          <w:b/>
          <w:bCs/>
          <w:sz w:val="22"/>
          <w:szCs w:val="22"/>
          <w:rFonts w:ascii="Arial" w:cs="Arial" w:eastAsia="Arial" w:hAnsi="Arial"/>
        </w:rPr>
        <w:t xml:space="preserve">competent tribunal</w:t>
      </w:r>
      <w:r>
        <w:rPr>
          <w:sz w:val="22"/>
          <w:szCs w:val="22"/>
          <w:rFonts w:ascii="Arial" w:cs="Arial" w:eastAsia="Arial" w:hAnsi="Arial"/>
        </w:rPr>
        <w:t xml:space="preserve"> (the 'Art 5 tribunal' — the Guantánamo controversy; Hamdan v. Rumsfeld, 2006). Mercenaries (AP I Art 47) and spies (Art 46) are not entitled to POW status. </w:t>
      </w:r>
      <w:r>
        <w:rPr>
          <w:b/>
          <w:bCs/>
          <w:sz w:val="22"/>
          <w:szCs w:val="22"/>
          <w:rFonts w:ascii="Arial" w:cs="Arial" w:eastAsia="Arial" w:hAnsi="Arial"/>
        </w:rPr>
        <w:t xml:space="preserve">The regime</w:t>
      </w:r>
      <w:r>
        <w:rPr>
          <w:sz w:val="22"/>
          <w:szCs w:val="22"/>
          <w:rFonts w:ascii="Arial" w:cs="Arial" w:eastAsia="Arial" w:hAnsi="Arial"/>
        </w:rPr>
        <w:t xml:space="preserve">: </w:t>
      </w:r>
      <w:r>
        <w:rPr>
          <w:b/>
          <w:bCs/>
          <w:sz w:val="22"/>
          <w:szCs w:val="22"/>
          <w:rFonts w:ascii="Arial" w:cs="Arial" w:eastAsia="Arial" w:hAnsi="Arial"/>
        </w:rPr>
        <w:t xml:space="preserve">Art 12</w:t>
      </w:r>
      <w:r>
        <w:rPr>
          <w:sz w:val="22"/>
          <w:szCs w:val="22"/>
          <w:rFonts w:ascii="Arial" w:cs="Arial" w:eastAsia="Arial" w:hAnsi="Arial"/>
        </w:rPr>
        <w:t xml:space="preserve"> — POWs are in the hands of the enemy Power, not of the individuals or units that captured them; the Detaining Power is responsible; </w:t>
      </w:r>
      <w:r>
        <w:rPr>
          <w:b/>
          <w:bCs/>
          <w:sz w:val="22"/>
          <w:szCs w:val="22"/>
          <w:rFonts w:ascii="Arial" w:cs="Arial" w:eastAsia="Arial" w:hAnsi="Arial"/>
        </w:rPr>
        <w:t xml:space="preserve">Art 13 — humane treatment</w:t>
      </w:r>
      <w:r>
        <w:rPr>
          <w:sz w:val="22"/>
          <w:szCs w:val="22"/>
          <w:rFonts w:ascii="Arial" w:cs="Arial" w:eastAsia="Arial" w:hAnsi="Arial"/>
        </w:rPr>
        <w:t xml:space="preserve">: POWs must at all times be humanely treated; any unlawful act or omission causing death or seriously endangering health is a serious breach; no physical mutilation or medical or scientific experiments; protection against acts of violence or intimidation and against </w:t>
      </w:r>
      <w:r>
        <w:rPr>
          <w:b/>
          <w:bCs/>
          <w:sz w:val="22"/>
          <w:szCs w:val="22"/>
          <w:rFonts w:ascii="Arial" w:cs="Arial" w:eastAsia="Arial" w:hAnsi="Arial"/>
        </w:rPr>
        <w:t xml:space="preserve">insults and public curiosity</w:t>
      </w:r>
      <w:r>
        <w:rPr>
          <w:sz w:val="22"/>
          <w:szCs w:val="22"/>
          <w:rFonts w:ascii="Arial" w:cs="Arial" w:eastAsia="Arial" w:hAnsi="Arial"/>
        </w:rPr>
        <w:t xml:space="preserve"> (the 2019 Wing Commander Abhinandan video; the 1991 Gulf War parading of pilots); reprisals prohibited; </w:t>
      </w:r>
      <w:r>
        <w:rPr>
          <w:b/>
          <w:bCs/>
          <w:sz w:val="22"/>
          <w:szCs w:val="22"/>
          <w:rFonts w:ascii="Arial" w:cs="Arial" w:eastAsia="Arial" w:hAnsi="Arial"/>
        </w:rPr>
        <w:t xml:space="preserve">Art 14</w:t>
      </w:r>
      <w:r>
        <w:rPr>
          <w:sz w:val="22"/>
          <w:szCs w:val="22"/>
          <w:rFonts w:ascii="Arial" w:cs="Arial" w:eastAsia="Arial" w:hAnsi="Arial"/>
        </w:rPr>
        <w:t xml:space="preserve"> — respect for their persons and honour; women treated with all the regard due to their sex and at least as favourably as men; </w:t>
      </w:r>
      <w:r>
        <w:rPr>
          <w:b/>
          <w:bCs/>
          <w:sz w:val="22"/>
          <w:szCs w:val="22"/>
          <w:rFonts w:ascii="Arial" w:cs="Arial" w:eastAsia="Arial" w:hAnsi="Arial"/>
        </w:rPr>
        <w:t xml:space="preserve">Art 15</w:t>
      </w:r>
      <w:r>
        <w:rPr>
          <w:sz w:val="22"/>
          <w:szCs w:val="22"/>
          <w:rFonts w:ascii="Arial" w:cs="Arial" w:eastAsia="Arial" w:hAnsi="Arial"/>
        </w:rPr>
        <w:t xml:space="preserve"> — maintenance and medical attention free of charge; </w:t>
      </w:r>
      <w:r>
        <w:rPr>
          <w:b/>
          <w:bCs/>
          <w:sz w:val="22"/>
          <w:szCs w:val="22"/>
          <w:rFonts w:ascii="Arial" w:cs="Arial" w:eastAsia="Arial" w:hAnsi="Arial"/>
        </w:rPr>
        <w:t xml:space="preserve">Art 16</w:t>
      </w:r>
      <w:r>
        <w:rPr>
          <w:sz w:val="22"/>
          <w:szCs w:val="22"/>
          <w:rFonts w:ascii="Arial" w:cs="Arial" w:eastAsia="Arial" w:hAnsi="Arial"/>
        </w:rPr>
        <w:t xml:space="preserve"> — equal treatment without adverse distinction; </w:t>
      </w:r>
      <w:r>
        <w:rPr>
          <w:b/>
          <w:bCs/>
          <w:sz w:val="22"/>
          <w:szCs w:val="22"/>
          <w:rFonts w:ascii="Arial" w:cs="Arial" w:eastAsia="Arial" w:hAnsi="Arial"/>
        </w:rPr>
        <w:t xml:space="preserve">Art 17</w:t>
      </w:r>
      <w:r>
        <w:rPr>
          <w:sz w:val="22"/>
          <w:szCs w:val="22"/>
          <w:rFonts w:ascii="Arial" w:cs="Arial" w:eastAsia="Arial" w:hAnsi="Arial"/>
        </w:rPr>
        <w:t xml:space="preserve"> — the POW is bound to give only his surname, first names and rank, date of birth and serial number ('name, rank and number'); no physical or mental torture or coercion to secure information; those who refuse may not be threatened, insulted or exposed to unpleasant treatment; identity cards; </w:t>
      </w:r>
      <w:r>
        <w:rPr>
          <w:b/>
          <w:bCs/>
          <w:sz w:val="22"/>
          <w:szCs w:val="22"/>
          <w:rFonts w:ascii="Arial" w:cs="Arial" w:eastAsia="Arial" w:hAnsi="Arial"/>
        </w:rPr>
        <w:t xml:space="preserve">Arts 18-19</w:t>
      </w:r>
      <w:r>
        <w:rPr>
          <w:sz w:val="22"/>
          <w:szCs w:val="22"/>
          <w:rFonts w:ascii="Arial" w:cs="Arial" w:eastAsia="Arial" w:hAnsi="Arial"/>
        </w:rPr>
        <w:t xml:space="preserve"> — personal effects; evacuation from the combat zone; </w:t>
      </w:r>
      <w:r>
        <w:rPr>
          <w:b/>
          <w:bCs/>
          <w:sz w:val="22"/>
          <w:szCs w:val="22"/>
          <w:rFonts w:ascii="Arial" w:cs="Arial" w:eastAsia="Arial" w:hAnsi="Arial"/>
        </w:rPr>
        <w:t xml:space="preserve">Arts 21-24</w:t>
      </w:r>
      <w:r>
        <w:rPr>
          <w:sz w:val="22"/>
          <w:szCs w:val="22"/>
          <w:rFonts w:ascii="Arial" w:cs="Arial" w:eastAsia="Arial" w:hAnsi="Arial"/>
        </w:rPr>
        <w:t xml:space="preserve"> — internment (not close confinement except for penal or disciplinary sanctions; not in areas exposed to fire; not used to render points immune from military operations); </w:t>
      </w:r>
      <w:r>
        <w:rPr>
          <w:b/>
          <w:bCs/>
          <w:sz w:val="22"/>
          <w:szCs w:val="22"/>
          <w:rFonts w:ascii="Arial" w:cs="Arial" w:eastAsia="Arial" w:hAnsi="Arial"/>
        </w:rPr>
        <w:t xml:space="preserve">Arts 25-32</w:t>
      </w:r>
      <w:r>
        <w:rPr>
          <w:sz w:val="22"/>
          <w:szCs w:val="22"/>
          <w:rFonts w:ascii="Arial" w:cs="Arial" w:eastAsia="Arial" w:hAnsi="Arial"/>
        </w:rPr>
        <w:t xml:space="preserve"> — quarters, food (sufficient to keep in good health; account taken of habitual diet), clothing, canteens, hygiene and medical attention (monthly medical inspections), the retained medical personnel; </w:t>
      </w:r>
      <w:r>
        <w:rPr>
          <w:b/>
          <w:bCs/>
          <w:sz w:val="22"/>
          <w:szCs w:val="22"/>
          <w:rFonts w:ascii="Arial" w:cs="Arial" w:eastAsia="Arial" w:hAnsi="Arial"/>
        </w:rPr>
        <w:t xml:space="preserve">Arts 34-38</w:t>
      </w:r>
      <w:r>
        <w:rPr>
          <w:sz w:val="22"/>
          <w:szCs w:val="22"/>
          <w:rFonts w:ascii="Arial" w:cs="Arial" w:eastAsia="Arial" w:hAnsi="Arial"/>
        </w:rPr>
        <w:t xml:space="preserve"> — religion, intellectual and physical activities; </w:t>
      </w:r>
      <w:r>
        <w:rPr>
          <w:b/>
          <w:bCs/>
          <w:sz w:val="22"/>
          <w:szCs w:val="22"/>
          <w:rFonts w:ascii="Arial" w:cs="Arial" w:eastAsia="Arial" w:hAnsi="Arial"/>
        </w:rPr>
        <w:t xml:space="preserve">Art 39-42</w:t>
      </w:r>
      <w:r>
        <w:rPr>
          <w:sz w:val="22"/>
          <w:szCs w:val="22"/>
          <w:rFonts w:ascii="Arial" w:cs="Arial" w:eastAsia="Arial" w:hAnsi="Arial"/>
        </w:rPr>
        <w:t xml:space="preserve"> — discipline, saluting, badges, weapons (only under extreme measures and after warnings); </w:t>
      </w:r>
      <w:r>
        <w:rPr>
          <w:b/>
          <w:bCs/>
          <w:sz w:val="22"/>
          <w:szCs w:val="22"/>
          <w:rFonts w:ascii="Arial" w:cs="Arial" w:eastAsia="Arial" w:hAnsi="Arial"/>
        </w:rPr>
        <w:t xml:space="preserve">Arts 43-45</w:t>
      </w:r>
      <w:r>
        <w:rPr>
          <w:sz w:val="22"/>
          <w:szCs w:val="22"/>
          <w:rFonts w:ascii="Arial" w:cs="Arial" w:eastAsia="Arial" w:hAnsi="Arial"/>
        </w:rPr>
        <w:t xml:space="preserve"> — rank; </w:t>
      </w:r>
      <w:r>
        <w:rPr>
          <w:b/>
          <w:bCs/>
          <w:sz w:val="22"/>
          <w:szCs w:val="22"/>
          <w:rFonts w:ascii="Arial" w:cs="Arial" w:eastAsia="Arial" w:hAnsi="Arial"/>
        </w:rPr>
        <w:t xml:space="preserve">Arts 46-48</w:t>
      </w:r>
      <w:r>
        <w:rPr>
          <w:sz w:val="22"/>
          <w:szCs w:val="22"/>
          <w:rFonts w:ascii="Arial" w:cs="Arial" w:eastAsia="Arial" w:hAnsi="Arial"/>
        </w:rPr>
        <w:t xml:space="preserve"> — transfer; </w:t>
      </w:r>
      <w:r>
        <w:rPr>
          <w:b/>
          <w:bCs/>
          <w:sz w:val="22"/>
          <w:szCs w:val="22"/>
          <w:rFonts w:ascii="Arial" w:cs="Arial" w:eastAsia="Arial" w:hAnsi="Arial"/>
        </w:rPr>
        <w:t xml:space="preserve">Arts 49-57 — labour</w:t>
      </w:r>
      <w:r>
        <w:rPr>
          <w:sz w:val="22"/>
          <w:szCs w:val="22"/>
          <w:rFonts w:ascii="Arial" w:cs="Arial" w:eastAsia="Arial" w:hAnsi="Arial"/>
        </w:rPr>
        <w:t xml:space="preserve">: officers may not be compelled to work; NCOs only supervisory; other POWs may be employed in work that is not military in character or purpose (agriculture, industry not connected with war, transport, commercial business, domestic service, public utility) and not unhealthy or dangerous unless volunteered (mine removal is dangerous); conditions equal to nationals; </w:t>
      </w:r>
      <w:r>
        <w:rPr>
          <w:b/>
          <w:bCs/>
          <w:sz w:val="22"/>
          <w:szCs w:val="22"/>
          <w:rFonts w:ascii="Arial" w:cs="Arial" w:eastAsia="Arial" w:hAnsi="Arial"/>
        </w:rPr>
        <w:t xml:space="preserve">Arts 58-68</w:t>
      </w:r>
      <w:r>
        <w:rPr>
          <w:sz w:val="22"/>
          <w:szCs w:val="22"/>
          <w:rFonts w:ascii="Arial" w:cs="Arial" w:eastAsia="Arial" w:hAnsi="Arial"/>
        </w:rPr>
        <w:t xml:space="preserve"> — financial resources, pay (monthly advances by rank), working pay, accounts; </w:t>
      </w:r>
      <w:r>
        <w:rPr>
          <w:b/>
          <w:bCs/>
          <w:sz w:val="22"/>
          <w:szCs w:val="22"/>
          <w:rFonts w:ascii="Arial" w:cs="Arial" w:eastAsia="Arial" w:hAnsi="Arial"/>
        </w:rPr>
        <w:t xml:space="preserve">Arts 69-77</w:t>
      </w:r>
      <w:r>
        <w:rPr>
          <w:sz w:val="22"/>
          <w:szCs w:val="22"/>
          <w:rFonts w:ascii="Arial" w:cs="Arial" w:eastAsia="Arial" w:hAnsi="Arial"/>
        </w:rPr>
        <w:t xml:space="preserve"> — relations with the exterior: notification of capture within a week (the capture card), correspondence (at least two letters and four cards a month), relief parcels, exemption from postal charges, legal documents; </w:t>
      </w:r>
      <w:r>
        <w:rPr>
          <w:b/>
          <w:bCs/>
          <w:sz w:val="22"/>
          <w:szCs w:val="22"/>
          <w:rFonts w:ascii="Arial" w:cs="Arial" w:eastAsia="Arial" w:hAnsi="Arial"/>
        </w:rPr>
        <w:t xml:space="preserve">Arts 78-81</w:t>
      </w:r>
      <w:r>
        <w:rPr>
          <w:sz w:val="22"/>
          <w:szCs w:val="22"/>
          <w:rFonts w:ascii="Arial" w:cs="Arial" w:eastAsia="Arial" w:hAnsi="Arial"/>
        </w:rPr>
        <w:t xml:space="preserve"> — complaints to the military authorities, the Protecting Power and the ICRC; the </w:t>
      </w:r>
      <w:r>
        <w:rPr>
          <w:b/>
          <w:bCs/>
          <w:sz w:val="22"/>
          <w:szCs w:val="22"/>
          <w:rFonts w:ascii="Arial" w:cs="Arial" w:eastAsia="Arial" w:hAnsi="Arial"/>
        </w:rPr>
        <w:t xml:space="preserve">prisoners' representative</w:t>
      </w:r>
      <w:r>
        <w:rPr>
          <w:sz w:val="22"/>
          <w:szCs w:val="22"/>
          <w:rFonts w:ascii="Arial" w:cs="Arial" w:eastAsia="Arial" w:hAnsi="Arial"/>
        </w:rPr>
        <w:t xml:space="preserve"> elected every six months; </w:t>
      </w:r>
      <w:r>
        <w:rPr>
          <w:b/>
          <w:bCs/>
          <w:sz w:val="22"/>
          <w:szCs w:val="22"/>
          <w:rFonts w:ascii="Arial" w:cs="Arial" w:eastAsia="Arial" w:hAnsi="Arial"/>
        </w:rPr>
        <w:t xml:space="preserve">Arts 82-108 — penal and disciplinary sanctions</w:t>
      </w:r>
      <w:r>
        <w:rPr>
          <w:sz w:val="22"/>
          <w:szCs w:val="22"/>
          <w:rFonts w:ascii="Arial" w:cs="Arial" w:eastAsia="Arial" w:hAnsi="Arial"/>
        </w:rPr>
        <w:t xml:space="preserve">: subject to the laws of the Detaining Power's armed forces; no collective punishment; escape is not an offence after successful escape and, if unsuccessful, only a disciplinary offence (Arts 91-93); disciplinary punishments limited (a fine, discontinuance of privileges, fatigue duties up to two hours daily, confinement — maximum thirty days); judicial proceedings only before military courts (or civil courts trying the Detaining Power's own forces) with the essential guarantees of independence and impartiality, notice to the Protecting Power, defence counsel, an interpreter, appeal; the death penalty only after the Protecting Power is notified and six months have passed (Arts 100-101); </w:t>
      </w:r>
      <w:r>
        <w:rPr>
          <w:b/>
          <w:bCs/>
          <w:sz w:val="22"/>
          <w:szCs w:val="22"/>
          <w:rFonts w:ascii="Arial" w:cs="Arial" w:eastAsia="Arial" w:hAnsi="Arial"/>
        </w:rPr>
        <w:t xml:space="preserve">Arts 109-117</w:t>
      </w:r>
      <w:r>
        <w:rPr>
          <w:sz w:val="22"/>
          <w:szCs w:val="22"/>
          <w:rFonts w:ascii="Arial" w:cs="Arial" w:eastAsia="Arial" w:hAnsi="Arial"/>
        </w:rPr>
        <w:t xml:space="preserve"> — direct repatriation and accommodation in neutral countries of the seriously wounded and sick during hostilities; </w:t>
      </w:r>
      <w:r>
        <w:rPr>
          <w:b/>
          <w:bCs/>
          <w:sz w:val="22"/>
          <w:szCs w:val="22"/>
          <w:rFonts w:ascii="Arial" w:cs="Arial" w:eastAsia="Arial" w:hAnsi="Arial"/>
        </w:rPr>
        <w:t xml:space="preserve">Art 118</w:t>
      </w:r>
      <w:r>
        <w:rPr>
          <w:sz w:val="22"/>
          <w:szCs w:val="22"/>
          <w:rFonts w:ascii="Arial" w:cs="Arial" w:eastAsia="Arial" w:hAnsi="Arial"/>
        </w:rPr>
        <w:t xml:space="preserve"> — POWs shall be </w:t>
      </w:r>
      <w:r>
        <w:rPr>
          <w:b/>
          <w:bCs/>
          <w:sz w:val="22"/>
          <w:szCs w:val="22"/>
          <w:rFonts w:ascii="Arial" w:cs="Arial" w:eastAsia="Arial" w:hAnsi="Arial"/>
        </w:rPr>
        <w:t xml:space="preserve">released and repatriated without delay after the cessation of active hostilities</w:t>
      </w:r>
      <w:r>
        <w:rPr>
          <w:sz w:val="22"/>
          <w:szCs w:val="22"/>
          <w:rFonts w:ascii="Arial" w:cs="Arial" w:eastAsia="Arial" w:hAnsi="Arial"/>
        </w:rPr>
        <w:t xml:space="preserve"> (the 1971 war: 93,000 Pakistani POWs held until the Simla Agreement of 1972 and the Delhi Agreement of 1973 — India's position that repatriation awaited Pakistan's recognition of Bangladesh; Pakistan's ICJ case (Trial of Pakistani Prisoners of War, 1973) was withdrawn; Iran-Iraq, 1988-2003; the 'missing 54' Indian POWs of 1971 whom India claims Pakistan still holds); Art 119 — details; </w:t>
      </w:r>
      <w:r>
        <w:rPr>
          <w:b/>
          <w:bCs/>
          <w:sz w:val="22"/>
          <w:szCs w:val="22"/>
          <w:rFonts w:ascii="Arial" w:cs="Arial" w:eastAsia="Arial" w:hAnsi="Arial"/>
        </w:rPr>
        <w:t xml:space="preserve">Arts 120-121</w:t>
      </w:r>
      <w:r>
        <w:rPr>
          <w:sz w:val="22"/>
          <w:szCs w:val="22"/>
          <w:rFonts w:ascii="Arial" w:cs="Arial" w:eastAsia="Arial" w:hAnsi="Arial"/>
        </w:rPr>
        <w:t xml:space="preserve"> — death and burial, inquiry into deaths; </w:t>
      </w:r>
      <w:r>
        <w:rPr>
          <w:b/>
          <w:bCs/>
          <w:sz w:val="22"/>
          <w:szCs w:val="22"/>
          <w:rFonts w:ascii="Arial" w:cs="Arial" w:eastAsia="Arial" w:hAnsi="Arial"/>
        </w:rPr>
        <w:t xml:space="preserve">Arts 122-125</w:t>
      </w:r>
      <w:r>
        <w:rPr>
          <w:sz w:val="22"/>
          <w:szCs w:val="22"/>
          <w:rFonts w:ascii="Arial" w:cs="Arial" w:eastAsia="Arial" w:hAnsi="Arial"/>
        </w:rPr>
        <w:t xml:space="preserve"> — the </w:t>
      </w:r>
      <w:r>
        <w:rPr>
          <w:b/>
          <w:bCs/>
          <w:sz w:val="22"/>
          <w:szCs w:val="22"/>
          <w:rFonts w:ascii="Arial" w:cs="Arial" w:eastAsia="Arial" w:hAnsi="Arial"/>
        </w:rPr>
        <w:t xml:space="preserve">National Information Bureau</w:t>
      </w:r>
      <w:r>
        <w:rPr>
          <w:sz w:val="22"/>
          <w:szCs w:val="22"/>
          <w:rFonts w:ascii="Arial" w:cs="Arial" w:eastAsia="Arial" w:hAnsi="Arial"/>
        </w:rPr>
        <w:t xml:space="preserve"> and the </w:t>
      </w:r>
      <w:r>
        <w:rPr>
          <w:b/>
          <w:bCs/>
          <w:sz w:val="22"/>
          <w:szCs w:val="22"/>
          <w:rFonts w:ascii="Arial" w:cs="Arial" w:eastAsia="Arial" w:hAnsi="Arial"/>
        </w:rPr>
        <w:t xml:space="preserve">Central Prisoners of War Information Agency</w:t>
      </w:r>
      <w:r>
        <w:rPr>
          <w:sz w:val="22"/>
          <w:szCs w:val="22"/>
          <w:rFonts w:ascii="Arial" w:cs="Arial" w:eastAsia="Arial" w:hAnsi="Arial"/>
        </w:rPr>
        <w:t xml:space="preserve"> (the ICRC's Central Tracing Agency), relief societies; </w:t>
      </w:r>
      <w:r>
        <w:rPr>
          <w:b/>
          <w:bCs/>
          <w:sz w:val="22"/>
          <w:szCs w:val="22"/>
          <w:rFonts w:ascii="Arial" w:cs="Arial" w:eastAsia="Arial" w:hAnsi="Arial"/>
        </w:rPr>
        <w:t xml:space="preserve">Art 126</w:t>
      </w:r>
      <w:r>
        <w:rPr>
          <w:sz w:val="22"/>
          <w:szCs w:val="22"/>
          <w:rFonts w:ascii="Arial" w:cs="Arial" w:eastAsia="Arial" w:hAnsi="Arial"/>
        </w:rPr>
        <w:t xml:space="preserve"> — the Protecting Power's and the ICRC's right to visit all places where POWs are, to interview them without witnesses, without limit on duration or frequency; </w:t>
      </w:r>
      <w:r>
        <w:rPr>
          <w:b/>
          <w:bCs/>
          <w:sz w:val="22"/>
          <w:szCs w:val="22"/>
          <w:rFonts w:ascii="Arial" w:cs="Arial" w:eastAsia="Arial" w:hAnsi="Arial"/>
        </w:rPr>
        <w:t xml:space="preserve">Arts 129-131</w:t>
      </w:r>
      <w:r>
        <w:rPr>
          <w:sz w:val="22"/>
          <w:szCs w:val="22"/>
          <w:rFonts w:ascii="Arial" w:cs="Arial" w:eastAsia="Arial" w:hAnsi="Arial"/>
        </w:rPr>
        <w:t xml:space="preserve"> — grave breaches; universal jurisdiction. The Abhinandan case (27 February - 1 March 2019): India invoked Arts 13 and 17 against the videos of his interrogation; Pakistan repatriated him within sixty hours as a 'gesture of peace' — Art 118 was not yet engaged, as hostilities had not ceased in the Convention's sense, and the parties differed on whether an 'armed conflict' existed at all.</w:t>
      </w:r>
    </w:p>
    <w:p>
      <w:pPr>
        <w:spacing w:before="240" w:after="120"/>
      </w:pPr>
      <w:r>
        <w:rPr>
          <w:b/>
          <w:bCs/>
          <w:color w:val="404040"/>
          <w:sz w:val="23"/>
          <w:szCs w:val="23"/>
          <w:rFonts w:ascii="Arial" w:cs="Arial" w:eastAsia="Arial" w:hAnsi="Arial"/>
        </w:rPr>
        <w:t xml:space="preserve">Civilians — GC IV and AP I</w:t>
      </w:r>
    </w:p>
    <w:p>
      <w:pPr>
        <w:spacing w:after="120" w:line="300"/>
        <w:jc w:val="both"/>
      </w:pPr>
      <w:r>
        <w:rPr>
          <w:sz w:val="22"/>
          <w:szCs w:val="22"/>
          <w:rFonts w:ascii="Arial" w:cs="Arial" w:eastAsia="Arial" w:hAnsi="Arial"/>
        </w:rPr>
      </w:r>
      <w:r>
        <w:rPr>
          <w:b/>
          <w:bCs/>
          <w:sz w:val="22"/>
          <w:szCs w:val="22"/>
          <w:rFonts w:ascii="Arial" w:cs="Arial" w:eastAsia="Arial" w:hAnsi="Arial"/>
        </w:rPr>
        <w:t xml:space="preserve">GC IV</w:t>
      </w:r>
      <w:r>
        <w:rPr>
          <w:sz w:val="22"/>
          <w:szCs w:val="22"/>
          <w:rFonts w:ascii="Arial" w:cs="Arial" w:eastAsia="Arial" w:hAnsi="Arial"/>
        </w:rPr>
        <w:t xml:space="preserve"> (159 articles) was the 1949 innovation — the first treaty devoted to civilians. </w:t>
      </w:r>
      <w:r>
        <w:rPr>
          <w:b/>
          <w:bCs/>
          <w:sz w:val="22"/>
          <w:szCs w:val="22"/>
          <w:rFonts w:ascii="Arial" w:cs="Arial" w:eastAsia="Arial" w:hAnsi="Arial"/>
        </w:rPr>
        <w:t xml:space="preserve">Part II (Arts 13-26)</w:t>
      </w:r>
      <w:r>
        <w:rPr>
          <w:sz w:val="22"/>
          <w:szCs w:val="22"/>
          <w:rFonts w:ascii="Arial" w:cs="Arial" w:eastAsia="Arial" w:hAnsi="Arial"/>
        </w:rPr>
        <w:t xml:space="preserve"> — general protection of the whole population against certain consequences of war: hospital and safety zones, neutralised zones (14-15), the wounded, sick, infirm, expectant mothers (16), evacuation from besieged areas (17), civilian hospitals (18-20), transports (21-22), free passage of medical and religious consignments and of essential foodstuffs, clothing and tonics for children under fifteen, expectant mothers and maternity cases (23), children under fifteen orphaned or separated (24), family news (25), dispersed families (26). </w:t>
      </w:r>
      <w:r>
        <w:rPr>
          <w:b/>
          <w:bCs/>
          <w:sz w:val="22"/>
          <w:szCs w:val="22"/>
          <w:rFonts w:ascii="Arial" w:cs="Arial" w:eastAsia="Arial" w:hAnsi="Arial"/>
        </w:rPr>
        <w:t xml:space="preserve">Part III — protected persons</w:t>
      </w:r>
      <w:r>
        <w:rPr>
          <w:sz w:val="22"/>
          <w:szCs w:val="22"/>
          <w:rFonts w:ascii="Arial" w:cs="Arial" w:eastAsia="Arial" w:hAnsi="Arial"/>
        </w:rPr>
        <w:t xml:space="preserve"> (Art 4): those who at a given moment and in any manner find themselves, in case of a conflict or occupation, in the hands of a party or Occupying Power of which they are not nationals (nationals of a co-belligerent or of a State with normal diplomatic relations are excluded — the Tadić judgment read 'nationality' as allegiance in ethnic conflicts); </w:t>
      </w:r>
      <w:r>
        <w:rPr>
          <w:b/>
          <w:bCs/>
          <w:sz w:val="22"/>
          <w:szCs w:val="22"/>
          <w:rFonts w:ascii="Arial" w:cs="Arial" w:eastAsia="Arial" w:hAnsi="Arial"/>
        </w:rPr>
        <w:t xml:space="preserve">Art 5</w:t>
      </w:r>
      <w:r>
        <w:rPr>
          <w:sz w:val="22"/>
          <w:szCs w:val="22"/>
          <w:rFonts w:ascii="Arial" w:cs="Arial" w:eastAsia="Arial" w:hAnsi="Arial"/>
        </w:rPr>
        <w:t xml:space="preserve"> — the limited derogation for persons definitely suspected of hostile activity (but humane treatment and a fair trial remain); </w:t>
      </w:r>
      <w:r>
        <w:rPr>
          <w:b/>
          <w:bCs/>
          <w:sz w:val="22"/>
          <w:szCs w:val="22"/>
          <w:rFonts w:ascii="Arial" w:cs="Arial" w:eastAsia="Arial" w:hAnsi="Arial"/>
        </w:rPr>
        <w:t xml:space="preserve">Section I — common provisions (Arts 27-34)</w:t>
      </w:r>
      <w:r>
        <w:rPr>
          <w:sz w:val="22"/>
          <w:szCs w:val="22"/>
          <w:rFonts w:ascii="Arial" w:cs="Arial" w:eastAsia="Arial" w:hAnsi="Arial"/>
        </w:rPr>
        <w:t xml:space="preserve">: </w:t>
      </w:r>
      <w:r>
        <w:rPr>
          <w:b/>
          <w:bCs/>
          <w:sz w:val="22"/>
          <w:szCs w:val="22"/>
          <w:rFonts w:ascii="Arial" w:cs="Arial" w:eastAsia="Arial" w:hAnsi="Arial"/>
        </w:rPr>
        <w:t xml:space="preserve">Art 27</w:t>
      </w:r>
      <w:r>
        <w:rPr>
          <w:sz w:val="22"/>
          <w:szCs w:val="22"/>
          <w:rFonts w:ascii="Arial" w:cs="Arial" w:eastAsia="Arial" w:hAnsi="Arial"/>
        </w:rPr>
        <w:t xml:space="preserve"> — protected persons are entitled in all circumstances to respect for their persons, honour, family rights, religious convictions and practices, manners and customs; humane treatment; protection against all acts of violence or threats, insults and public curiosity; </w:t>
      </w:r>
      <w:r>
        <w:rPr>
          <w:b/>
          <w:bCs/>
          <w:sz w:val="22"/>
          <w:szCs w:val="22"/>
          <w:rFonts w:ascii="Arial" w:cs="Arial" w:eastAsia="Arial" w:hAnsi="Arial"/>
        </w:rPr>
        <w:t xml:space="preserve">women shall be especially protected against any attack on their honour, in particular against rape, enforced prostitution, or any form of indecent assault</w:t>
      </w:r>
      <w:r>
        <w:rPr>
          <w:sz w:val="22"/>
          <w:szCs w:val="22"/>
          <w:rFonts w:ascii="Arial" w:cs="Arial" w:eastAsia="Arial" w:hAnsi="Arial"/>
        </w:rPr>
        <w:t xml:space="preserve">; no adverse distinction; the party may take such measures of control and security as may be necessary; Art 28 — no use as human shields; Art 29 — the party's responsibility; Art 30 — access to the Protecting Powers, the ICRC and relief societies; Art 31 — no physical or moral coercion, in particular to obtain information; Art 32 — no murder, torture, corporal punishment, mutilation, medical or scientific experiments, brutality; </w:t>
      </w:r>
      <w:r>
        <w:rPr>
          <w:b/>
          <w:bCs/>
          <w:sz w:val="22"/>
          <w:szCs w:val="22"/>
          <w:rFonts w:ascii="Arial" w:cs="Arial" w:eastAsia="Arial" w:hAnsi="Arial"/>
        </w:rPr>
        <w:t xml:space="preserve">Art 33</w:t>
      </w:r>
      <w:r>
        <w:rPr>
          <w:sz w:val="22"/>
          <w:szCs w:val="22"/>
          <w:rFonts w:ascii="Arial" w:cs="Arial" w:eastAsia="Arial" w:hAnsi="Arial"/>
        </w:rPr>
        <w:t xml:space="preserve"> — no collective penalties, intimidation or terrorism; no pillage; </w:t>
      </w:r>
      <w:r>
        <w:rPr>
          <w:b/>
          <w:bCs/>
          <w:sz w:val="22"/>
          <w:szCs w:val="22"/>
          <w:rFonts w:ascii="Arial" w:cs="Arial" w:eastAsia="Arial" w:hAnsi="Arial"/>
        </w:rPr>
        <w:t xml:space="preserve">no reprisals</w:t>
      </w:r>
      <w:r>
        <w:rPr>
          <w:sz w:val="22"/>
          <w:szCs w:val="22"/>
          <w:rFonts w:ascii="Arial" w:cs="Arial" w:eastAsia="Arial" w:hAnsi="Arial"/>
        </w:rPr>
        <w:t xml:space="preserve"> against protected persons or their property; </w:t>
      </w:r>
      <w:r>
        <w:rPr>
          <w:b/>
          <w:bCs/>
          <w:sz w:val="22"/>
          <w:szCs w:val="22"/>
          <w:rFonts w:ascii="Arial" w:cs="Arial" w:eastAsia="Arial" w:hAnsi="Arial"/>
        </w:rPr>
        <w:t xml:space="preserve">Art 34</w:t>
      </w:r>
      <w:r>
        <w:rPr>
          <w:sz w:val="22"/>
          <w:szCs w:val="22"/>
          <w:rFonts w:ascii="Arial" w:cs="Arial" w:eastAsia="Arial" w:hAnsi="Arial"/>
        </w:rPr>
        <w:t xml:space="preserve"> — no hostages. </w:t>
      </w:r>
      <w:r>
        <w:rPr>
          <w:b/>
          <w:bCs/>
          <w:sz w:val="22"/>
          <w:szCs w:val="22"/>
          <w:rFonts w:ascii="Arial" w:cs="Arial" w:eastAsia="Arial" w:hAnsi="Arial"/>
        </w:rPr>
        <w:t xml:space="preserve">Section II — aliens in the territory of a party (Arts 35-46)</w:t>
      </w:r>
      <w:r>
        <w:rPr>
          <w:sz w:val="22"/>
          <w:szCs w:val="22"/>
          <w:rFonts w:ascii="Arial" w:cs="Arial" w:eastAsia="Arial" w:hAnsi="Arial"/>
        </w:rPr>
        <w:t xml:space="preserve">: the right to leave, treatment, employment, assigned residence and internment only if absolutely necessary, with review (41-43), refugees not to be treated as enemy aliens by reason only of their nationality (44), transfer only to a party to the Convention and never to a country where persecution is feared (45 — a non-refoulement rule). </w:t>
      </w:r>
      <w:r>
        <w:rPr>
          <w:b/>
          <w:bCs/>
          <w:sz w:val="22"/>
          <w:szCs w:val="22"/>
          <w:rFonts w:ascii="Arial" w:cs="Arial" w:eastAsia="Arial" w:hAnsi="Arial"/>
        </w:rPr>
        <w:t xml:space="preserve">Section III — occupied territories (Arts 47-78)</w:t>
      </w:r>
      <w:r>
        <w:rPr>
          <w:sz w:val="22"/>
          <w:szCs w:val="22"/>
          <w:rFonts w:ascii="Arial" w:cs="Arial" w:eastAsia="Arial" w:hAnsi="Arial"/>
        </w:rPr>
        <w:t xml:space="preserve">: the inviolability of rights (47); </w:t>
      </w:r>
      <w:r>
        <w:rPr>
          <w:b/>
          <w:bCs/>
          <w:sz w:val="22"/>
          <w:szCs w:val="22"/>
          <w:rFonts w:ascii="Arial" w:cs="Arial" w:eastAsia="Arial" w:hAnsi="Arial"/>
        </w:rPr>
        <w:t xml:space="preserve">Art 49</w:t>
      </w:r>
      <w:r>
        <w:rPr>
          <w:sz w:val="22"/>
          <w:szCs w:val="22"/>
          <w:rFonts w:ascii="Arial" w:cs="Arial" w:eastAsia="Arial" w:hAnsi="Arial"/>
        </w:rPr>
        <w:t xml:space="preserve"> — individual or mass forcible transfers and deportations of protected persons from occupied territory are prohibited regardless of motive (evacuation for security or imperative military reasons excepted, with return), and </w:t>
      </w:r>
      <w:r>
        <w:rPr>
          <w:b/>
          <w:bCs/>
          <w:sz w:val="22"/>
          <w:szCs w:val="22"/>
          <w:rFonts w:ascii="Arial" w:cs="Arial" w:eastAsia="Arial" w:hAnsi="Arial"/>
        </w:rPr>
        <w:t xml:space="preserve">the Occupying Power shall not deport or transfer parts of its own civilian population into the territory it occupies</w:t>
      </w:r>
      <w:r>
        <w:rPr>
          <w:sz w:val="22"/>
          <w:szCs w:val="22"/>
          <w:rFonts w:ascii="Arial" w:cs="Arial" w:eastAsia="Arial" w:hAnsi="Arial"/>
        </w:rPr>
        <w:t xml:space="preserve"> (the settlements provision — the Wall opinion, 2004; the ICJ's 2024 opinion on the Occupied Palestinian Territory); Art 50 — children, education; Art 51 — no compulsion to serve in the Occupying Power's forces; labour only for the occupying army's needs, public utilities or the population, paid, in the territory; Art 52 — workers' protection; </w:t>
      </w:r>
      <w:r>
        <w:rPr>
          <w:b/>
          <w:bCs/>
          <w:sz w:val="22"/>
          <w:szCs w:val="22"/>
          <w:rFonts w:ascii="Arial" w:cs="Arial" w:eastAsia="Arial" w:hAnsi="Arial"/>
        </w:rPr>
        <w:t xml:space="preserve">Art 53</w:t>
      </w:r>
      <w:r>
        <w:rPr>
          <w:sz w:val="22"/>
          <w:szCs w:val="22"/>
          <w:rFonts w:ascii="Arial" w:cs="Arial" w:eastAsia="Arial" w:hAnsi="Arial"/>
        </w:rPr>
        <w:t xml:space="preserve"> — destruction of property prohibited except where rendered absolutely necessary by military operations; Art 54 — judges and public officials; Art 55 — the duty to ensure food and medical supplies; Art 56 — public health; Art 57 — hospitals; Art 58 — religion; Arts 59-63 — relief; </w:t>
      </w:r>
      <w:r>
        <w:rPr>
          <w:b/>
          <w:bCs/>
          <w:sz w:val="22"/>
          <w:szCs w:val="22"/>
          <w:rFonts w:ascii="Arial" w:cs="Arial" w:eastAsia="Arial" w:hAnsi="Arial"/>
        </w:rPr>
        <w:t xml:space="preserve">Arts 64-78</w:t>
      </w:r>
      <w:r>
        <w:rPr>
          <w:sz w:val="22"/>
          <w:szCs w:val="22"/>
          <w:rFonts w:ascii="Arial" w:cs="Arial" w:eastAsia="Arial" w:hAnsi="Arial"/>
        </w:rPr>
        <w:t xml:space="preserve"> — penal legislation and procedure (the local law remains in force; the Occupying Power may legislate for security and orderly government; offences against its security may be punished but only after a regular trial, with the guarantees of Arts 71-75, the death penalty limited; </w:t>
      </w:r>
      <w:r>
        <w:rPr>
          <w:b/>
          <w:bCs/>
          <w:sz w:val="22"/>
          <w:szCs w:val="22"/>
          <w:rFonts w:ascii="Arial" w:cs="Arial" w:eastAsia="Arial" w:hAnsi="Arial"/>
        </w:rPr>
        <w:t xml:space="preserve">Art 78</w:t>
      </w:r>
      <w:r>
        <w:rPr>
          <w:sz w:val="22"/>
          <w:szCs w:val="22"/>
          <w:rFonts w:ascii="Arial" w:cs="Arial" w:eastAsia="Arial" w:hAnsi="Arial"/>
        </w:rPr>
        <w:t xml:space="preserve"> — internment or assigned residence only for imperative reasons of security, with a right of appeal and six-monthly review). </w:t>
      </w:r>
      <w:r>
        <w:rPr>
          <w:b/>
          <w:bCs/>
          <w:sz w:val="22"/>
          <w:szCs w:val="22"/>
          <w:rFonts w:ascii="Arial" w:cs="Arial" w:eastAsia="Arial" w:hAnsi="Arial"/>
        </w:rPr>
        <w:t xml:space="preserve">Part III, Section IV — internees (Arts 79-135)</w:t>
      </w:r>
      <w:r>
        <w:rPr>
          <w:sz w:val="22"/>
          <w:szCs w:val="22"/>
          <w:rFonts w:ascii="Arial" w:cs="Arial" w:eastAsia="Arial" w:hAnsi="Arial"/>
        </w:rPr>
        <w:t xml:space="preserve"> — a detailed regime parallel to the POW rules (places, food, clothing, hygiene, religion, property, administration, relations with the exterior, penal sanctions, transfer, death, release). </w:t>
      </w:r>
      <w:r>
        <w:rPr>
          <w:b/>
          <w:bCs/>
          <w:sz w:val="22"/>
          <w:szCs w:val="22"/>
          <w:rFonts w:ascii="Arial" w:cs="Arial" w:eastAsia="Arial" w:hAnsi="Arial"/>
        </w:rPr>
        <w:t xml:space="preserve">AP I (1977)</w:t>
      </w:r>
      <w:r>
        <w:rPr>
          <w:sz w:val="22"/>
          <w:szCs w:val="22"/>
          <w:rFonts w:ascii="Arial" w:cs="Arial" w:eastAsia="Arial" w:hAnsi="Arial"/>
        </w:rPr>
        <w:t xml:space="preserve"> extends the protection of the civilian population in hostilities — Part IV: the basic rule of distinction (48), the definition of civilians (50 — in case of doubt, civilian), the general protection (51 — no attack, no terror, no indiscriminate attack, no reprisals, no shields), civilian objects (52), cultural objects and places of worship (53), </w:t>
      </w:r>
      <w:r>
        <w:rPr>
          <w:b/>
          <w:bCs/>
          <w:sz w:val="22"/>
          <w:szCs w:val="22"/>
          <w:rFonts w:ascii="Arial" w:cs="Arial" w:eastAsia="Arial" w:hAnsi="Arial"/>
        </w:rPr>
        <w:t xml:space="preserve">objects indispensable to the survival of the civilian population</w:t>
      </w:r>
      <w:r>
        <w:rPr>
          <w:sz w:val="22"/>
          <w:szCs w:val="22"/>
          <w:rFonts w:ascii="Arial" w:cs="Arial" w:eastAsia="Arial" w:hAnsi="Arial"/>
        </w:rPr>
        <w:t xml:space="preserve"> — starvation of civilians as a method of warfare prohibited; no attack on foodstuffs, crops, livestock, drinking water, irrigation (54), the natural environment (55), works and installations containing dangerous forces — dams, dykes, nuclear stations (56), precautions (57-58), non-defended localities and demilitarised zones (59-60), civil defence (61-67), relief (68-71), the treatment of persons in the power of a party — refugees and stateless persons (73), reunion of families (74), the </w:t>
      </w:r>
      <w:r>
        <w:rPr>
          <w:b/>
          <w:bCs/>
          <w:sz w:val="22"/>
          <w:szCs w:val="22"/>
          <w:rFonts w:ascii="Arial" w:cs="Arial" w:eastAsia="Arial" w:hAnsi="Arial"/>
        </w:rPr>
        <w:t xml:space="preserve">fundamental guarantees</w:t>
      </w:r>
      <w:r>
        <w:rPr>
          <w:sz w:val="22"/>
          <w:szCs w:val="22"/>
          <w:rFonts w:ascii="Arial" w:cs="Arial" w:eastAsia="Arial" w:hAnsi="Arial"/>
        </w:rPr>
        <w:t xml:space="preserve"> (75 — the minimum for everyone: humane treatment, the prohibition of murder, torture, corporal punishment, mutilation, outrages upon personal dignity, hostages, collective punishments; the judicial guarantees), women (76), children (77 — no recruitment under fifteen; no death penalty under eighteen), evacuation of children (78), journalists (79 — civilians, with identity cards). </w:t>
      </w:r>
      <w:r>
        <w:rPr>
          <w:b/>
          <w:bCs/>
          <w:sz w:val="22"/>
          <w:szCs w:val="22"/>
          <w:rFonts w:ascii="Arial" w:cs="Arial" w:eastAsia="Arial" w:hAnsi="Arial"/>
        </w:rPr>
        <w:t xml:space="preserve">Occupation</w:t>
      </w:r>
      <w:r>
        <w:rPr>
          <w:sz w:val="22"/>
          <w:szCs w:val="22"/>
          <w:rFonts w:ascii="Arial" w:cs="Arial" w:eastAsia="Arial" w:hAnsi="Arial"/>
        </w:rPr>
        <w:t xml:space="preserve"> is also governed by the Hague Regulations (Arts 42-56 — the occupant's authority, public order and civil life, the prohibition of forced allegiance, family honour and rights, private property, pillage, requisitions, public property as usufructuary) and, in practice, by the human-rights treaties which continue to apply (the Wall opinion).</w:t>
      </w:r>
    </w:p>
    <w:p>
      <w:pPr>
        <w:spacing w:before="240" w:after="120"/>
      </w:pPr>
      <w:r>
        <w:rPr>
          <w:b/>
          <w:bCs/>
          <w:color w:val="404040"/>
          <w:sz w:val="23"/>
          <w:szCs w:val="23"/>
          <w:rFonts w:ascii="Arial" w:cs="Arial" w:eastAsia="Arial" w:hAnsi="Arial"/>
        </w:rPr>
        <w:t xml:space="preserve">Common Art 3 and non-international armed conflict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Common Art 3</w:t>
      </w:r>
      <w:r>
        <w:rPr>
          <w:sz w:val="22"/>
          <w:szCs w:val="22"/>
          <w:rFonts w:ascii="Arial" w:cs="Arial" w:eastAsia="Arial" w:hAnsi="Arial"/>
        </w:rPr>
        <w:t xml:space="preserve">: in the case of armed conflict not of an international character occurring in the territory of one of the parties, each party to the conflict (including the non-State armed group) is bound to apply as a minimum: (1) persons taking no active part in the hostilities, including members of armed forces who have laid down their arms and those placed hors de combat by sickness, wounds, detention or any other cause, shall in all circumstances be treated humanely, without any adverse distinction founded on race, colour, religion or faith, sex, birth or wealth, or any other similar criteria; to this end the following are and shall remain prohibited at any time and in any place whatsoever: (a) violence to life and person, in particular murder of all kinds, mutilation, cruel treatment and torture; (b) taking of hostages; (c) outrages upon personal dignity, in particular humiliating and degrading treatment; (d) the passing of sentences and the carrying out of executions without previous judgment pronounced by a regularly constituted court affording all the judicial guarantees recognised as indispensable by civilised peoples; (2) the wounded and sick shall be collected and cared for; an impartial humanitarian body such as the ICRC may offer its services; the parties should endeavour to bring the other provisions into force by special agreements; the application does not affect the legal status of the parties (the assurance that lets Governments accept it without recognising rebels). The ICJ in Nicaragua (1986) called Art 3 the 'minimum yardstick' applicable to all conflicts as customary law; the ICTY in Tadić (1995) defined armed conflict as 'protracted armed violence between governmental authorities and organised armed groups or between such groups within a State' — the two criteria of intensity and organisation that separate a NIAC from internal disturbances, riots and isolated acts of violence (to which IHL does not apply — AP II Art 1(2)). </w:t>
      </w:r>
      <w:r>
        <w:rPr>
          <w:b/>
          <w:bCs/>
          <w:sz w:val="22"/>
          <w:szCs w:val="22"/>
          <w:rFonts w:ascii="Arial" w:cs="Arial" w:eastAsia="Arial" w:hAnsi="Arial"/>
        </w:rPr>
        <w:t xml:space="preserve">AP II (1977)</w:t>
      </w:r>
      <w:r>
        <w:rPr>
          <w:sz w:val="22"/>
          <w:szCs w:val="22"/>
          <w:rFonts w:ascii="Arial" w:cs="Arial" w:eastAsia="Arial" w:hAnsi="Arial"/>
        </w:rPr>
        <w:t xml:space="preserve"> — the first treaty devoted to NIACs (28 articles), with a higher threshold (Art 1(1): conflicts between a State's armed forces and dissident armed forces or other organised armed groups which, under responsible command, exercise such control over a part of the territory as to enable them to carry out sustained and concerted military operations and to implement the Protocol): fundamental guarantees (Art 4 — including the prohibition of rape, enforced prostitution and indecent assault, slavery, pillage, and the recruitment of children under fifteen), persons whose liberty is restricted (5), penal prosecutions (6 — including an amnesty at the end of hostilities for participation, 6(5)), the wounded and sick (7-12), the civilian population (13-18 — no attack, no starvation, no forced movement, protection of cultural objects, dams and relief). The Rome Statute's Art 8(2)(c) and (e) make serious violations of common Art 3 and of the laws of NIAC war crimes. </w:t>
      </w:r>
      <w:r>
        <w:rPr>
          <w:b/>
          <w:bCs/>
          <w:sz w:val="22"/>
          <w:szCs w:val="22"/>
          <w:rFonts w:ascii="Arial" w:cs="Arial" w:eastAsia="Arial" w:hAnsi="Arial"/>
        </w:rPr>
        <w:t xml:space="preserve">India</w:t>
      </w:r>
      <w:r>
        <w:rPr>
          <w:sz w:val="22"/>
          <w:szCs w:val="22"/>
          <w:rFonts w:ascii="Arial" w:cs="Arial" w:eastAsia="Arial" w:hAnsi="Arial"/>
        </w:rPr>
        <w:t xml:space="preserve"> is not a party to AP II and treats its internal conflicts (Kashmir, the North-East, the Maoist areas) as law-and-order situations under the AFSPA and the ordinary law, not as armed conflicts — though common Art 3, being customary and part of the Geneva Conventions Act, applies whenever the Tadić threshold is met, and the ICRC's presence and the Human Rights Committee's 2024 observations treat them so.</w:t>
      </w:r>
    </w:p>
    <w:p>
      <w:pPr>
        <w:spacing w:before="240" w:after="120"/>
      </w:pPr>
      <w:r>
        <w:rPr>
          <w:b/>
          <w:bCs/>
          <w:color w:val="404040"/>
          <w:sz w:val="23"/>
          <w:szCs w:val="23"/>
          <w:rFonts w:ascii="Arial" w:cs="Arial" w:eastAsia="Arial" w:hAnsi="Arial"/>
        </w:rPr>
        <w:t xml:space="preserve">Women and IHL</w:t>
      </w:r>
    </w:p>
    <w:p>
      <w:pPr>
        <w:spacing w:after="120" w:line="300"/>
        <w:jc w:val="both"/>
      </w:pPr>
      <w:r>
        <w:rPr>
          <w:sz w:val="22"/>
          <w:szCs w:val="22"/>
          <w:rFonts w:ascii="Arial" w:cs="Arial" w:eastAsia="Arial" w:hAnsi="Arial"/>
        </w:rPr>
        <w:t xml:space="preserve">Women are protected as civilians and combatants under all the rules, and by </w:t>
      </w:r>
      <w:r>
        <w:rPr>
          <w:b/>
          <w:bCs/>
          <w:sz w:val="22"/>
          <w:szCs w:val="22"/>
          <w:rFonts w:ascii="Arial" w:cs="Arial" w:eastAsia="Arial" w:hAnsi="Arial"/>
        </w:rPr>
        <w:t xml:space="preserve">special provisions</w:t>
      </w:r>
      <w:r>
        <w:rPr>
          <w:sz w:val="22"/>
          <w:szCs w:val="22"/>
          <w:rFonts w:ascii="Arial" w:cs="Arial" w:eastAsia="Arial" w:hAnsi="Arial"/>
        </w:rPr>
        <w:t xml:space="preserve">: GC I Art 12 and GC II Art 12 (women treated 'with all consideration due to their sex'); GC III Art 14 (regard due to their sex; treatment at least as favourable as men), Art 25 (separate dormitories), Art 29 (separate sanitary conveniences), Art 88 (no more severe punishment; separate quarters and supervision by women), Arts 97 and 108; </w:t>
      </w:r>
      <w:r>
        <w:rPr>
          <w:b/>
          <w:bCs/>
          <w:sz w:val="22"/>
          <w:szCs w:val="22"/>
          <w:rFonts w:ascii="Arial" w:cs="Arial" w:eastAsia="Arial" w:hAnsi="Arial"/>
        </w:rPr>
        <w:t xml:space="preserve">GC IV Art 27(2)</w:t>
      </w:r>
      <w:r>
        <w:rPr>
          <w:sz w:val="22"/>
          <w:szCs w:val="22"/>
          <w:rFonts w:ascii="Arial" w:cs="Arial" w:eastAsia="Arial" w:hAnsi="Arial"/>
        </w:rPr>
        <w:t xml:space="preserve"> — 'women shall be especially protected against any attack on their honour, in particular against rape, enforced prostitution, or any form of indecent assault' — the 1949 formulation in terms of 'honour', criticised for treating rape as a moral offence rather than violence; Arts 14, 16, 17, 23, 38(5), 50, 89(5), 91 and 132 (expectant mothers, maternity cases, mothers of children under seven — priority in relief, medical care, release from internment); Art 76 (women prisoners — separate quarters, supervision by women); Art 85 and 124 (internment); </w:t>
      </w:r>
      <w:r>
        <w:rPr>
          <w:b/>
          <w:bCs/>
          <w:sz w:val="22"/>
          <w:szCs w:val="22"/>
          <w:rFonts w:ascii="Arial" w:cs="Arial" w:eastAsia="Arial" w:hAnsi="Arial"/>
        </w:rPr>
        <w:t xml:space="preserve">AP I Art 76</w:t>
      </w:r>
      <w:r>
        <w:rPr>
          <w:sz w:val="22"/>
          <w:szCs w:val="22"/>
          <w:rFonts w:ascii="Arial" w:cs="Arial" w:eastAsia="Arial" w:hAnsi="Arial"/>
        </w:rPr>
        <w:t xml:space="preserve"> — women shall be the object of special respect and shall be protected in particular against rape, forced prostitution and any other form of indecent assault; pregnant women and mothers of dependent infants — priority in release; no death penalty executed on them; Art 75(5); </w:t>
      </w:r>
      <w:r>
        <w:rPr>
          <w:b/>
          <w:bCs/>
          <w:sz w:val="22"/>
          <w:szCs w:val="22"/>
          <w:rFonts w:ascii="Arial" w:cs="Arial" w:eastAsia="Arial" w:hAnsi="Arial"/>
        </w:rPr>
        <w:t xml:space="preserve">AP II Art 4(2)(e)</w:t>
      </w:r>
      <w:r>
        <w:rPr>
          <w:sz w:val="22"/>
          <w:szCs w:val="22"/>
          <w:rFonts w:ascii="Arial" w:cs="Arial" w:eastAsia="Arial" w:hAnsi="Arial"/>
        </w:rPr>
        <w:t xml:space="preserve"> — rape, enforced prostitution and indecent assault prohibited in NIACs; Art 5(2)(a) and 6(4). The </w:t>
      </w:r>
      <w:r>
        <w:rPr>
          <w:b/>
          <w:bCs/>
          <w:sz w:val="22"/>
          <w:szCs w:val="22"/>
          <w:rFonts w:ascii="Arial" w:cs="Arial" w:eastAsia="Arial" w:hAnsi="Arial"/>
        </w:rPr>
        <w:t xml:space="preserve">jurisprudence</w:t>
      </w:r>
      <w:r>
        <w:rPr>
          <w:sz w:val="22"/>
          <w:szCs w:val="22"/>
          <w:rFonts w:ascii="Arial" w:cs="Arial" w:eastAsia="Arial" w:hAnsi="Arial"/>
        </w:rPr>
        <w:t xml:space="preserve"> transformed the 'honour' framing: </w:t>
      </w:r>
      <w:r>
        <w:rPr>
          <w:b/>
          <w:bCs/>
          <w:sz w:val="22"/>
          <w:szCs w:val="22"/>
          <w:rFonts w:ascii="Arial" w:cs="Arial" w:eastAsia="Arial" w:hAnsi="Arial"/>
        </w:rPr>
        <w:t xml:space="preserve">Akayesu (ICTR 1998)</w:t>
      </w:r>
      <w:r>
        <w:rPr>
          <w:sz w:val="22"/>
          <w:szCs w:val="22"/>
          <w:rFonts w:ascii="Arial" w:cs="Arial" w:eastAsia="Arial" w:hAnsi="Arial"/>
        </w:rPr>
        <w:t xml:space="preserve"> — rape defined as 'a physical invasion of a sexual nature, committed on a person under circumstances which are coercive', and held to constitute genocide when committed with intent to destroy the group, and a crime against humanity; </w:t>
      </w:r>
      <w:r>
        <w:rPr>
          <w:b/>
          <w:bCs/>
          <w:sz w:val="22"/>
          <w:szCs w:val="22"/>
          <w:rFonts w:ascii="Arial" w:cs="Arial" w:eastAsia="Arial" w:hAnsi="Arial"/>
        </w:rPr>
        <w:t xml:space="preserve">Čelebići (ICTY 1998)</w:t>
      </w:r>
      <w:r>
        <w:rPr>
          <w:sz w:val="22"/>
          <w:szCs w:val="22"/>
          <w:rFonts w:ascii="Arial" w:cs="Arial" w:eastAsia="Arial" w:hAnsi="Arial"/>
        </w:rPr>
        <w:t xml:space="preserve"> — rape as torture; </w:t>
      </w:r>
      <w:r>
        <w:rPr>
          <w:b/>
          <w:bCs/>
          <w:sz w:val="22"/>
          <w:szCs w:val="22"/>
          <w:rFonts w:ascii="Arial" w:cs="Arial" w:eastAsia="Arial" w:hAnsi="Arial"/>
        </w:rPr>
        <w:t xml:space="preserve">Furundžija (ICTY 1998)</w:t>
      </w:r>
      <w:r>
        <w:rPr>
          <w:sz w:val="22"/>
          <w:szCs w:val="22"/>
          <w:rFonts w:ascii="Arial" w:cs="Arial" w:eastAsia="Arial" w:hAnsi="Arial"/>
        </w:rPr>
        <w:t xml:space="preserve"> — rape as a war crime and torture; forced nudity as an outrage on dignity; </w:t>
      </w:r>
      <w:r>
        <w:rPr>
          <w:b/>
          <w:bCs/>
          <w:sz w:val="22"/>
          <w:szCs w:val="22"/>
          <w:rFonts w:ascii="Arial" w:cs="Arial" w:eastAsia="Arial" w:hAnsi="Arial"/>
        </w:rPr>
        <w:t xml:space="preserve">Kunarac (ICTY 2001)</w:t>
      </w:r>
      <w:r>
        <w:rPr>
          <w:sz w:val="22"/>
          <w:szCs w:val="22"/>
          <w:rFonts w:ascii="Arial" w:cs="Arial" w:eastAsia="Arial" w:hAnsi="Arial"/>
        </w:rPr>
        <w:t xml:space="preserve"> — the Foča case: rape and enslavement as crimes against humanity; the definition of rape without a requirement of force where coercive circumstances exist; sexual slavery; </w:t>
      </w:r>
      <w:r>
        <w:rPr>
          <w:b/>
          <w:bCs/>
          <w:sz w:val="22"/>
          <w:szCs w:val="22"/>
          <w:rFonts w:ascii="Arial" w:cs="Arial" w:eastAsia="Arial" w:hAnsi="Arial"/>
        </w:rPr>
        <w:t xml:space="preserve">Kvočka; Gacumbitsi</w:t>
      </w:r>
      <w:r>
        <w:rPr>
          <w:sz w:val="22"/>
          <w:szCs w:val="22"/>
          <w:rFonts w:ascii="Arial" w:cs="Arial" w:eastAsia="Arial" w:hAnsi="Arial"/>
        </w:rPr>
        <w:t xml:space="preserve">; the </w:t>
      </w:r>
      <w:r>
        <w:rPr>
          <w:b/>
          <w:bCs/>
          <w:sz w:val="22"/>
          <w:szCs w:val="22"/>
          <w:rFonts w:ascii="Arial" w:cs="Arial" w:eastAsia="Arial" w:hAnsi="Arial"/>
        </w:rPr>
        <w:t xml:space="preserve">Rome Statute's</w:t>
      </w:r>
      <w:r>
        <w:rPr>
          <w:sz w:val="22"/>
          <w:szCs w:val="22"/>
          <w:rFonts w:ascii="Arial" w:cs="Arial" w:eastAsia="Arial" w:hAnsi="Arial"/>
        </w:rPr>
        <w:t xml:space="preserve"> Arts 7(1)(g) and 8(2)(b)(xxii)/(e)(vi) — rape, sexual slavery, enforced prostitution, forced pregnancy, enforced sterilisation and any other form of sexual violence of comparable gravity as crimes against humanity and war crimes; the ICC's </w:t>
      </w:r>
      <w:r>
        <w:rPr>
          <w:b/>
          <w:bCs/>
          <w:sz w:val="22"/>
          <w:szCs w:val="22"/>
          <w:rFonts w:ascii="Arial" w:cs="Arial" w:eastAsia="Arial" w:hAnsi="Arial"/>
        </w:rPr>
        <w:t xml:space="preserve">Bemba (2016, reversed 2018 on command responsibility)</w:t>
      </w:r>
      <w:r>
        <w:rPr>
          <w:sz w:val="22"/>
          <w:szCs w:val="22"/>
          <w:rFonts w:ascii="Arial" w:cs="Arial" w:eastAsia="Arial" w:hAnsi="Arial"/>
        </w:rPr>
        <w:t xml:space="preserve"> and </w:t>
      </w:r>
      <w:r>
        <w:rPr>
          <w:b/>
          <w:bCs/>
          <w:sz w:val="22"/>
          <w:szCs w:val="22"/>
          <w:rFonts w:ascii="Arial" w:cs="Arial" w:eastAsia="Arial" w:hAnsi="Arial"/>
        </w:rPr>
        <w:t xml:space="preserve">Ntaganda (2019)</w:t>
      </w:r>
      <w:r>
        <w:rPr>
          <w:sz w:val="22"/>
          <w:szCs w:val="22"/>
          <w:rFonts w:ascii="Arial" w:cs="Arial" w:eastAsia="Arial" w:hAnsi="Arial"/>
        </w:rPr>
        <w:t xml:space="preserve"> convictions for rape and sexual slavery, including of child soldiers within the perpetrator's own forces; the </w:t>
      </w:r>
      <w:r>
        <w:rPr>
          <w:b/>
          <w:bCs/>
          <w:sz w:val="22"/>
          <w:szCs w:val="22"/>
          <w:rFonts w:ascii="Arial" w:cs="Arial" w:eastAsia="Arial" w:hAnsi="Arial"/>
        </w:rPr>
        <w:t xml:space="preserve">Security Council's resolutions 1325 (2000), 1820 (2008 — sexual violence as a tactic of war and a threat to peace), 1888, 1889, 1960 (2010 — the monitoring and listing mechanism), 2106 (2013), 2122, 2242, 2467 (2019 — the survivor-centred approach)</w:t>
      </w:r>
      <w:r>
        <w:rPr>
          <w:sz w:val="22"/>
          <w:szCs w:val="22"/>
          <w:rFonts w:ascii="Arial" w:cs="Arial" w:eastAsia="Arial" w:hAnsi="Arial"/>
        </w:rPr>
        <w:t xml:space="preserve">; the </w:t>
      </w:r>
      <w:r>
        <w:rPr>
          <w:b/>
          <w:bCs/>
          <w:sz w:val="22"/>
          <w:szCs w:val="22"/>
          <w:rFonts w:ascii="Arial" w:cs="Arial" w:eastAsia="Arial" w:hAnsi="Arial"/>
        </w:rPr>
        <w:t xml:space="preserve">Special Representative on Sexual Violence in Conflict (2009)</w:t>
      </w:r>
      <w:r>
        <w:rPr>
          <w:sz w:val="22"/>
          <w:szCs w:val="22"/>
          <w:rFonts w:ascii="Arial" w:cs="Arial" w:eastAsia="Arial" w:hAnsi="Arial"/>
        </w:rPr>
        <w:t xml:space="preserve">; the </w:t>
      </w:r>
      <w:r>
        <w:rPr>
          <w:b/>
          <w:bCs/>
          <w:sz w:val="22"/>
          <w:szCs w:val="22"/>
          <w:rFonts w:ascii="Arial" w:cs="Arial" w:eastAsia="Arial" w:hAnsi="Arial"/>
        </w:rPr>
        <w:t xml:space="preserve">ICRC's 2001 study 'Women Facing War'</w:t>
      </w:r>
      <w:r>
        <w:rPr>
          <w:sz w:val="22"/>
          <w:szCs w:val="22"/>
          <w:rFonts w:ascii="Arial" w:cs="Arial" w:eastAsia="Arial" w:hAnsi="Arial"/>
        </w:rPr>
        <w:t xml:space="preserve"> and the updated Commentaries' gender reading of 'honour'; the </w:t>
      </w:r>
      <w:r>
        <w:rPr>
          <w:b/>
          <w:bCs/>
          <w:sz w:val="22"/>
          <w:szCs w:val="22"/>
          <w:rFonts w:ascii="Arial" w:cs="Arial" w:eastAsia="Arial" w:hAnsi="Arial"/>
        </w:rPr>
        <w:t xml:space="preserve">CEDAW Committee's GR 30 (2013)</w:t>
      </w:r>
      <w:r>
        <w:rPr>
          <w:sz w:val="22"/>
          <w:szCs w:val="22"/>
          <w:rFonts w:ascii="Arial" w:cs="Arial" w:eastAsia="Arial" w:hAnsi="Arial"/>
        </w:rPr>
        <w:t xml:space="preserve"> on women in conflict; and the </w:t>
      </w:r>
      <w:r>
        <w:rPr>
          <w:b/>
          <w:bCs/>
          <w:sz w:val="22"/>
          <w:szCs w:val="22"/>
          <w:rFonts w:ascii="Arial" w:cs="Arial" w:eastAsia="Arial" w:hAnsi="Arial"/>
        </w:rPr>
        <w:t xml:space="preserve">Nobel Peace Prize 2018</w:t>
      </w:r>
      <w:r>
        <w:rPr>
          <w:sz w:val="22"/>
          <w:szCs w:val="22"/>
          <w:rFonts w:ascii="Arial" w:cs="Arial" w:eastAsia="Arial" w:hAnsi="Arial"/>
        </w:rPr>
        <w:t xml:space="preserve"> to Nadia Murad and Denis Mukwege. The Indian angle: the Bangladesh war's mass rapes (1971 — the 'birangona' — and the 1973 Bangladesh (Collaborators) and the 2010 International Crimes Tribunal), the Kunan Poshpora allegations (1991) and the AFSPA's Sec 6 sanction requirement, the Manipur violence of 2023, and the Verma Committee's (2013) recommendation to bring the sexual offences of the armed forces under the ordinary criminal law.</w:t>
      </w:r>
    </w:p>
    <w:p>
      <w:pPr>
        <w:spacing w:before="240" w:after="120"/>
      </w:pPr>
      <w:r>
        <w:rPr>
          <w:b/>
          <w:bCs/>
          <w:color w:val="404040"/>
          <w:sz w:val="23"/>
          <w:szCs w:val="23"/>
          <w:rFonts w:ascii="Arial" w:cs="Arial" w:eastAsia="Arial" w:hAnsi="Arial"/>
        </w:rPr>
        <w:t xml:space="preserve">IHL and human rights law; India and IHL</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relationship</w:t>
      </w:r>
      <w:r>
        <w:rPr>
          <w:sz w:val="22"/>
          <w:szCs w:val="22"/>
          <w:rFonts w:ascii="Arial" w:cs="Arial" w:eastAsia="Arial" w:hAnsi="Arial"/>
        </w:rPr>
        <w:t xml:space="preserve">: the two bodies are distinct in origin (Geneva and Hague vs the UN), scope (armed conflict vs all times), addressees (parties to the conflict including armed groups vs States), and enforcement (the Protecting Powers, the ICRC, grave-breach prosecutions vs the treaty bodies and courts), but converge: human-rights law continues to apply in armed conflict (the ICJ's Nuclear Weapons opinion, 1996 — the right to life applies, but what is 'arbitrary' is determined by IHL as the lex specialis; the Wall opinion, 2004 — three possibilities: some rights exclusively IHL, some exclusively human rights, some both; the DRC v. Uganda, 2005 — both applied to occupation; the Human Rights Committee's GC 31 and 36; the ECtHR's Hassan v. UK, 2014 — Art 5 read in the light of GC III and IV in Iraq), with derogation (Art 4 ICCPR, Art 15 ECHR) as the bridge; the Rome Statute's crimes against humanity apply in peace and war; the Council's 1993 Vienna Declaration and the 1968 Tehran Resolution XXIII ('human rights in armed conflicts') are the political recognition; the 'humanisation of humanitarian law' (Meron) — the Martens clause, common Art 3 and AP I Art 75 as the common floor. </w:t>
      </w:r>
      <w:r>
        <w:rPr>
          <w:b/>
          <w:bCs/>
          <w:sz w:val="22"/>
          <w:szCs w:val="22"/>
          <w:rFonts w:ascii="Arial" w:cs="Arial" w:eastAsia="Arial" w:hAnsi="Arial"/>
        </w:rPr>
        <w:t xml:space="preserve">India</w:t>
      </w:r>
      <w:r>
        <w:rPr>
          <w:sz w:val="22"/>
          <w:szCs w:val="22"/>
          <w:rFonts w:ascii="Arial" w:cs="Arial" w:eastAsia="Arial" w:hAnsi="Arial"/>
        </w:rPr>
        <w:t xml:space="preserve"> ratified the Geneva Conventions on 9 November 1950 and enacted the </w:t>
      </w:r>
      <w:r>
        <w:rPr>
          <w:b/>
          <w:bCs/>
          <w:sz w:val="22"/>
          <w:szCs w:val="22"/>
          <w:rFonts w:ascii="Arial" w:cs="Arial" w:eastAsia="Arial" w:hAnsi="Arial"/>
        </w:rPr>
        <w:t xml:space="preserve">Geneva Conventions Act 1960</w:t>
      </w:r>
      <w:r>
        <w:rPr>
          <w:sz w:val="22"/>
          <w:szCs w:val="22"/>
          <w:rFonts w:ascii="Arial" w:cs="Arial" w:eastAsia="Arial" w:hAnsi="Arial"/>
        </w:rPr>
        <w:t xml:space="preserve">: </w:t>
      </w:r>
      <w:r>
        <w:rPr>
          <w:b/>
          <w:bCs/>
          <w:sz w:val="22"/>
          <w:szCs w:val="22"/>
          <w:rFonts w:ascii="Arial" w:cs="Arial" w:eastAsia="Arial" w:hAnsi="Arial"/>
        </w:rPr>
        <w:t xml:space="preserve">Sec 3</w:t>
      </w:r>
      <w:r>
        <w:rPr>
          <w:sz w:val="22"/>
          <w:szCs w:val="22"/>
          <w:rFonts w:ascii="Arial" w:cs="Arial" w:eastAsia="Arial" w:hAnsi="Arial"/>
        </w:rPr>
        <w:t xml:space="preserve"> — punishment of grave breaches committed by any person within or outside India (death or life imprisonment for wilful killing; fourteen years for other grave breaches) — universal jurisdiction in Indian law, though never used; </w:t>
      </w:r>
      <w:r>
        <w:rPr>
          <w:b/>
          <w:bCs/>
          <w:sz w:val="22"/>
          <w:szCs w:val="22"/>
          <w:rFonts w:ascii="Arial" w:cs="Arial" w:eastAsia="Arial" w:hAnsi="Arial"/>
        </w:rPr>
        <w:t xml:space="preserve">Sec 4</w:t>
      </w:r>
      <w:r>
        <w:rPr>
          <w:sz w:val="22"/>
          <w:szCs w:val="22"/>
          <w:rFonts w:ascii="Arial" w:cs="Arial" w:eastAsia="Arial" w:hAnsi="Arial"/>
        </w:rPr>
        <w:t xml:space="preserve"> — trial by court-martial or the ordinary courts, with the Central Government's sanction (Sec 17); </w:t>
      </w:r>
      <w:r>
        <w:rPr>
          <w:b/>
          <w:bCs/>
          <w:sz w:val="22"/>
          <w:szCs w:val="22"/>
          <w:rFonts w:ascii="Arial" w:cs="Arial" w:eastAsia="Arial" w:hAnsi="Arial"/>
        </w:rPr>
        <w:t xml:space="preserve">Secs 5-7</w:t>
      </w:r>
      <w:r>
        <w:rPr>
          <w:sz w:val="22"/>
          <w:szCs w:val="22"/>
          <w:rFonts w:ascii="Arial" w:cs="Arial" w:eastAsia="Arial" w:hAnsi="Arial"/>
        </w:rPr>
        <w:t xml:space="preserve"> — notice of trial of protected persons to the Protecting Power, legal representation, appeals; </w:t>
      </w:r>
      <w:r>
        <w:rPr>
          <w:b/>
          <w:bCs/>
          <w:sz w:val="22"/>
          <w:szCs w:val="22"/>
          <w:rFonts w:ascii="Arial" w:cs="Arial" w:eastAsia="Arial" w:hAnsi="Arial"/>
        </w:rPr>
        <w:t xml:space="preserve">Secs 12-14</w:t>
      </w:r>
      <w:r>
        <w:rPr>
          <w:sz w:val="22"/>
          <w:szCs w:val="22"/>
          <w:rFonts w:ascii="Arial" w:cs="Arial" w:eastAsia="Arial" w:hAnsi="Arial"/>
        </w:rPr>
        <w:t xml:space="preserve"> — protection of the red cross, red crescent and red lion and sun emblems and of the name 'Red Cross' (six months' imprisonment and fine); the four Conventions are Schedules to the Act. The Supreme Court in </w:t>
      </w:r>
      <w:r>
        <w:rPr>
          <w:b/>
          <w:bCs/>
          <w:sz w:val="22"/>
          <w:szCs w:val="22"/>
          <w:rFonts w:ascii="Arial" w:cs="Arial" w:eastAsia="Arial" w:hAnsi="Arial"/>
        </w:rPr>
        <w:t xml:space="preserve">Rev. Mons. Sebastiao Francisco Xavier dos Remedios Monteiro v. State of Goa (1969)</w:t>
      </w:r>
      <w:r>
        <w:rPr>
          <w:sz w:val="22"/>
          <w:szCs w:val="22"/>
          <w:rFonts w:ascii="Arial" w:cs="Arial" w:eastAsia="Arial" w:hAnsi="Arial"/>
        </w:rPr>
        <w:t xml:space="preserve"> held that the Act does not give an individual a right to enforce the Conventions in the courts — the 1961 'liberation' of Goa was an act of State and the Conventions' occupation provisions ceased to apply on annexation; the Court's view that the Act creates offences but not private rights is the leading (and criticised) authority. India has not ratified the Protocols (its objections: AP I's Art 1(4) on wars of national liberation and Art 44's guerrilla rules; AP II's threshold and its application to internal conflicts), is a party to the Chemical Weapons Convention, the Biological Weapons Convention, the Conventional Weapons Convention and its Protocols (including the amended Protocol II on mines but not the Ottawa Convention — India retains anti-personnel mines on its borders), and is not a party to the Ottawa, Cluster Munitions or Nuclear Prohibition treaties; it applies IHL through the Army Act 1950, the Manual of Military Law and the Indian Armed Forces' training with the ICRC; the National Human Rights Commission and the courts (Naga People's Movement of Human Rights v. Union of India, 1998 — the AFSPA upheld with the 'dos and don'ts' for the forces, derived partly from IHL; Extra Judicial Execution Victim Families Association v. Union of India, 2016 — the 1,528 Manipur encounter deaths to be investigated; the CBI probes) apply human-rights law to internal security operations.</w:t>
      </w:r>
    </w:p>
    <w:p>
      <w:pPr>
        <w:pBdr>
          <w:left w:val="single" w:color="CC0000" w:sz="6" w:space="8"/>
        </w:pBdr>
        <w:spacing w:before="80" w:after="80"/>
        <w:ind w:left="300"/>
      </w:pPr>
      <w:r>
        <w:rPr>
          <w:b/>
          <w:bCs/>
          <w:color w:val="CC0000"/>
          <w:sz w:val="21"/>
          <w:szCs w:val="21"/>
          <w:rFonts w:ascii="Arial" w:cs="Arial" w:eastAsia="Arial" w:hAnsi="Arial"/>
        </w:rPr>
        <w:t xml:space="preserve">Legality of the Threat or Use of Nuclear Weapons, ICJ Advisory Opinion 1996 — </w:t>
      </w:r>
      <w:r>
        <w:rPr>
          <w:sz w:val="21"/>
          <w:szCs w:val="21"/>
          <w:rFonts w:ascii="Arial" w:cs="Arial" w:eastAsia="Arial" w:hAnsi="Arial"/>
        </w:rPr>
        <w:t xml:space="preserve">Distinction and the prohibition of unnecessary suffering are the cardinal principles; IHL applies to nuclear weapons; human-rights law (the right to life) continues in war with IHL as lex specialis; the Court could not conclude definitively on the extreme circumstance of self-defence.</w:t>
      </w:r>
    </w:p>
    <w:p>
      <w:pPr>
        <w:pBdr>
          <w:left w:val="single" w:color="CC0000" w:sz="6" w:space="8"/>
        </w:pBdr>
        <w:spacing w:before="80" w:after="80"/>
        <w:ind w:left="300"/>
      </w:pPr>
      <w:r>
        <w:rPr>
          <w:b/>
          <w:bCs/>
          <w:color w:val="CC0000"/>
          <w:sz w:val="21"/>
          <w:szCs w:val="21"/>
          <w:rFonts w:ascii="Arial" w:cs="Arial" w:eastAsia="Arial" w:hAnsi="Arial"/>
        </w:rPr>
        <w:t xml:space="preserve">Prosecutor v. Tadić (Jurisdiction), ICTY Appeals Chamber 1995 — </w:t>
      </w:r>
      <w:r>
        <w:rPr>
          <w:sz w:val="21"/>
          <w:szCs w:val="21"/>
          <w:rFonts w:ascii="Arial" w:cs="Arial" w:eastAsia="Arial" w:hAnsi="Arial"/>
        </w:rPr>
        <w:t xml:space="preserve">Armed conflict exists whenever there is a resort to armed force between States or protracted armed violence between governmental authorities and organised armed groups or between such groups; customary IHL applies in NIACs; individual criminal responsibility for violations of common Art 3.</w:t>
      </w:r>
    </w:p>
    <w:p>
      <w:pPr>
        <w:pBdr>
          <w:left w:val="single" w:color="CC0000" w:sz="6" w:space="8"/>
        </w:pBdr>
        <w:spacing w:before="80" w:after="80"/>
        <w:ind w:left="300"/>
      </w:pPr>
      <w:r>
        <w:rPr>
          <w:b/>
          <w:bCs/>
          <w:color w:val="CC0000"/>
          <w:sz w:val="21"/>
          <w:szCs w:val="21"/>
          <w:rFonts w:ascii="Arial" w:cs="Arial" w:eastAsia="Arial" w:hAnsi="Arial"/>
        </w:rPr>
        <w:t xml:space="preserve">Legal Consequences of the Construction of a Wall in the Occupied Palestinian Territory, ICJ Advisory Opinion 2004 — </w:t>
      </w:r>
      <w:r>
        <w:rPr>
          <w:sz w:val="21"/>
          <w:szCs w:val="21"/>
          <w:rFonts w:ascii="Arial" w:cs="Arial" w:eastAsia="Arial" w:hAnsi="Arial"/>
        </w:rPr>
        <w:t xml:space="preserve">GC IV applies to the occupied territory; Art 49(6) prohibits the settlements; human-rights treaties apply extra-territorially in occupation; the wall violates IHL and human-rights law; all States must not recognise the illegal situation (common Art 1).</w:t>
      </w:r>
    </w:p>
    <w:p>
      <w:pPr>
        <w:pBdr>
          <w:left w:val="single" w:color="CC0000" w:sz="6" w:space="8"/>
        </w:pBdr>
        <w:spacing w:before="80" w:after="80"/>
        <w:ind w:left="300"/>
      </w:pPr>
      <w:r>
        <w:rPr>
          <w:b/>
          <w:bCs/>
          <w:color w:val="CC0000"/>
          <w:sz w:val="21"/>
          <w:szCs w:val="21"/>
          <w:rFonts w:ascii="Arial" w:cs="Arial" w:eastAsia="Arial" w:hAnsi="Arial"/>
        </w:rPr>
        <w:t xml:space="preserve">Prosecutor v. Kunarac, Kovač and Vuković, ICTY 2001-02 — </w:t>
      </w:r>
      <w:r>
        <w:rPr>
          <w:sz w:val="21"/>
          <w:szCs w:val="21"/>
          <w:rFonts w:ascii="Arial" w:cs="Arial" w:eastAsia="Arial" w:hAnsi="Arial"/>
        </w:rPr>
        <w:t xml:space="preserve">Rape and enslavement as crimes against humanity; the definition of rape turning on the absence of consent in coercive circumstances; sexual slavery; the Foča 'rape camps'.</w:t>
      </w:r>
    </w:p>
    <w:p>
      <w:pPr>
        <w:pBdr>
          <w:left w:val="single" w:color="CC0000" w:sz="6" w:space="8"/>
        </w:pBdr>
        <w:spacing w:before="80" w:after="80"/>
        <w:ind w:left="300"/>
      </w:pPr>
      <w:r>
        <w:rPr>
          <w:b/>
          <w:bCs/>
          <w:color w:val="CC0000"/>
          <w:sz w:val="21"/>
          <w:szCs w:val="21"/>
          <w:rFonts w:ascii="Arial" w:cs="Arial" w:eastAsia="Arial" w:hAnsi="Arial"/>
        </w:rPr>
        <w:t xml:space="preserve">Rev. Mons. Sebastiao Francisco Xavier dos Remedios Monteiro v. State of Goa (1969) 3 SCC 419 — </w:t>
      </w:r>
      <w:r>
        <w:rPr>
          <w:sz w:val="21"/>
          <w:szCs w:val="21"/>
          <w:rFonts w:ascii="Arial" w:cs="Arial" w:eastAsia="Arial" w:hAnsi="Arial"/>
        </w:rPr>
        <w:t xml:space="preserve">The Geneva Conventions Act does not confer rights enforceable by individuals in Indian courts; occupation ended with annexation; the Conventions' occupation provisions ceased to apply — the leading (and criticised) Indian authority on IHL's domestic effect.</w:t>
      </w:r>
    </w:p>
    <w:p>
      <w:pPr>
        <w:pBdr>
          <w:left w:val="single" w:color="CC0000" w:sz="6" w:space="8"/>
        </w:pBdr>
        <w:spacing w:before="80" w:after="80"/>
        <w:ind w:left="300"/>
      </w:pPr>
      <w:r>
        <w:rPr>
          <w:b/>
          <w:bCs/>
          <w:color w:val="CC0000"/>
          <w:sz w:val="21"/>
          <w:szCs w:val="21"/>
          <w:rFonts w:ascii="Arial" w:cs="Arial" w:eastAsia="Arial" w:hAnsi="Arial"/>
        </w:rPr>
        <w:t xml:space="preserve">Trial of Pakistani Prisoners of War (Pakistan v. India), ICJ 1973 — </w:t>
      </w:r>
      <w:r>
        <w:rPr>
          <w:sz w:val="21"/>
          <w:szCs w:val="21"/>
          <w:rFonts w:ascii="Arial" w:cs="Arial" w:eastAsia="Arial" w:hAnsi="Arial"/>
        </w:rPr>
        <w:t xml:space="preserve">Pakistan sought to prevent the transfer of 195 POWs to Bangladesh for trial; the case was discontinued after the Delhi Agreement; the episode is the standard illustration of GC III Art 118's repatriation duty and its political limits.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ICRC's customary-IHL database and the updated Commentaries are online; the 2017 Tallinn Manual 2.0 applies IHL to cyber operations (the ICRC's 2019 position paper; 2023 rules for civilian hackers); autonomous weapons are debated in the CCW's Group of Governmental Experts; satellite imagery and open-source investigation (Bellingcat, the UN's OSINT) document attacks on hospitals and schools; and the ICC's 2023-24 warrants for the Ukraine and Gaza conflicts rely on digital evidence under the Berkeley Protocol.</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'Geneva law and Hague law', 'Martens clause', 'Principle of distinction', 'Proportionality in IHL', 'Common Art 3', 'Grave breaches', 'Who is a prisoner of war (Art 4)', 'Name, rank and number (Art 17)', 'Repatriation of POWs (Art 118)', 'Protected persons (GC IV Art 4)', 'Art 49 GC IV', 'Women and IHL', 'Geneva Conventions Act 1960', 'Tadić definition of armed conflict'. Part B: 'Explain the basic principles of international humanitarian law and its sources'; or 'Discuss the rights of prisoners of war under the Third Geneva Convention'; or 'Discuss the protection of civilians under the Fourth Geneva Convention and Additional Protocol I'; or 'Examine the protection of women in armed conflict under IHL and the contribution of the international criminal tribunals'; or 'What is the relationship between IHL and human-rights law? Describe India's implementation of the Geneva Conventions'. Part C: a captured pilot is videotaped and questioned about his mission — GC III Arts 13 and 17, only name, rank, number; the video is a breach; an occupying army settles its civilians in the occupied territory — Art 49(6), the Wall opinion; an army destroys a village's wells and crops to deny insurgents food — AP I Art 54 / AP II Art 14, and customary law; a rebel group in a NIAC executes captured soldiers without trial — common Art 3(1)(d), a war crime under the Rome Statute Art 8(2)(c); a State says the Geneva Conventions do not apply because it has not declared war — common Art 2; a soldier rapes a civilian during operations — GC IV Art 27, AP I Art 76, Rome Statute Art 8, the Indian Army Act and the Verma Committee; India holds POWs after the ceasefire until a political settlement — Art 118 requires repatriation without delay after the cessation of active hostilities.</w:t>
      </w:r>
    </w:p>
    <w:p>
      <w:r>
        <w:br w:type="page"/>
      </w:r>
    </w:p>
    <w:p>
      <w:pPr>
        <w:pStyle w:val="Heading1"/>
        <w:spacing w:before="480" w:after="200"/>
      </w:pPr>
      <w:r>
        <w:rPr>
          <w:b/>
          <w:bCs/>
          <w:color w:val="1F4E79"/>
          <w:sz w:val="32"/>
          <w:szCs w:val="32"/>
          <w:rFonts w:ascii="Arial" w:cs="Arial" w:eastAsia="Arial" w:hAnsi="Arial"/>
        </w:rPr>
        <w:t xml:space="preserve">Episode 11 — The Man in Pakistani Custody: Kulbhushan Jadhav, the ICJ, the ICC and the European Courts</w:t>
      </w:r>
    </w:p>
    <w:p>
      <w:pPr>
        <w:pStyle w:val="Heading2"/>
        <w:spacing w:before="360" w:after="160"/>
      </w:pPr>
      <w:r>
        <w:rPr>
          <w:b/>
          <w:bCs/>
          <w:color w:val="2E75B6"/>
          <w:sz w:val="26"/>
          <w:szCs w:val="26"/>
          <w:rFonts w:ascii="Arial" w:cs="Arial" w:eastAsia="Arial" w:hAnsi="Arial"/>
        </w:rPr>
        <w:t xml:space="preserve">Covers: The International Court of Justice — jurisdiction, the human-rights cases (contentious and advisory), the limits · The ad hoc tribunals — ICTY, ICTR, the hybrid courts · The International Criminal Court — the Rome Statute's crimes, jurisdiction, triggers, complementarity, immunity, the cases; India's objections · The European Court of Human Rights and the Court of Justice of the EU as enforcement models (recap) · Universal jurisdiction and national courts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Islamabad, 10 April 2017. Pakistan announced that a Field General Court Martial had sentenced Kulbhushan Sudhir Jadhav, a retired Indian Navy officer whom it said it had arrested in Balochistan in March 2016, to death for espionage and terrorism on behalf of India's Research and Analysis Wing. Pakistan said he had confessed on video; India said he had been kidnapped from Iran, where he ran a business, and that the confession was coerced. What was not in dispute was that India had asked sixteen times for consular access under Article 36 of the Vienna Convention on Consular Relations — the right of a detained foreign national to have his consulate informed and to be visited by its officers — and had been refused each time, Pakistan taking the position that a spy has no such right and that a 2008 bilateral agreement excluded security cases. On 8 May 2017 India filed an application at the International Court of Justice, invoking the Optional Protocol to the Vienna Convention, and asked for provisional measures; on 18 May the Court unanimously ordered Pakistan to ensure that Jadhav was not executed pending the final decision. On 17 July 2019 the Court, fifteen votes to one (the Pakistani ad hoc judge dissenting), held that Pakistan had violated Article 36 — by not informing Jadhav of his rights, by not notifying India without delay, and by denying access — that espionage was no exception, that the bilateral agreement could not displace the Convention, and that Pakistan must provide 'effective review and reconsideration' of the conviction and sentence by means of its own choosing, taking full account of the violation, with the stay of execution as an indispensable condition. The Court did not order acquittal, release or a retrial, as India had asked; it applied its own precedents in LaGrand (Germany v. US, 2001) and Avena (Mexico v. US, 2004). Pakistan passed an ordinance in 2020, then an Act in 2021, to allow review by its High Court; India argues the review is not effective; Jadhav remains in Pakistani custody. The case is the Indian example of the ICJ as a human-rights court — a court of States, protecting an individual through the treaty rights of his State — and of the ICJ's limits.</w:t>
      </w:r>
    </w:p>
    <w:p>
      <w:pPr>
        <w:spacing w:before="240" w:after="120"/>
      </w:pPr>
      <w:r>
        <w:rPr>
          <w:b/>
          <w:bCs/>
          <w:color w:val="404040"/>
          <w:sz w:val="23"/>
          <w:szCs w:val="23"/>
          <w:rFonts w:ascii="Arial" w:cs="Arial" w:eastAsia="Arial" w:hAnsi="Arial"/>
        </w:rPr>
        <w:t xml:space="preserve">The International Court of Justice</w:t>
      </w:r>
    </w:p>
    <w:p>
      <w:pPr>
        <w:spacing w:after="120" w:line="300"/>
        <w:jc w:val="both"/>
      </w:pPr>
      <w:r>
        <w:rPr>
          <w:sz w:val="22"/>
          <w:szCs w:val="22"/>
          <w:rFonts w:ascii="Arial" w:cs="Arial" w:eastAsia="Arial" w:hAnsi="Arial"/>
        </w:rPr>
        <w:t xml:space="preserve">The principal judicial organ of the UN (Charter Art 92; the Statute annexed to the Charter, to which all UN members are parties — Art 93; fifteen judges elected for nine years by the General Assembly and the Security Council — Statute Arts 2-15; The Hague; the successor of the Permanent Court of International Justice, 1922-46). </w:t>
      </w:r>
      <w:r>
        <w:rPr>
          <w:b/>
          <w:bCs/>
          <w:sz w:val="22"/>
          <w:szCs w:val="22"/>
          <w:rFonts w:ascii="Arial" w:cs="Arial" w:eastAsia="Arial" w:hAnsi="Arial"/>
        </w:rPr>
        <w:t xml:space="preserve">Jurisdiction</w:t>
      </w:r>
      <w:r>
        <w:rPr>
          <w:sz w:val="22"/>
          <w:szCs w:val="22"/>
          <w:rFonts w:ascii="Arial" w:cs="Arial" w:eastAsia="Arial" w:hAnsi="Arial"/>
        </w:rPr>
        <w:t xml:space="preserve">: (1) </w:t>
      </w:r>
      <w:r>
        <w:rPr>
          <w:b/>
          <w:bCs/>
          <w:sz w:val="22"/>
          <w:szCs w:val="22"/>
          <w:rFonts w:ascii="Arial" w:cs="Arial" w:eastAsia="Arial" w:hAnsi="Arial"/>
        </w:rPr>
        <w:t xml:space="preserve">contentious</w:t>
      </w:r>
      <w:r>
        <w:rPr>
          <w:sz w:val="22"/>
          <w:szCs w:val="22"/>
          <w:rFonts w:ascii="Arial" w:cs="Arial" w:eastAsia="Arial" w:hAnsi="Arial"/>
        </w:rPr>
        <w:t xml:space="preserve"> — only States may be parties (Art 34(1)); the Court has jurisdiction over cases the parties refer to it (special agreement — Art 36(1)), matters provided for in the Charter or in treaties in force (compromissory clauses — Art 36(1); the Genocide Convention's Art IX, the Torture Convention's Art 30, CERD's Art 22, CEDAW's Art 29, the Vienna Convention on Consular Relations' Optional Protocol — the routes for human-rights cases), and disputes between States that have made the </w:t>
      </w:r>
      <w:r>
        <w:rPr>
          <w:b/>
          <w:bCs/>
          <w:sz w:val="22"/>
          <w:szCs w:val="22"/>
          <w:rFonts w:ascii="Arial" w:cs="Arial" w:eastAsia="Arial" w:hAnsi="Arial"/>
        </w:rPr>
        <w:t xml:space="preserve">optional-clause declaration</w:t>
      </w:r>
      <w:r>
        <w:rPr>
          <w:sz w:val="22"/>
          <w:szCs w:val="22"/>
          <w:rFonts w:ascii="Arial" w:cs="Arial" w:eastAsia="Arial" w:hAnsi="Arial"/>
        </w:rPr>
        <w:t xml:space="preserve"> accepting compulsory jurisdiction (Art 36(2) — 74 States; India's declaration of 2019 (replacing 1974) with its reservations excluding disputes with Commonwealth members, disputes on hostilities, disputes on multilateral treaties unless all parties are before the Court, and the self-judging domestic-jurisdiction reservation — the reason Pakistan's 1973 case and Jadhav went by treaty clauses); </w:t>
      </w:r>
      <w:r>
        <w:rPr>
          <w:b/>
          <w:bCs/>
          <w:sz w:val="22"/>
          <w:szCs w:val="22"/>
          <w:rFonts w:ascii="Arial" w:cs="Arial" w:eastAsia="Arial" w:hAnsi="Arial"/>
        </w:rPr>
        <w:t xml:space="preserve">provisional measures</w:t>
      </w:r>
      <w:r>
        <w:rPr>
          <w:sz w:val="22"/>
          <w:szCs w:val="22"/>
          <w:rFonts w:ascii="Arial" w:cs="Arial" w:eastAsia="Arial" w:hAnsi="Arial"/>
        </w:rPr>
        <w:t xml:space="preserve"> (Art 41 — binding since LaGrand, 2001); judgments are final and binding on the parties (Arts 59-60), with recourse to the Security Council for non-compliance (Charter Art 94(2) — never used); (2) </w:t>
      </w:r>
      <w:r>
        <w:rPr>
          <w:b/>
          <w:bCs/>
          <w:sz w:val="22"/>
          <w:szCs w:val="22"/>
          <w:rFonts w:ascii="Arial" w:cs="Arial" w:eastAsia="Arial" w:hAnsi="Arial"/>
        </w:rPr>
        <w:t xml:space="preserve">advisory</w:t>
      </w:r>
      <w:r>
        <w:rPr>
          <w:sz w:val="22"/>
          <w:szCs w:val="22"/>
          <w:rFonts w:ascii="Arial" w:cs="Arial" w:eastAsia="Arial" w:hAnsi="Arial"/>
        </w:rPr>
        <w:t xml:space="preserve"> — on any legal question at the request of the General Assembly, the Security Council or other authorised organs and agencies (Charter Art 96; Statute Art 65) — not binding but authoritative. </w:t>
      </w:r>
      <w:r>
        <w:rPr>
          <w:b/>
          <w:bCs/>
          <w:sz w:val="22"/>
          <w:szCs w:val="22"/>
          <w:rFonts w:ascii="Arial" w:cs="Arial" w:eastAsia="Arial" w:hAnsi="Arial"/>
        </w:rPr>
        <w:t xml:space="preserve">The human-rights cases</w:t>
      </w:r>
      <w:r>
        <w:rPr>
          <w:sz w:val="22"/>
          <w:szCs w:val="22"/>
          <w:rFonts w:ascii="Arial" w:cs="Arial" w:eastAsia="Arial" w:hAnsi="Arial"/>
        </w:rPr>
        <w:t xml:space="preserve">: </w:t>
      </w:r>
      <w:r>
        <w:rPr>
          <w:b/>
          <w:bCs/>
          <w:sz w:val="22"/>
          <w:szCs w:val="22"/>
          <w:rFonts w:ascii="Arial" w:cs="Arial" w:eastAsia="Arial" w:hAnsi="Arial"/>
        </w:rPr>
        <w:t xml:space="preserve">advisory</w:t>
      </w:r>
      <w:r>
        <w:rPr>
          <w:sz w:val="22"/>
          <w:szCs w:val="22"/>
          <w:rFonts w:ascii="Arial" w:cs="Arial" w:eastAsia="Arial" w:hAnsi="Arial"/>
        </w:rPr>
        <w:t xml:space="preserve"> — Reservations to the Genocide Convention (1951 — a reservation incompatible with the object and purpose is impermissible; the Convention's principles bind even non-parties), Namibia (1971 — apartheid as a breach of the Charter), Western Sahara (1975 — self-determination), the Wall (2004), Kosovo (2010 — declarations of independence), Chagos (2019 — decolonisation and self-determination; the UK's separation of the Chagos Islands unlawful), the Occupied Palestinian Territory (2024 — the occupation unlawful, the settlements and the discriminatory regime violate IHL and CERD), the Climate Change opinion (2025); </w:t>
      </w:r>
      <w:r>
        <w:rPr>
          <w:b/>
          <w:bCs/>
          <w:sz w:val="22"/>
          <w:szCs w:val="22"/>
          <w:rFonts w:ascii="Arial" w:cs="Arial" w:eastAsia="Arial" w:hAnsi="Arial"/>
        </w:rPr>
        <w:t xml:space="preserve">contentious</w:t>
      </w:r>
      <w:r>
        <w:rPr>
          <w:sz w:val="22"/>
          <w:szCs w:val="22"/>
          <w:rFonts w:ascii="Arial" w:cs="Arial" w:eastAsia="Arial" w:hAnsi="Arial"/>
        </w:rPr>
        <w:t xml:space="preserve"> — Corfu Channel (1949 — 'elementary considerations of humanity'), Barcelona Traction (1970 — erga omnes), Tehran Hostages (1980), Nicaragua (1986 — common Art 3 as customary law; force not a means of protecting human rights), East Timor (1995 — self-determination erga omnes but the Monetary Gold rule), </w:t>
      </w:r>
      <w:r>
        <w:rPr>
          <w:b/>
          <w:bCs/>
          <w:sz w:val="22"/>
          <w:szCs w:val="22"/>
          <w:rFonts w:ascii="Arial" w:cs="Arial" w:eastAsia="Arial" w:hAnsi="Arial"/>
        </w:rPr>
        <w:t xml:space="preserve">Bosnia v. Serbia (2007)</w:t>
      </w:r>
      <w:r>
        <w:rPr>
          <w:sz w:val="22"/>
          <w:szCs w:val="22"/>
          <w:rFonts w:ascii="Arial" w:cs="Arial" w:eastAsia="Arial" w:hAnsi="Arial"/>
        </w:rPr>
        <w:t xml:space="preserve"> — the first genocide judgment: Srebrenica was genocide, Serbia not responsible for committing it but responsible for failing to prevent and to punish, the duty to prevent triggered by knowledge of a serious risk; Croatia v. Serbia (2015 — no genocide proved either way); DRC v. Uganda (2005 — occupation, IHL and human rights; reparations 2022, US$325 million); Diallo (Guinea v. DRC, 2010 — the first judgment on the ICCPR's Arts 9 and 13 in a diplomatic-protection case, with compensation in 2012); </w:t>
      </w:r>
      <w:r>
        <w:rPr>
          <w:b/>
          <w:bCs/>
          <w:sz w:val="22"/>
          <w:szCs w:val="22"/>
          <w:rFonts w:ascii="Arial" w:cs="Arial" w:eastAsia="Arial" w:hAnsi="Arial"/>
        </w:rPr>
        <w:t xml:space="preserve">LaGrand (2001) and Avena (2004)</w:t>
      </w:r>
      <w:r>
        <w:rPr>
          <w:sz w:val="22"/>
          <w:szCs w:val="22"/>
          <w:rFonts w:ascii="Arial" w:cs="Arial" w:eastAsia="Arial" w:hAnsi="Arial"/>
        </w:rPr>
        <w:t xml:space="preserve"> — consular access under Art 36 VCCR as an individual right; Belgium v. Senegal (2012 — the duty to prosecute Habré; torture prohibition as jus cogens); Germany v. Italy (2012 — State immunity prevails over civil claims for war crimes — the limit); </w:t>
      </w:r>
      <w:r>
        <w:rPr>
          <w:b/>
          <w:bCs/>
          <w:sz w:val="22"/>
          <w:szCs w:val="22"/>
          <w:rFonts w:ascii="Arial" w:cs="Arial" w:eastAsia="Arial" w:hAnsi="Arial"/>
        </w:rPr>
        <w:t xml:space="preserve">Jadhav (2019)</w:t>
      </w:r>
      <w:r>
        <w:rPr>
          <w:sz w:val="22"/>
          <w:szCs w:val="22"/>
          <w:rFonts w:ascii="Arial" w:cs="Arial" w:eastAsia="Arial" w:hAnsi="Arial"/>
        </w:rPr>
        <w:t xml:space="preserve">; Georgia v. Russia (2011 — CERD's procedural preconditions); Ukraine v. Russia (2019-24 — CERD and terrorism financing; and the 2022 case under the Genocide Convention with provisional measures ordering Russia to suspend its invasion); Qatar v. UAE (2021 — CERD's 'national origin' does not cover current nationality); </w:t>
      </w:r>
      <w:r>
        <w:rPr>
          <w:b/>
          <w:bCs/>
          <w:sz w:val="22"/>
          <w:szCs w:val="22"/>
          <w:rFonts w:ascii="Arial" w:cs="Arial" w:eastAsia="Arial" w:hAnsi="Arial"/>
        </w:rPr>
        <w:t xml:space="preserve">The Gambia v. Myanmar (2020, 2022)</w:t>
      </w:r>
      <w:r>
        <w:rPr>
          <w:sz w:val="22"/>
          <w:szCs w:val="22"/>
          <w:rFonts w:ascii="Arial" w:cs="Arial" w:eastAsia="Arial" w:hAnsi="Arial"/>
        </w:rPr>
        <w:t xml:space="preserve"> — the Rohingya genocide case, brought by a non-injured State (erga omnes partes), with provisional measures; Armenia v. Azerbaijan and Azerbaijan v. Armenia (2021-, CERD); </w:t>
      </w:r>
      <w:r>
        <w:rPr>
          <w:b/>
          <w:bCs/>
          <w:sz w:val="22"/>
          <w:szCs w:val="22"/>
          <w:rFonts w:ascii="Arial" w:cs="Arial" w:eastAsia="Arial" w:hAnsi="Arial"/>
        </w:rPr>
        <w:t xml:space="preserve">South Africa v. Israel (2024)</w:t>
      </w:r>
      <w:r>
        <w:rPr>
          <w:sz w:val="22"/>
          <w:szCs w:val="22"/>
          <w:rFonts w:ascii="Arial" w:cs="Arial" w:eastAsia="Arial" w:hAnsi="Arial"/>
        </w:rPr>
        <w:t xml:space="preserve"> — provisional measures on Gaza under the Genocide Convention (Israel to prevent genocidal acts, ensure humanitarian aid, preserve evidence; three further orders); Nicaragua v. Germany (2024 — arms transfers; no measures); Canada and the Netherlands v. Syria (2023 — torture; provisional measures). </w:t>
      </w:r>
      <w:r>
        <w:rPr>
          <w:b/>
          <w:bCs/>
          <w:sz w:val="22"/>
          <w:szCs w:val="22"/>
          <w:rFonts w:ascii="Arial" w:cs="Arial" w:eastAsia="Arial" w:hAnsi="Arial"/>
        </w:rPr>
        <w:t xml:space="preserve">The limits</w:t>
      </w:r>
      <w:r>
        <w:rPr>
          <w:sz w:val="22"/>
          <w:szCs w:val="22"/>
          <w:rFonts w:ascii="Arial" w:cs="Arial" w:eastAsia="Arial" w:hAnsi="Arial"/>
        </w:rPr>
        <w:t xml:space="preserve">: only States have standing (the individual has no direct access — the diplomatic-protection filter); consent-based jurisdiction (the reservations, the Monetary Gold rule); the political control of enforcement (Art 94(2) and the veto — Nicaragua's judgment was never enforced against the United States; Russia ignores the 2022 order); the 'effective review' remedy short of release (Jadhav; Avena — Mexico's nationals were executed regardless, Medellín v. Texas, 2008); the slow pace; and the Court's unwillingness to find responsibility for genocide on circumstantial evidence (the 'fully conclusive' standard of Bosnia). Its strengths: authoritative declarations (Namibia, the Wall, Chagos) that shape the political process; the provisional-measures practice since 2020 (Myanmar, Ukraine, Gaza) that has made the Court a forum of first resort for atrocity situations; and the recognition of erga omnes partes standing that lets any party to the Genocide, Torture and Racial Discrimination Conventions sue.</w:t>
      </w:r>
    </w:p>
    <w:p>
      <w:pPr>
        <w:spacing w:before="240" w:after="120"/>
      </w:pPr>
      <w:r>
        <w:rPr>
          <w:b/>
          <w:bCs/>
          <w:color w:val="404040"/>
          <w:sz w:val="23"/>
          <w:szCs w:val="23"/>
          <w:rFonts w:ascii="Arial" w:cs="Arial" w:eastAsia="Arial" w:hAnsi="Arial"/>
        </w:rPr>
        <w:t xml:space="preserve">The ad hoc tribunals and the hybrid courts</w:t>
      </w:r>
    </w:p>
    <w:p>
      <w:pPr>
        <w:spacing w:after="120" w:line="300"/>
        <w:jc w:val="both"/>
      </w:pPr>
      <w:r>
        <w:rPr>
          <w:sz w:val="22"/>
          <w:szCs w:val="22"/>
          <w:rFonts w:ascii="Arial" w:cs="Arial" w:eastAsia="Arial" w:hAnsi="Arial"/>
        </w:rPr>
        <w:t xml:space="preserve">The Security Council, acting under Chapter VII, created the </w:t>
      </w:r>
      <w:r>
        <w:rPr>
          <w:b/>
          <w:bCs/>
          <w:sz w:val="22"/>
          <w:szCs w:val="22"/>
          <w:rFonts w:ascii="Arial" w:cs="Arial" w:eastAsia="Arial" w:hAnsi="Arial"/>
        </w:rPr>
        <w:t xml:space="preserve">International Criminal Tribunal for the former Yugoslavia</w:t>
      </w:r>
      <w:r>
        <w:rPr>
          <w:sz w:val="22"/>
          <w:szCs w:val="22"/>
          <w:rFonts w:ascii="Arial" w:cs="Arial" w:eastAsia="Arial" w:hAnsi="Arial"/>
        </w:rPr>
        <w:t xml:space="preserve"> (Resolution 827, 1993; The Hague; 161 indicted, 90 convicted — Tadić, Krstić (Srebrenica genocide), Kunarac, Milošević (died 2006), Karadžić (life, 2016-19), Mladić (life, 2017-21); closed 2017) and the </w:t>
      </w:r>
      <w:r>
        <w:rPr>
          <w:b/>
          <w:bCs/>
          <w:sz w:val="22"/>
          <w:szCs w:val="22"/>
          <w:rFonts w:ascii="Arial" w:cs="Arial" w:eastAsia="Arial" w:hAnsi="Arial"/>
        </w:rPr>
        <w:t xml:space="preserve">International Criminal Tribunal for Rwanda</w:t>
      </w:r>
      <w:r>
        <w:rPr>
          <w:sz w:val="22"/>
          <w:szCs w:val="22"/>
          <w:rFonts w:ascii="Arial" w:cs="Arial" w:eastAsia="Arial" w:hAnsi="Arial"/>
        </w:rPr>
        <w:t xml:space="preserve"> (Resolution 955, 1994; Arusha; 93 indicted, 62 convicted — Akayesu, Kambanda (the first head of government to plead guilty to genocide), the Media case (Nahimana — the Radio Mille Collines incitement); closed 2015), with the </w:t>
      </w:r>
      <w:r>
        <w:rPr>
          <w:b/>
          <w:bCs/>
          <w:sz w:val="22"/>
          <w:szCs w:val="22"/>
          <w:rFonts w:ascii="Arial" w:cs="Arial" w:eastAsia="Arial" w:hAnsi="Arial"/>
        </w:rPr>
        <w:t xml:space="preserve">International Residual Mechanism (2010)</w:t>
      </w:r>
      <w:r>
        <w:rPr>
          <w:sz w:val="22"/>
          <w:szCs w:val="22"/>
          <w:rFonts w:ascii="Arial" w:cs="Arial" w:eastAsia="Arial" w:hAnsi="Arial"/>
        </w:rPr>
        <w:t xml:space="preserve"> continuing their functions; the Tadić appeal (1995) upheld the Council's power to create them. Their contributions: the definitions of genocide, crimes against humanity and war crimes; rape as genocide and torture; joint criminal enterprise and command responsibility (Čelebići); the application of IHL to NIACs; the rules of procedure and evidence that the ICC inherited; the precedent for prosecuting sitting and former heads of State. The </w:t>
      </w:r>
      <w:r>
        <w:rPr>
          <w:b/>
          <w:bCs/>
          <w:sz w:val="22"/>
          <w:szCs w:val="22"/>
          <w:rFonts w:ascii="Arial" w:cs="Arial" w:eastAsia="Arial" w:hAnsi="Arial"/>
        </w:rPr>
        <w:t xml:space="preserve">hybrid (internationalised) courts</w:t>
      </w:r>
      <w:r>
        <w:rPr>
          <w:sz w:val="22"/>
          <w:szCs w:val="22"/>
          <w:rFonts w:ascii="Arial" w:cs="Arial" w:eastAsia="Arial" w:hAnsi="Arial"/>
        </w:rPr>
        <w:t xml:space="preserve"> — the </w:t>
      </w:r>
      <w:r>
        <w:rPr>
          <w:b/>
          <w:bCs/>
          <w:sz w:val="22"/>
          <w:szCs w:val="22"/>
          <w:rFonts w:ascii="Arial" w:cs="Arial" w:eastAsia="Arial" w:hAnsi="Arial"/>
        </w:rPr>
        <w:t xml:space="preserve">Special Court for Sierra Leone</w:t>
      </w:r>
      <w:r>
        <w:rPr>
          <w:sz w:val="22"/>
          <w:szCs w:val="22"/>
          <w:rFonts w:ascii="Arial" w:cs="Arial" w:eastAsia="Arial" w:hAnsi="Arial"/>
        </w:rPr>
        <w:t xml:space="preserve"> (2002; Charles Taylor convicted 2012 — the first head of State convicted since Nuremberg; child soldiers; forced marriage), the </w:t>
      </w:r>
      <w:r>
        <w:rPr>
          <w:b/>
          <w:bCs/>
          <w:sz w:val="22"/>
          <w:szCs w:val="22"/>
          <w:rFonts w:ascii="Arial" w:cs="Arial" w:eastAsia="Arial" w:hAnsi="Arial"/>
        </w:rPr>
        <w:t xml:space="preserve">Extraordinary Chambers in the Courts of Cambodia</w:t>
      </w:r>
      <w:r>
        <w:rPr>
          <w:sz w:val="22"/>
          <w:szCs w:val="22"/>
          <w:rFonts w:ascii="Arial" w:cs="Arial" w:eastAsia="Arial" w:hAnsi="Arial"/>
        </w:rPr>
        <w:t xml:space="preserve"> (2006; the Khmer Rouge — Duch, Nuon Chea, Khieu Samphan), the </w:t>
      </w:r>
      <w:r>
        <w:rPr>
          <w:b/>
          <w:bCs/>
          <w:sz w:val="22"/>
          <w:szCs w:val="22"/>
          <w:rFonts w:ascii="Arial" w:cs="Arial" w:eastAsia="Arial" w:hAnsi="Arial"/>
        </w:rPr>
        <w:t xml:space="preserve">Special Tribunal for Lebanon</w:t>
      </w:r>
      <w:r>
        <w:rPr>
          <w:sz w:val="22"/>
          <w:szCs w:val="22"/>
          <w:rFonts w:ascii="Arial" w:cs="Arial" w:eastAsia="Arial" w:hAnsi="Arial"/>
        </w:rPr>
        <w:t xml:space="preserve"> (2009; the Hariri assassination), the East Timor Special Panels, the Kosovo Specialist Chambers (2016 — Thaçi), the Bosnian War Crimes Chamber, the Central African Republic's Special Criminal Court, and </w:t>
      </w:r>
      <w:r>
        <w:rPr>
          <w:b/>
          <w:bCs/>
          <w:sz w:val="22"/>
          <w:szCs w:val="22"/>
          <w:rFonts w:ascii="Arial" w:cs="Arial" w:eastAsia="Arial" w:hAnsi="Arial"/>
        </w:rPr>
        <w:t xml:space="preserve">Bangladesh's International Crimes Tribunal (2010)</w:t>
      </w:r>
      <w:r>
        <w:rPr>
          <w:sz w:val="22"/>
          <w:szCs w:val="22"/>
          <w:rFonts w:ascii="Arial" w:cs="Arial" w:eastAsia="Arial" w:hAnsi="Arial"/>
        </w:rPr>
        <w:t xml:space="preserve"> for the 1971 atrocities — a domestic court criticised for its fair-trial standards, and, from 2024, applied to the ousted Awami League leadership. The </w:t>
      </w:r>
      <w:r>
        <w:rPr>
          <w:b/>
          <w:bCs/>
          <w:sz w:val="22"/>
          <w:szCs w:val="22"/>
          <w:rFonts w:ascii="Arial" w:cs="Arial" w:eastAsia="Arial" w:hAnsi="Arial"/>
        </w:rPr>
        <w:t xml:space="preserve">UN's investigative mechanisms</w:t>
      </w:r>
      <w:r>
        <w:rPr>
          <w:sz w:val="22"/>
          <w:szCs w:val="22"/>
          <w:rFonts w:ascii="Arial" w:cs="Arial" w:eastAsia="Arial" w:hAnsi="Arial"/>
        </w:rPr>
        <w:t xml:space="preserve"> — the IIIM for Syria (2016), the IIMM for Myanmar (2018), UNITAD for ISIL crimes in Iraq (2017) — collect evidence for future prosecutions where no court has jurisdiction.</w:t>
      </w:r>
    </w:p>
    <w:p>
      <w:pPr>
        <w:spacing w:before="240" w:after="120"/>
      </w:pPr>
      <w:r>
        <w:rPr>
          <w:b/>
          <w:bCs/>
          <w:color w:val="404040"/>
          <w:sz w:val="23"/>
          <w:szCs w:val="23"/>
          <w:rFonts w:ascii="Arial" w:cs="Arial" w:eastAsia="Arial" w:hAnsi="Arial"/>
        </w:rPr>
        <w:t xml:space="preserve">The International Criminal Court</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Rome Statute</w:t>
      </w:r>
      <w:r>
        <w:rPr>
          <w:sz w:val="22"/>
          <w:szCs w:val="22"/>
          <w:rFonts w:ascii="Arial" w:cs="Arial" w:eastAsia="Arial" w:hAnsi="Arial"/>
        </w:rPr>
        <w:t xml:space="preserve"> was adopted on 17 July 1998 (120 for, 7 against — the United States, China, Israel, Iraq, Libya, Qatar, Yemen — 21 abstentions including India) and entered into force on 1 July 2002; 125 parties (2025 — Burundi (2017), the Philippines (2019) and Hungary (2025) withdrew; Ukraine joined 2025; the United States, China, Russia (which withdrew its signature in 2016), India, Pakistan, Israel, Turkey, Iran and most Arab States are outside). The Court sits at The Hague with eighteen judges (Pre-Trial, Trial and Appeals Divisions), the Prosecutor (Luis Moreno Ocampo 2003-12, Fatou Bensouda 2012-21, Karim Khan 2021-), the Registry, the Assembly of States Parties, and the Trust Fund for Victims. </w:t>
      </w:r>
      <w:r>
        <w:rPr>
          <w:b/>
          <w:bCs/>
          <w:sz w:val="22"/>
          <w:szCs w:val="22"/>
          <w:rFonts w:ascii="Arial" w:cs="Arial" w:eastAsia="Arial" w:hAnsi="Arial"/>
        </w:rPr>
        <w:t xml:space="preserve">The crimes (Art 5)</w:t>
      </w:r>
      <w:r>
        <w:rPr>
          <w:sz w:val="22"/>
          <w:szCs w:val="22"/>
          <w:rFonts w:ascii="Arial" w:cs="Arial" w:eastAsia="Arial" w:hAnsi="Arial"/>
        </w:rPr>
        <w:t xml:space="preserve">: </w:t>
      </w:r>
      <w:r>
        <w:rPr>
          <w:b/>
          <w:bCs/>
          <w:sz w:val="22"/>
          <w:szCs w:val="22"/>
          <w:rFonts w:ascii="Arial" w:cs="Arial" w:eastAsia="Arial" w:hAnsi="Arial"/>
        </w:rPr>
        <w:t xml:space="preserve">genocide (Art 6)</w:t>
      </w:r>
      <w:r>
        <w:rPr>
          <w:sz w:val="22"/>
          <w:szCs w:val="22"/>
          <w:rFonts w:ascii="Arial" w:cs="Arial" w:eastAsia="Arial" w:hAnsi="Arial"/>
        </w:rPr>
        <w:t xml:space="preserve"> — the 1948 Convention's definition (acts committed with intent to destroy, in whole or in part, a national, ethnical, racial or religious group, as such — killing, serious bodily or mental harm, conditions of life calculated to destroy, preventing births, transferring children); </w:t>
      </w:r>
      <w:r>
        <w:rPr>
          <w:b/>
          <w:bCs/>
          <w:sz w:val="22"/>
          <w:szCs w:val="22"/>
          <w:rFonts w:ascii="Arial" w:cs="Arial" w:eastAsia="Arial" w:hAnsi="Arial"/>
        </w:rPr>
        <w:t xml:space="preserve">crimes against humanity (Art 7)</w:t>
      </w:r>
      <w:r>
        <w:rPr>
          <w:sz w:val="22"/>
          <w:szCs w:val="22"/>
          <w:rFonts w:ascii="Arial" w:cs="Arial" w:eastAsia="Arial" w:hAnsi="Arial"/>
        </w:rPr>
        <w:t xml:space="preserve"> — murder, extermination, enslavement, deportation or forcible transfer, imprisonment, torture, rape and the sexual crimes, persecution on political, racial, national, ethnic, cultural, religious, gender or other grounds, enforced disappearance, apartheid, other inhumane acts — when committed as part of a widespread or systematic attack directed against any civilian population, with knowledge of the attack (no nexus with armed conflict required); </w:t>
      </w:r>
      <w:r>
        <w:rPr>
          <w:b/>
          <w:bCs/>
          <w:sz w:val="22"/>
          <w:szCs w:val="22"/>
          <w:rFonts w:ascii="Arial" w:cs="Arial" w:eastAsia="Arial" w:hAnsi="Arial"/>
        </w:rPr>
        <w:t xml:space="preserve">war crimes (Art 8)</w:t>
      </w:r>
      <w:r>
        <w:rPr>
          <w:sz w:val="22"/>
          <w:szCs w:val="22"/>
          <w:rFonts w:ascii="Arial" w:cs="Arial" w:eastAsia="Arial" w:hAnsi="Arial"/>
        </w:rPr>
        <w:t xml:space="preserve"> — grave breaches of the Geneva Conventions (8(2)(a)), other serious violations of the laws and customs of IAC (8(2)(b) — 26 acts including attacks on civilians and civilian objects, disproportionate attacks, attacks on undefended places, killing the hors de combat, perfidy, the transfer of population into occupied territory, attacks on cultural property, pillage, poison and gas, expanding bullets, outrages on dignity, rape and sexual violence, using human shields, starvation, conscripting children under fifteen), serious violations of common Art 3 (8(2)(c)) and other serious violations of the laws of NIAC (8(2)(e)); the 2010 Kampala amendments added weapons crimes in NIAC and </w:t>
      </w:r>
      <w:r>
        <w:rPr>
          <w:b/>
          <w:bCs/>
          <w:sz w:val="22"/>
          <w:szCs w:val="22"/>
          <w:rFonts w:ascii="Arial" w:cs="Arial" w:eastAsia="Arial" w:hAnsi="Arial"/>
        </w:rPr>
        <w:t xml:space="preserve">the crime of aggression (Art 8 bis)</w:t>
      </w:r>
      <w:r>
        <w:rPr>
          <w:sz w:val="22"/>
          <w:szCs w:val="22"/>
          <w:rFonts w:ascii="Arial" w:cs="Arial" w:eastAsia="Arial" w:hAnsi="Arial"/>
        </w:rPr>
        <w:t xml:space="preserve"> — the planning, preparation, initiation or execution, by a person in a position to control the political or military action of a State, of an act of aggression which by its character, gravity and scale constitutes a manifest violation of the Charter — activated in 2018 but with jurisdiction only over parties that have accepted the amendment (Art 15 bis; hence the proposals for a special tribunal for aggression against Ukraine). </w:t>
      </w:r>
      <w:r>
        <w:rPr>
          <w:b/>
          <w:bCs/>
          <w:sz w:val="22"/>
          <w:szCs w:val="22"/>
          <w:rFonts w:ascii="Arial" w:cs="Arial" w:eastAsia="Arial" w:hAnsi="Arial"/>
        </w:rPr>
        <w:t xml:space="preserve">Jurisdiction</w:t>
      </w:r>
      <w:r>
        <w:rPr>
          <w:sz w:val="22"/>
          <w:szCs w:val="22"/>
          <w:rFonts w:ascii="Arial" w:cs="Arial" w:eastAsia="Arial" w:hAnsi="Arial"/>
        </w:rPr>
        <w:t xml:space="preserve">: </w:t>
      </w:r>
      <w:r>
        <w:rPr>
          <w:b/>
          <w:bCs/>
          <w:sz w:val="22"/>
          <w:szCs w:val="22"/>
          <w:rFonts w:ascii="Arial" w:cs="Arial" w:eastAsia="Arial" w:hAnsi="Arial"/>
        </w:rPr>
        <w:t xml:space="preserve">Art 11</w:t>
      </w:r>
      <w:r>
        <w:rPr>
          <w:sz w:val="22"/>
          <w:szCs w:val="22"/>
          <w:rFonts w:ascii="Arial" w:cs="Arial" w:eastAsia="Arial" w:hAnsi="Arial"/>
        </w:rPr>
        <w:t xml:space="preserve"> — crimes after 1 July 2002 (temporal); </w:t>
      </w:r>
      <w:r>
        <w:rPr>
          <w:b/>
          <w:bCs/>
          <w:sz w:val="22"/>
          <w:szCs w:val="22"/>
          <w:rFonts w:ascii="Arial" w:cs="Arial" w:eastAsia="Arial" w:hAnsi="Arial"/>
        </w:rPr>
        <w:t xml:space="preserve">Art 12</w:t>
      </w:r>
      <w:r>
        <w:rPr>
          <w:sz w:val="22"/>
          <w:szCs w:val="22"/>
          <w:rFonts w:ascii="Arial" w:cs="Arial" w:eastAsia="Arial" w:hAnsi="Arial"/>
        </w:rPr>
        <w:t xml:space="preserve"> — preconditions: the State on whose territory the crime occurred or the State of the accused's nationality is a party or has accepted jurisdiction ad hoc (Art 12(3) — Palestine 2015, Ukraine 2014-15); </w:t>
      </w:r>
      <w:r>
        <w:rPr>
          <w:b/>
          <w:bCs/>
          <w:sz w:val="22"/>
          <w:szCs w:val="22"/>
          <w:rFonts w:ascii="Arial" w:cs="Arial" w:eastAsia="Arial" w:hAnsi="Arial"/>
        </w:rPr>
        <w:t xml:space="preserve">Art 13 — the triggers</w:t>
      </w:r>
      <w:r>
        <w:rPr>
          <w:sz w:val="22"/>
          <w:szCs w:val="22"/>
          <w:rFonts w:ascii="Arial" w:cs="Arial" w:eastAsia="Arial" w:hAnsi="Arial"/>
        </w:rPr>
        <w:t xml:space="preserve">: referral by a State party (Uganda, DRC, CAR, Mali — the 'self-referrals'; the 2018 referral of Venezuela by six States; Ukraine by 43 States in 2022; Palestine by South Africa and others in 2023-24), referral by the </w:t>
      </w:r>
      <w:r>
        <w:rPr>
          <w:b/>
          <w:bCs/>
          <w:sz w:val="22"/>
          <w:szCs w:val="22"/>
          <w:rFonts w:ascii="Arial" w:cs="Arial" w:eastAsia="Arial" w:hAnsi="Arial"/>
        </w:rPr>
        <w:t xml:space="preserve">Security Council under Chapter VII</w:t>
      </w:r>
      <w:r>
        <w:rPr>
          <w:sz w:val="22"/>
          <w:szCs w:val="22"/>
          <w:rFonts w:ascii="Arial" w:cs="Arial" w:eastAsia="Arial" w:hAnsi="Arial"/>
        </w:rPr>
        <w:t xml:space="preserve"> regardless of the State's status (Darfur 2005 — Resolution 1593; Libya 2011 — Resolution 1970; the Syria referral vetoed in 2014), and the </w:t>
      </w:r>
      <w:r>
        <w:rPr>
          <w:b/>
          <w:bCs/>
          <w:sz w:val="22"/>
          <w:szCs w:val="22"/>
          <w:rFonts w:ascii="Arial" w:cs="Arial" w:eastAsia="Arial" w:hAnsi="Arial"/>
        </w:rPr>
        <w:t xml:space="preserve">Prosecutor's own initiative (proprio motu — Art 15)</w:t>
      </w:r>
      <w:r>
        <w:rPr>
          <w:sz w:val="22"/>
          <w:szCs w:val="22"/>
          <w:rFonts w:ascii="Arial" w:cs="Arial" w:eastAsia="Arial" w:hAnsi="Arial"/>
        </w:rPr>
        <w:t xml:space="preserve"> with Pre-Trial Chamber authorisation (Kenya 2010, Côte d'Ivoire 2011, Georgia 2016, Burundi 2017, Afghanistan 2020, Bangladesh/Myanmar 2019 — the Rohingya deportation into a State party, the Philippines 2021); </w:t>
      </w:r>
      <w:r>
        <w:rPr>
          <w:b/>
          <w:bCs/>
          <w:sz w:val="22"/>
          <w:szCs w:val="22"/>
          <w:rFonts w:ascii="Arial" w:cs="Arial" w:eastAsia="Arial" w:hAnsi="Arial"/>
        </w:rPr>
        <w:t xml:space="preserve">Art 16</w:t>
      </w:r>
      <w:r>
        <w:rPr>
          <w:sz w:val="22"/>
          <w:szCs w:val="22"/>
          <w:rFonts w:ascii="Arial" w:cs="Arial" w:eastAsia="Arial" w:hAnsi="Arial"/>
        </w:rPr>
        <w:t xml:space="preserve"> — deferral by the Council for twelve months (the US-sought Resolutions 1422 and 1487 of 2002-03); </w:t>
      </w:r>
      <w:r>
        <w:rPr>
          <w:b/>
          <w:bCs/>
          <w:sz w:val="22"/>
          <w:szCs w:val="22"/>
          <w:rFonts w:ascii="Arial" w:cs="Arial" w:eastAsia="Arial" w:hAnsi="Arial"/>
        </w:rPr>
        <w:t xml:space="preserve">Art 17 — complementarity</w:t>
      </w:r>
      <w:r>
        <w:rPr>
          <w:sz w:val="22"/>
          <w:szCs w:val="22"/>
          <w:rFonts w:ascii="Arial" w:cs="Arial" w:eastAsia="Arial" w:hAnsi="Arial"/>
        </w:rPr>
        <w:t xml:space="preserve">: the Court is a court of last resort — a case is inadmissible where it is being investigated or prosecuted by a State with jurisdiction unless the State is </w:t>
      </w:r>
      <w:r>
        <w:rPr>
          <w:b/>
          <w:bCs/>
          <w:sz w:val="22"/>
          <w:szCs w:val="22"/>
          <w:rFonts w:ascii="Arial" w:cs="Arial" w:eastAsia="Arial" w:hAnsi="Arial"/>
        </w:rPr>
        <w:t xml:space="preserve">unwilling or unable genuinely</w:t>
      </w:r>
      <w:r>
        <w:rPr>
          <w:sz w:val="22"/>
          <w:szCs w:val="22"/>
          <w:rFonts w:ascii="Arial" w:cs="Arial" w:eastAsia="Arial" w:hAnsi="Arial"/>
        </w:rPr>
        <w:t xml:space="preserve"> to carry out the investigation or prosecution (the shielding of the person, unjustified delay, lack of independence; a total or substantial collapse of the national system); and where the case is not of sufficient gravity; </w:t>
      </w:r>
      <w:r>
        <w:rPr>
          <w:b/>
          <w:bCs/>
          <w:sz w:val="22"/>
          <w:szCs w:val="22"/>
          <w:rFonts w:ascii="Arial" w:cs="Arial" w:eastAsia="Arial" w:hAnsi="Arial"/>
        </w:rPr>
        <w:t xml:space="preserve">Art 25</w:t>
      </w:r>
      <w:r>
        <w:rPr>
          <w:sz w:val="22"/>
          <w:szCs w:val="22"/>
          <w:rFonts w:ascii="Arial" w:cs="Arial" w:eastAsia="Arial" w:hAnsi="Arial"/>
        </w:rPr>
        <w:t xml:space="preserve"> — individual criminal responsibility (commission, ordering, aiding, contributing to a group crime, incitement to genocide, attempt); </w:t>
      </w:r>
      <w:r>
        <w:rPr>
          <w:b/>
          <w:bCs/>
          <w:sz w:val="22"/>
          <w:szCs w:val="22"/>
          <w:rFonts w:ascii="Arial" w:cs="Arial" w:eastAsia="Arial" w:hAnsi="Arial"/>
        </w:rPr>
        <w:t xml:space="preserve">Art 27</w:t>
      </w:r>
      <w:r>
        <w:rPr>
          <w:sz w:val="22"/>
          <w:szCs w:val="22"/>
          <w:rFonts w:ascii="Arial" w:cs="Arial" w:eastAsia="Arial" w:hAnsi="Arial"/>
        </w:rPr>
        <w:t xml:space="preserve"> — official capacity is irrelevant: heads of State and Government, members of Governments and Parliaments enjoy no immunity before the Court; </w:t>
      </w:r>
      <w:r>
        <w:rPr>
          <w:b/>
          <w:bCs/>
          <w:sz w:val="22"/>
          <w:szCs w:val="22"/>
          <w:rFonts w:ascii="Arial" w:cs="Arial" w:eastAsia="Arial" w:hAnsi="Arial"/>
        </w:rPr>
        <w:t xml:space="preserve">Art 28</w:t>
      </w:r>
      <w:r>
        <w:rPr>
          <w:sz w:val="22"/>
          <w:szCs w:val="22"/>
          <w:rFonts w:ascii="Arial" w:cs="Arial" w:eastAsia="Arial" w:hAnsi="Arial"/>
        </w:rPr>
        <w:t xml:space="preserve"> — command and superior responsibility; </w:t>
      </w:r>
      <w:r>
        <w:rPr>
          <w:b/>
          <w:bCs/>
          <w:sz w:val="22"/>
          <w:szCs w:val="22"/>
          <w:rFonts w:ascii="Arial" w:cs="Arial" w:eastAsia="Arial" w:hAnsi="Arial"/>
        </w:rPr>
        <w:t xml:space="preserve">Art 33</w:t>
      </w:r>
      <w:r>
        <w:rPr>
          <w:sz w:val="22"/>
          <w:szCs w:val="22"/>
          <w:rFonts w:ascii="Arial" w:cs="Arial" w:eastAsia="Arial" w:hAnsi="Arial"/>
        </w:rPr>
        <w:t xml:space="preserve"> — superior orders no defence unless the order was not manifestly unlawful (orders to commit genocide or crimes against humanity are manifestly unlawful); </w:t>
      </w:r>
      <w:r>
        <w:rPr>
          <w:b/>
          <w:bCs/>
          <w:sz w:val="22"/>
          <w:szCs w:val="22"/>
          <w:rFonts w:ascii="Arial" w:cs="Arial" w:eastAsia="Arial" w:hAnsi="Arial"/>
        </w:rPr>
        <w:t xml:space="preserve">Art 98</w:t>
      </w:r>
      <w:r>
        <w:rPr>
          <w:sz w:val="22"/>
          <w:szCs w:val="22"/>
          <w:rFonts w:ascii="Arial" w:cs="Arial" w:eastAsia="Arial" w:hAnsi="Arial"/>
        </w:rPr>
        <w:t xml:space="preserve"> — the Court may not request surrender that would require a State to act inconsistently with its obligations of immunity to a third State (the Al Bashir controversy — the Appeals Chamber in 2019 held that there is no head-of-State immunity before an international court under customary law, so Jordan and South Africa had a duty to arrest; the Mongolia non-compliance finding of 2024 over Putin); </w:t>
      </w:r>
      <w:r>
        <w:rPr>
          <w:b/>
          <w:bCs/>
          <w:sz w:val="22"/>
          <w:szCs w:val="22"/>
          <w:rFonts w:ascii="Arial" w:cs="Arial" w:eastAsia="Arial" w:hAnsi="Arial"/>
        </w:rPr>
        <w:t xml:space="preserve">Part 6-8</w:t>
      </w:r>
      <w:r>
        <w:rPr>
          <w:sz w:val="22"/>
          <w:szCs w:val="22"/>
          <w:rFonts w:ascii="Arial" w:cs="Arial" w:eastAsia="Arial" w:hAnsi="Arial"/>
        </w:rPr>
        <w:t xml:space="preserve"> — trial (the rights of the accused — Art 67; victims' participation and reparations — Arts 68, 75; the Trust Fund), penalties (up to thirty years or life; no death penalty — Art 77), appeal; </w:t>
      </w:r>
      <w:r>
        <w:rPr>
          <w:b/>
          <w:bCs/>
          <w:sz w:val="22"/>
          <w:szCs w:val="22"/>
          <w:rFonts w:ascii="Arial" w:cs="Arial" w:eastAsia="Arial" w:hAnsi="Arial"/>
        </w:rPr>
        <w:t xml:space="preserve">Part 9</w:t>
      </w:r>
      <w:r>
        <w:rPr>
          <w:sz w:val="22"/>
          <w:szCs w:val="22"/>
          <w:rFonts w:ascii="Arial" w:cs="Arial" w:eastAsia="Arial" w:hAnsi="Arial"/>
        </w:rPr>
        <w:t xml:space="preserve"> — cooperation and surrender (the parties' duty; the Court has no police); </w:t>
      </w:r>
      <w:r>
        <w:rPr>
          <w:b/>
          <w:bCs/>
          <w:sz w:val="22"/>
          <w:szCs w:val="22"/>
          <w:rFonts w:ascii="Arial" w:cs="Arial" w:eastAsia="Arial" w:hAnsi="Arial"/>
        </w:rPr>
        <w:t xml:space="preserve">Art 124</w:t>
      </w:r>
      <w:r>
        <w:rPr>
          <w:sz w:val="22"/>
          <w:szCs w:val="22"/>
          <w:rFonts w:ascii="Arial" w:cs="Arial" w:eastAsia="Arial" w:hAnsi="Arial"/>
        </w:rPr>
        <w:t xml:space="preserve"> (the seven-year war-crimes opt-out, deleted 2015); </w:t>
      </w:r>
      <w:r>
        <w:rPr>
          <w:b/>
          <w:bCs/>
          <w:sz w:val="22"/>
          <w:szCs w:val="22"/>
          <w:rFonts w:ascii="Arial" w:cs="Arial" w:eastAsia="Arial" w:hAnsi="Arial"/>
        </w:rPr>
        <w:t xml:space="preserve">Art 127</w:t>
      </w:r>
      <w:r>
        <w:rPr>
          <w:sz w:val="22"/>
          <w:szCs w:val="22"/>
          <w:rFonts w:ascii="Arial" w:cs="Arial" w:eastAsia="Arial" w:hAnsi="Arial"/>
        </w:rPr>
        <w:t xml:space="preserve"> — withdrawal. </w:t>
      </w:r>
      <w:r>
        <w:rPr>
          <w:b/>
          <w:bCs/>
          <w:sz w:val="22"/>
          <w:szCs w:val="22"/>
          <w:rFonts w:ascii="Arial" w:cs="Arial" w:eastAsia="Arial" w:hAnsi="Arial"/>
        </w:rPr>
        <w:t xml:space="preserve">The cases</w:t>
      </w:r>
      <w:r>
        <w:rPr>
          <w:sz w:val="22"/>
          <w:szCs w:val="22"/>
          <w:rFonts w:ascii="Arial" w:cs="Arial" w:eastAsia="Arial" w:hAnsi="Arial"/>
        </w:rPr>
        <w:t xml:space="preserve">: </w:t>
      </w:r>
      <w:r>
        <w:rPr>
          <w:b/>
          <w:bCs/>
          <w:sz w:val="22"/>
          <w:szCs w:val="22"/>
          <w:rFonts w:ascii="Arial" w:cs="Arial" w:eastAsia="Arial" w:hAnsi="Arial"/>
        </w:rPr>
        <w:t xml:space="preserve">Lubanga (2012)</w:t>
      </w:r>
      <w:r>
        <w:rPr>
          <w:sz w:val="22"/>
          <w:szCs w:val="22"/>
          <w:rFonts w:ascii="Arial" w:cs="Arial" w:eastAsia="Arial" w:hAnsi="Arial"/>
        </w:rPr>
        <w:t xml:space="preserve"> — the first conviction: conscripting and using child soldiers in the DRC, fourteen years; Katanga (2014); </w:t>
      </w:r>
      <w:r>
        <w:rPr>
          <w:b/>
          <w:bCs/>
          <w:sz w:val="22"/>
          <w:szCs w:val="22"/>
          <w:rFonts w:ascii="Arial" w:cs="Arial" w:eastAsia="Arial" w:hAnsi="Arial"/>
        </w:rPr>
        <w:t xml:space="preserve">Bemba (2016 — the first conviction for sexual violence and for command responsibility; acquitted on appeal 2018)</w:t>
      </w:r>
      <w:r>
        <w:rPr>
          <w:sz w:val="22"/>
          <w:szCs w:val="22"/>
          <w:rFonts w:ascii="Arial" w:cs="Arial" w:eastAsia="Arial" w:hAnsi="Arial"/>
        </w:rPr>
        <w:t xml:space="preserve">; </w:t>
      </w:r>
      <w:r>
        <w:rPr>
          <w:b/>
          <w:bCs/>
          <w:sz w:val="22"/>
          <w:szCs w:val="22"/>
          <w:rFonts w:ascii="Arial" w:cs="Arial" w:eastAsia="Arial" w:hAnsi="Arial"/>
        </w:rPr>
        <w:t xml:space="preserve">Al Mahdi (2016)</w:t>
      </w:r>
      <w:r>
        <w:rPr>
          <w:sz w:val="22"/>
          <w:szCs w:val="22"/>
          <w:rFonts w:ascii="Arial" w:cs="Arial" w:eastAsia="Arial" w:hAnsi="Arial"/>
        </w:rPr>
        <w:t xml:space="preserve"> — the destruction of Timbuktu's mausoleums as a war crime; </w:t>
      </w:r>
      <w:r>
        <w:rPr>
          <w:b/>
          <w:bCs/>
          <w:sz w:val="22"/>
          <w:szCs w:val="22"/>
          <w:rFonts w:ascii="Arial" w:cs="Arial" w:eastAsia="Arial" w:hAnsi="Arial"/>
        </w:rPr>
        <w:t xml:space="preserve">Ntaganda (2019)</w:t>
      </w:r>
      <w:r>
        <w:rPr>
          <w:sz w:val="22"/>
          <w:szCs w:val="22"/>
          <w:rFonts w:ascii="Arial" w:cs="Arial" w:eastAsia="Arial" w:hAnsi="Arial"/>
        </w:rPr>
        <w:t xml:space="preserve"> — thirty years, including sexual crimes against his own child soldiers; </w:t>
      </w:r>
      <w:r>
        <w:rPr>
          <w:b/>
          <w:bCs/>
          <w:sz w:val="22"/>
          <w:szCs w:val="22"/>
          <w:rFonts w:ascii="Arial" w:cs="Arial" w:eastAsia="Arial" w:hAnsi="Arial"/>
        </w:rPr>
        <w:t xml:space="preserve">Ongwen (2021)</w:t>
      </w:r>
      <w:r>
        <w:rPr>
          <w:sz w:val="22"/>
          <w:szCs w:val="22"/>
          <w:rFonts w:ascii="Arial" w:cs="Arial" w:eastAsia="Arial" w:hAnsi="Arial"/>
        </w:rPr>
        <w:t xml:space="preserve"> — 25 years, the former child soldier turned commander, forced marriage as an inhumane act; </w:t>
      </w:r>
      <w:r>
        <w:rPr>
          <w:b/>
          <w:bCs/>
          <w:sz w:val="22"/>
          <w:szCs w:val="22"/>
          <w:rFonts w:ascii="Arial" w:cs="Arial" w:eastAsia="Arial" w:hAnsi="Arial"/>
        </w:rPr>
        <w:t xml:space="preserve">Al Hassan (2024)</w:t>
      </w:r>
      <w:r>
        <w:rPr>
          <w:sz w:val="22"/>
          <w:szCs w:val="22"/>
          <w:rFonts w:ascii="Arial" w:cs="Arial" w:eastAsia="Arial" w:hAnsi="Arial"/>
        </w:rPr>
        <w:t xml:space="preserve">; the acquittals — Gbagbo (2019), the Kenyan cases collapsed (Kenyatta 2014, Ruto 2016 — witness interference); the </w:t>
      </w:r>
      <w:r>
        <w:rPr>
          <w:b/>
          <w:bCs/>
          <w:sz w:val="22"/>
          <w:szCs w:val="22"/>
          <w:rFonts w:ascii="Arial" w:cs="Arial" w:eastAsia="Arial" w:hAnsi="Arial"/>
        </w:rPr>
        <w:t xml:space="preserve">warrants</w:t>
      </w:r>
      <w:r>
        <w:rPr>
          <w:sz w:val="22"/>
          <w:szCs w:val="22"/>
          <w:rFonts w:ascii="Arial" w:cs="Arial" w:eastAsia="Arial" w:hAnsi="Arial"/>
        </w:rPr>
        <w:t xml:space="preserve"> — Al Bashir (2009, 2010 — genocide; never surrendered; Sudan's 2020 agreement to hand him over unfulfilled), Gaddafi (2011), Saif al-Islam, </w:t>
      </w:r>
      <w:r>
        <w:rPr>
          <w:b/>
          <w:bCs/>
          <w:sz w:val="22"/>
          <w:szCs w:val="22"/>
          <w:rFonts w:ascii="Arial" w:cs="Arial" w:eastAsia="Arial" w:hAnsi="Arial"/>
        </w:rPr>
        <w:t xml:space="preserve">Putin and Lvova-Belova (17 March 2023 — the deportation of Ukrainian children)</w:t>
      </w:r>
      <w:r>
        <w:rPr>
          <w:sz w:val="22"/>
          <w:szCs w:val="22"/>
          <w:rFonts w:ascii="Arial" w:cs="Arial" w:eastAsia="Arial" w:hAnsi="Arial"/>
        </w:rPr>
        <w:t xml:space="preserve">, the Russian commanders (2024), </w:t>
      </w:r>
      <w:r>
        <w:rPr>
          <w:b/>
          <w:bCs/>
          <w:sz w:val="22"/>
          <w:szCs w:val="22"/>
          <w:rFonts w:ascii="Arial" w:cs="Arial" w:eastAsia="Arial" w:hAnsi="Arial"/>
        </w:rPr>
        <w:t xml:space="preserve">Netanyahu and Gallant (21 November 2024 — starvation as a method of warfare and crimes against humanity in Gaza; the Hamas leaders' warrants withdrawn on their deaths)</w:t>
      </w:r>
      <w:r>
        <w:rPr>
          <w:sz w:val="22"/>
          <w:szCs w:val="22"/>
          <w:rFonts w:ascii="Arial" w:cs="Arial" w:eastAsia="Arial" w:hAnsi="Arial"/>
        </w:rPr>
        <w:t xml:space="preserve">, the Taliban leaders (2025), Duterte (arrested and surrendered by the Philippines in March 2025). </w:t>
      </w:r>
      <w:r>
        <w:rPr>
          <w:b/>
          <w:bCs/>
          <w:sz w:val="22"/>
          <w:szCs w:val="22"/>
          <w:rFonts w:ascii="Arial" w:cs="Arial" w:eastAsia="Arial" w:hAnsi="Arial"/>
        </w:rPr>
        <w:t xml:space="preserve">The criticisms</w:t>
      </w:r>
      <w:r>
        <w:rPr>
          <w:sz w:val="22"/>
          <w:szCs w:val="22"/>
          <w:rFonts w:ascii="Arial" w:cs="Arial" w:eastAsia="Arial" w:hAnsi="Arial"/>
        </w:rPr>
        <w:t xml:space="preserve">: the African focus of the first decade (all first cases African — the AU's 2016 withdrawal strategy), the great powers' immunity in practice (no Council referral of Syria; the US sanctions on the Prosecutor in 2020 and 2025), the slow and expensive proceedings, the low conviction rate, the dependence on State cooperation, and the aggression amendment's narrow reach. </w:t>
      </w:r>
      <w:r>
        <w:rPr>
          <w:b/>
          <w:bCs/>
          <w:sz w:val="22"/>
          <w:szCs w:val="22"/>
          <w:rFonts w:ascii="Arial" w:cs="Arial" w:eastAsia="Arial" w:hAnsi="Arial"/>
        </w:rPr>
        <w:t xml:space="preserve">India's position</w:t>
      </w:r>
      <w:r>
        <w:rPr>
          <w:sz w:val="22"/>
          <w:szCs w:val="22"/>
          <w:rFonts w:ascii="Arial" w:cs="Arial" w:eastAsia="Arial" w:hAnsi="Arial"/>
        </w:rPr>
        <w:t xml:space="preserve">: India abstained at Rome and has not signed, objecting to (1) the Council's referral and deferral powers (Arts 13(b) and 16), which subject non-parties to the Court through the veto-holders' politics; (2) the exclusion of nuclear weapons (and terrorism) from the list of crimes despite India's proposal; (3) the definition of war crimes in NIAC as an intrusion into internal affairs (Kashmir, the North-East) and the inclusion of the transfer of population; (4) the proprio motu power of the Prosecutor; (5) the principle of complementarity as inadequate protection; (6) the treaty's application to non-parties' nationals through territorial jurisdiction; and, more generally, sovereignty and the armed forces' exposure. India has enacted no statute on crimes against humanity or genocide (it ratified the Genocide Convention in 1959 without implementing legislation — the Law Commission's 2018 consultation and the 2019 Bills lapsed), so those crimes are prosecuted, if at all, as ordinary offences — the 1984, 2002 and 2020 mass violence being the standing examples.</w:t>
      </w:r>
    </w:p>
    <w:p>
      <w:pPr>
        <w:spacing w:before="240" w:after="120"/>
      </w:pPr>
      <w:r>
        <w:rPr>
          <w:b/>
          <w:bCs/>
          <w:color w:val="404040"/>
          <w:sz w:val="23"/>
          <w:szCs w:val="23"/>
          <w:rFonts w:ascii="Arial" w:cs="Arial" w:eastAsia="Arial" w:hAnsi="Arial"/>
        </w:rPr>
        <w:t xml:space="preserve">The European courts as enforcement — recap; universal jurisdiction</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European Court of Human Rights</w:t>
      </w:r>
      <w:r>
        <w:rPr>
          <w:sz w:val="22"/>
          <w:szCs w:val="22"/>
          <w:rFonts w:ascii="Arial" w:cs="Arial" w:eastAsia="Arial" w:hAnsi="Arial"/>
        </w:rPr>
        <w:t xml:space="preserve"> (Episode 05) is the model of an enforcement court for human rights: compulsory jurisdiction over individual applications, binding judgments, supervised execution — the only system in which the individual has a direct, enforceable international remedy; its 'European Court of Justice' namesake, the </w:t>
      </w:r>
      <w:r>
        <w:rPr>
          <w:b/>
          <w:bCs/>
          <w:sz w:val="22"/>
          <w:szCs w:val="22"/>
          <w:rFonts w:ascii="Arial" w:cs="Arial" w:eastAsia="Arial" w:hAnsi="Arial"/>
        </w:rPr>
        <w:t xml:space="preserve">CJEU</w:t>
      </w:r>
      <w:r>
        <w:rPr>
          <w:sz w:val="22"/>
          <w:szCs w:val="22"/>
          <w:rFonts w:ascii="Arial" w:cs="Arial" w:eastAsia="Arial" w:hAnsi="Arial"/>
        </w:rPr>
        <w:t xml:space="preserve"> (Episode 05), enforces the EU's Charter through the preliminary-reference procedure, annulment and infringement actions, and the rule-of-law conditionality — an enforcement of human rights within a supranational legal order rather than a human-rights court as such; the syllabus's 'role of the European Court of Justice' is answered by the Kadi line (fundamental rights as limits on the EU's and the UN's measures), the data-protection cases, and the judicial-independence cases against Poland and Hungary (Commission v. Poland, 2019, 2021, 2023 — the disciplinary chamber; the €1 million daily penalty; the rule-of-law mechanism). </w:t>
      </w:r>
      <w:r>
        <w:rPr>
          <w:b/>
          <w:bCs/>
          <w:sz w:val="22"/>
          <w:szCs w:val="22"/>
          <w:rFonts w:ascii="Arial" w:cs="Arial" w:eastAsia="Arial" w:hAnsi="Arial"/>
        </w:rPr>
        <w:t xml:space="preserve">National courts and universal jurisdiction</w:t>
      </w:r>
      <w:r>
        <w:rPr>
          <w:sz w:val="22"/>
          <w:szCs w:val="22"/>
          <w:rFonts w:ascii="Arial" w:cs="Arial" w:eastAsia="Arial" w:hAnsi="Arial"/>
        </w:rPr>
        <w:t xml:space="preserve"> complete the picture: the Geneva Conventions' grave-breaches regime, the Torture Convention's Art 5(2) and 7 (prosecute or extradite — </w:t>
      </w:r>
      <w:r>
        <w:rPr>
          <w:b/>
          <w:bCs/>
          <w:sz w:val="22"/>
          <w:szCs w:val="22"/>
          <w:rFonts w:ascii="Arial" w:cs="Arial" w:eastAsia="Arial" w:hAnsi="Arial"/>
        </w:rPr>
        <w:t xml:space="preserve">Pinochet (No 3), House of Lords 1999</w:t>
      </w:r>
      <w:r>
        <w:rPr>
          <w:sz w:val="22"/>
          <w:szCs w:val="22"/>
          <w:rFonts w:ascii="Arial" w:cs="Arial" w:eastAsia="Arial" w:hAnsi="Arial"/>
        </w:rPr>
        <w:t xml:space="preserve"> — no immunity of a former head of State for torture after the Convention's ratification), the Belgian and Spanish universal-jurisdiction laws (narrowed after the Yerodia case, Arrest Warrant (DRC v. Belgium), ICJ 2002 — a sitting foreign minister's immunity from national courts), the German Koblenz trial (2022 — the first conviction of Syrian State torture, under the Code of Crimes against International Law), the French, Swedish and Dutch prosecutions of Syrian and Rwandan perpetrators, the US Alien Tort Statute (Filartiga; narrowed by Kiobel, 2013, and Nestlé, 2021), and India's Geneva Conventions Act Sec 3 (unused) — the 'horizontal' enforcement that the ICC's complementarity presupposes.</w:t>
      </w:r>
    </w:p>
    <w:p>
      <w:pPr>
        <w:pBdr>
          <w:left w:val="single" w:color="CC0000" w:sz="6" w:space="8"/>
        </w:pBdr>
        <w:spacing w:before="80" w:after="80"/>
        <w:ind w:left="300"/>
      </w:pPr>
      <w:r>
        <w:rPr>
          <w:b/>
          <w:bCs/>
          <w:color w:val="CC0000"/>
          <w:sz w:val="21"/>
          <w:szCs w:val="21"/>
          <w:rFonts w:ascii="Arial" w:cs="Arial" w:eastAsia="Arial" w:hAnsi="Arial"/>
        </w:rPr>
        <w:t xml:space="preserve">Jadhav (India v. Pakistan), ICJ 2019 — </w:t>
      </w:r>
      <w:r>
        <w:rPr>
          <w:sz w:val="21"/>
          <w:szCs w:val="21"/>
          <w:rFonts w:ascii="Arial" w:cs="Arial" w:eastAsia="Arial" w:hAnsi="Arial"/>
        </w:rPr>
        <w:t xml:space="preserve">Pakistan violated Art 36 VCCR by denying consular access; espionage is no exception; the bilateral agreement does not displace the Convention; the remedy is effective review and reconsideration of the conviction and sentence, with a continued stay of execution.</w:t>
      </w:r>
    </w:p>
    <w:p>
      <w:pPr>
        <w:pBdr>
          <w:left w:val="single" w:color="CC0000" w:sz="6" w:space="8"/>
        </w:pBdr>
        <w:spacing w:before="80" w:after="80"/>
        <w:ind w:left="300"/>
      </w:pPr>
      <w:r>
        <w:rPr>
          <w:b/>
          <w:bCs/>
          <w:color w:val="CC0000"/>
          <w:sz w:val="21"/>
          <w:szCs w:val="21"/>
          <w:rFonts w:ascii="Arial" w:cs="Arial" w:eastAsia="Arial" w:hAnsi="Arial"/>
        </w:rPr>
        <w:t xml:space="preserve">LaGrand (Germany v. United States), ICJ 2001; Avena (Mexico v. United States), ICJ 2004 — </w:t>
      </w:r>
      <w:r>
        <w:rPr>
          <w:sz w:val="21"/>
          <w:szCs w:val="21"/>
          <w:rFonts w:ascii="Arial" w:cs="Arial" w:eastAsia="Arial" w:hAnsi="Arial"/>
        </w:rPr>
        <w:t xml:space="preserve">Art 36 VCCR creates individual rights; provisional measures are binding; the remedy for a violation is review and reconsideration of the conviction and sentence by the judicial process, not the executive's clemency alone.</w:t>
      </w:r>
    </w:p>
    <w:p>
      <w:pPr>
        <w:pBdr>
          <w:left w:val="single" w:color="CC0000" w:sz="6" w:space="8"/>
        </w:pBdr>
        <w:spacing w:before="80" w:after="80"/>
        <w:ind w:left="300"/>
      </w:pPr>
      <w:r>
        <w:rPr>
          <w:b/>
          <w:bCs/>
          <w:color w:val="CC0000"/>
          <w:sz w:val="21"/>
          <w:szCs w:val="21"/>
          <w:rFonts w:ascii="Arial" w:cs="Arial" w:eastAsia="Arial" w:hAnsi="Arial"/>
        </w:rPr>
        <w:t xml:space="preserve">Bosnia and Herzegovina v. Serbia and Montenegro, ICJ 2007 — </w:t>
      </w:r>
      <w:r>
        <w:rPr>
          <w:sz w:val="21"/>
          <w:szCs w:val="21"/>
          <w:rFonts w:ascii="Arial" w:cs="Arial" w:eastAsia="Arial" w:hAnsi="Arial"/>
        </w:rPr>
        <w:t xml:space="preserve">Srebrenica was genocide; the duty to prevent under Art I is one of conduct, due diligence, triggered by knowledge of a serious risk; Serbia breached it and the duty to punish; the 'fully conclusive' evidentiary standard for attribution.</w:t>
      </w:r>
    </w:p>
    <w:p>
      <w:pPr>
        <w:pBdr>
          <w:left w:val="single" w:color="CC0000" w:sz="6" w:space="8"/>
        </w:pBdr>
        <w:spacing w:before="80" w:after="80"/>
        <w:ind w:left="300"/>
      </w:pPr>
      <w:r>
        <w:rPr>
          <w:b/>
          <w:bCs/>
          <w:color w:val="CC0000"/>
          <w:sz w:val="21"/>
          <w:szCs w:val="21"/>
          <w:rFonts w:ascii="Arial" w:cs="Arial" w:eastAsia="Arial" w:hAnsi="Arial"/>
        </w:rPr>
        <w:t xml:space="preserve">Arrest Warrant of 11 April 2000 (DRC v. Belgium), ICJ 2002 — </w:t>
      </w:r>
      <w:r>
        <w:rPr>
          <w:sz w:val="21"/>
          <w:szCs w:val="21"/>
          <w:rFonts w:ascii="Arial" w:cs="Arial" w:eastAsia="Arial" w:hAnsi="Arial"/>
        </w:rPr>
        <w:t xml:space="preserve">A serving foreign minister enjoys full immunity from foreign national criminal jurisdiction even for war crimes and crimes against humanity; immunity is not impunity — trial at home, waiver, after leaving office, or before an international court.</w:t>
      </w:r>
    </w:p>
    <w:p>
      <w:pPr>
        <w:pBdr>
          <w:left w:val="single" w:color="CC0000" w:sz="6" w:space="8"/>
        </w:pBdr>
        <w:spacing w:before="80" w:after="80"/>
        <w:ind w:left="300"/>
      </w:pPr>
      <w:r>
        <w:rPr>
          <w:b/>
          <w:bCs/>
          <w:color w:val="CC0000"/>
          <w:sz w:val="21"/>
          <w:szCs w:val="21"/>
          <w:rFonts w:ascii="Arial" w:cs="Arial" w:eastAsia="Arial" w:hAnsi="Arial"/>
        </w:rPr>
        <w:t xml:space="preserve">Prosecutor v. Lubanga, ICC 2012 — </w:t>
      </w:r>
      <w:r>
        <w:rPr>
          <w:sz w:val="21"/>
          <w:szCs w:val="21"/>
          <w:rFonts w:ascii="Arial" w:cs="Arial" w:eastAsia="Arial" w:hAnsi="Arial"/>
        </w:rPr>
        <w:t xml:space="preserve">The first ICC conviction — enlisting and conscripting children under fifteen and using them to participate actively in hostilities; the Court's approach to child soldiers, victims' participation and reparations.</w:t>
      </w:r>
    </w:p>
    <w:p>
      <w:pPr>
        <w:pBdr>
          <w:left w:val="single" w:color="CC0000" w:sz="6" w:space="8"/>
        </w:pBdr>
        <w:spacing w:before="80" w:after="80"/>
        <w:ind w:left="300"/>
      </w:pPr>
      <w:r>
        <w:rPr>
          <w:b/>
          <w:bCs/>
          <w:color w:val="CC0000"/>
          <w:sz w:val="21"/>
          <w:szCs w:val="21"/>
          <w:rFonts w:ascii="Arial" w:cs="Arial" w:eastAsia="Arial" w:hAnsi="Arial"/>
        </w:rPr>
        <w:t xml:space="preserve">Prosecutor v. Al Bashir (Jordan referral), ICC Appeals Chamber 2019 — </w:t>
      </w:r>
      <w:r>
        <w:rPr>
          <w:sz w:val="21"/>
          <w:szCs w:val="21"/>
          <w:rFonts w:ascii="Arial" w:cs="Arial" w:eastAsia="Arial" w:hAnsi="Arial"/>
        </w:rPr>
        <w:t xml:space="preserve">No head-of-State immunity before an international court under customary international law; States parties must arrest and surrender a sitting head of State subject to an ICC warrant; the Art 98 argument rejected.</w:t>
      </w:r>
    </w:p>
    <w:p>
      <w:pPr>
        <w:pBdr>
          <w:left w:val="single" w:color="CC0000" w:sz="6" w:space="8"/>
        </w:pBdr>
        <w:spacing w:before="80" w:after="80"/>
        <w:ind w:left="300"/>
      </w:pPr>
      <w:r>
        <w:rPr>
          <w:b/>
          <w:bCs/>
          <w:color w:val="CC0000"/>
          <w:sz w:val="21"/>
          <w:szCs w:val="21"/>
          <w:rFonts w:ascii="Arial" w:cs="Arial" w:eastAsia="Arial" w:hAnsi="Arial"/>
        </w:rPr>
        <w:t xml:space="preserve">R v. Bow Street Magistrate, ex parte Pinochet (No 3), House of Lords 1999 — </w:t>
      </w:r>
      <w:r>
        <w:rPr>
          <w:sz w:val="21"/>
          <w:szCs w:val="21"/>
          <w:rFonts w:ascii="Arial" w:cs="Arial" w:eastAsia="Arial" w:hAnsi="Arial"/>
        </w:rPr>
        <w:t xml:space="preserve">A former head of State has no immunity from extradition proceedings for torture committed after the Torture Convention bound the States concerned; the Convention's universal-jurisdiction scheme is incompatible with immunity for the very acts it criminalises.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ICJ's hearings are webcast and its case files online; the ICC's Project Harmony and the OTPLink portal receive digital evidence; the Berkeley Protocol on Digital Open Source Investigations (2020) sets the evidentiary standard; the Putin warrant rests on satellite and social-media evidence of the deportations; and the 2025 US sanctions on the Prosecutor and judges — enforced through payment and cloud providers — are the digital-era pressure on the Court.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'Jurisdiction of the ICJ', 'Optional clause (Art 36(2))', 'Advisory jurisdiction', 'Jadhav case', 'Provisional measures', 'Bosnia v. Serbia', 'ICTY and ICTR', 'Crimes under the Rome Statute', 'Complementarity', 'Art 27 Rome Statute', 'Triggers of ICC jurisdiction', 'India and the ICC', 'Universal jurisdiction', 'Pinochet case'. Part B: 'Examine the role of the International Court of Justice in the enforcement of human rights, with its limitations'; or 'Describe the jurisdiction and functioning of the International Criminal Court and evaluate India's objections'; or 'Discuss the role of the European Court of Human Rights and the Court of Justice of the European Union in the enforcement of human rights'; or 'Write a note on the ad hoc tribunals'. Part C: a State's national is sentenced to death abroad after being denied consular access — the VCCR's Optional Protocol, LaGrand/Avena/Jadhav, provisional measures, review and reconsideration; a non-party State's army commits crimes against humanity on the territory of a State party — Art 12(2)(a), the Court has jurisdiction (Bangladesh/Myanmar; Ukraine before 2025); a sitting head of State of a non-party is charged — Art 27 and Al Bashir, but arrest depends on parties' cooperation (Putin in Mongolia); a State party is investigating the same crimes — Art 17, admissible only if unwilling or unable; a torturer visits a Torture Convention party — Art 5(2), 7, Pinochet, the Koblenz precedent; a State ignores an ICJ provisional order — Art 94(2), the Council, and the political consequences (Russia 2022).</w:t>
      </w:r>
    </w:p>
    <w:p>
      <w:r>
        <w:br w:type="page"/>
      </w:r>
    </w:p>
    <w:p>
      <w:pPr>
        <w:pStyle w:val="Heading1"/>
        <w:spacing w:before="480" w:after="200"/>
      </w:pPr>
      <w:r>
        <w:rPr>
          <w:b/>
          <w:bCs/>
          <w:color w:val="1F4E79"/>
          <w:sz w:val="32"/>
          <w:szCs w:val="32"/>
          <w:rFonts w:ascii="Arial" w:cs="Arial" w:eastAsia="Arial" w:hAnsi="Arial"/>
        </w:rPr>
        <w:t xml:space="preserve">Episode 12 — Hanuffa Khatoon at Howrah Station: The Constitution, the Courts and the Protection of Human Rights Act 1993</w:t>
      </w:r>
    </w:p>
    <w:p>
      <w:pPr>
        <w:pStyle w:val="Heading2"/>
        <w:spacing w:before="360" w:after="160"/>
      </w:pPr>
      <w:r>
        <w:rPr>
          <w:b/>
          <w:bCs/>
          <w:color w:val="2E75B6"/>
          <w:sz w:val="26"/>
          <w:szCs w:val="26"/>
          <w:rFonts w:ascii="Arial" w:cs="Arial" w:eastAsia="Arial" w:hAnsi="Arial"/>
        </w:rPr>
        <w:t xml:space="preserve">Covers: The constitutional mechanism — the Preamble, Parts III and IV, Arts 32 and 226, Art 51(c), Art 253, the incorporation doctrine and the cases · Public interest litigation and the human-rights jurisprudence of Art 21 · The Protection of Human Rights Act 1993 — the NHRC, the SHRCs, the Human Rights Courts, the 2006 and 2019 amendments, the Paris Principles · The other national institutions · An assessment</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Howrah Station, Calcutta, 26 February 1998. Hanuffa Khatoon, a member of the Union Board of a village in Bangladesh, arrived at Howrah on her way to Ajmer and found her train to Delhi delayed. A tout in the uniform of a railway employee offered her a room in the Yatri Niwas, the railway's lodging for passengers; there, two railway men and their friends plied her with liquor and raped her; the next day another railway employee took her to his rented flat with a promise of help, where she was raped again. She escaped and was rescued by the police. Chandrima Das, a Calcutta advocate, filed a writ petition under Article 226 in the Calcutta High Court, which awarded Hanuffa Khatoon ten lakh rupees as compensation against the Union of India, the Railway Board's employer. The Railways appealed to the Supreme Court on two grounds: that a foreigner has no fundamental rights and no claim under Article 21, and that the employer is not vicariously liable for its employees' crimes, so that her remedy was a civil suit for damages. Justice Saghir Ahmad rejected both. The right to life under Article 21 belongs to every person, not only to citizens, and its content includes dignity — the Court read the Universal Declaration's Articles 1, 2, 3, 5, 7 and 9 into it through Article 51(c) and said that international covenants and declarations adopted by the United Nations must be respected by all signatory States in a manner that gives them effect. The railway employees were the State's servants acting in the course of the State's commercial function; the State's liability under the public-law remedy of Article 32 and 226 is not the tort law of vicarious liability but the constitutional liability for the violation of a fundamental right, for which compensation is the appropriate relief (Nilabati Behera). The award stood. The case is the meeting point of this episode's three themes: the Constitution's rights, the courts' remedies, and India's international obligations — and it shows why the Protection of Human Rights Act, passed five years earlier, defines human rights by reference to both the Constitution and the Covenants.</w:t>
      </w:r>
    </w:p>
    <w:p>
      <w:pPr>
        <w:spacing w:before="240" w:after="120"/>
      </w:pPr>
      <w:r>
        <w:rPr>
          <w:b/>
          <w:bCs/>
          <w:color w:val="404040"/>
          <w:sz w:val="23"/>
          <w:szCs w:val="23"/>
          <w:rFonts w:ascii="Arial" w:cs="Arial" w:eastAsia="Arial" w:hAnsi="Arial"/>
        </w:rPr>
        <w:t xml:space="preserve">The constitutional mechanism</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Preamble</w:t>
      </w:r>
      <w:r>
        <w:rPr>
          <w:sz w:val="22"/>
          <w:szCs w:val="22"/>
          <w:rFonts w:ascii="Arial" w:cs="Arial" w:eastAsia="Arial" w:hAnsi="Arial"/>
        </w:rPr>
        <w:t xml:space="preserve"> — justice (social, economic, political), liberty (thought, expression, belief, faith, worship), equality (status, opportunity), fraternity (the dignity of the individual and the unity of the nation) — the UDHR's values in the Constituent Assembly's language (drafted 1947-49 alongside the Declaration; the Fundamental Rights Sub-Committee under Sardar Patel, with K.M. Munshi and B.R. Ambedkar). </w:t>
      </w:r>
      <w:r>
        <w:rPr>
          <w:b/>
          <w:bCs/>
          <w:sz w:val="22"/>
          <w:szCs w:val="22"/>
          <w:rFonts w:ascii="Arial" w:cs="Arial" w:eastAsia="Arial" w:hAnsi="Arial"/>
        </w:rPr>
        <w:t xml:space="preserve">Part III — the Fundamental Rights</w:t>
      </w:r>
      <w:r>
        <w:rPr>
          <w:sz w:val="22"/>
          <w:szCs w:val="22"/>
          <w:rFonts w:ascii="Arial" w:cs="Arial" w:eastAsia="Arial" w:hAnsi="Arial"/>
        </w:rPr>
        <w:t xml:space="preserve">: equality (Arts 14-18 — equality before law, non-discrimination, equality of opportunity, abolition of untouchability and titles); freedoms (Art 19 — speech, assembly, association, movement, residence, profession; Arts 20-22 — protection in conviction, life and personal liberty, protection against arrest and detention); against exploitation (Arts 23-24 — trafficking, forced labour, child labour); religion (Arts 25-28); cultural and educational rights of minorities (Arts 29-30); the right to constitutional remedies (Art 32 — the Supreme Court's writ jurisdiction, 'the heart and soul of the Constitution' (Ambedkar); Art 226 — the High Courts', wider); Art 21A (education, 2002); the derogation provisions (Art 33 — the armed forces; Art 34 — martial law; Arts 358-359 — emergency, as narrowed by the 44th Amendment so that Arts 20-21 can never be suspended, the lesson of ADM Jabalpur (1976), overruled in Puttaswamy (2017)). </w:t>
      </w:r>
      <w:r>
        <w:rPr>
          <w:b/>
          <w:bCs/>
          <w:sz w:val="22"/>
          <w:szCs w:val="22"/>
          <w:rFonts w:ascii="Arial" w:cs="Arial" w:eastAsia="Arial" w:hAnsi="Arial"/>
        </w:rPr>
        <w:t xml:space="preserve">Part IV — the Directive Principles</w:t>
      </w:r>
      <w:r>
        <w:rPr>
          <w:sz w:val="22"/>
          <w:szCs w:val="22"/>
          <w:rFonts w:ascii="Arial" w:cs="Arial" w:eastAsia="Arial" w:hAnsi="Arial"/>
        </w:rPr>
        <w:t xml:space="preserve"> — the ICESCR's rights as non-justiciable directives: adequate means of livelihood, equal pay, the health of workers and children (Art 39), equal justice and legal aid (39A), village panchayats (40), work, education and public assistance (41), just and humane conditions of work and maternity relief (42), a living wage (43), workers' participation (43A), a uniform civil code (44), early childhood care (45), the weaker sections (46), nutrition and health (47), agriculture and animal husbandry (48), the environment (48A), monuments (49), the separation of the judiciary (50), and </w:t>
      </w:r>
      <w:r>
        <w:rPr>
          <w:b/>
          <w:bCs/>
          <w:sz w:val="22"/>
          <w:szCs w:val="22"/>
          <w:rFonts w:ascii="Arial" w:cs="Arial" w:eastAsia="Arial" w:hAnsi="Arial"/>
        </w:rPr>
        <w:t xml:space="preserve">Art 51 — the promotion of international peace and security: (a) international peace; (b) just and honourable relations; (c) 'foster respect for international law and treaty obligations in the dealings of organised peoples with one another'; (d) arbitration</w:t>
      </w:r>
      <w:r>
        <w:rPr>
          <w:sz w:val="22"/>
          <w:szCs w:val="22"/>
          <w:rFonts w:ascii="Arial" w:cs="Arial" w:eastAsia="Arial" w:hAnsi="Arial"/>
        </w:rPr>
        <w:t xml:space="preserve"> — the provision through which the courts read the international instruments; </w:t>
      </w:r>
      <w:r>
        <w:rPr>
          <w:b/>
          <w:bCs/>
          <w:sz w:val="22"/>
          <w:szCs w:val="22"/>
          <w:rFonts w:ascii="Arial" w:cs="Arial" w:eastAsia="Arial" w:hAnsi="Arial"/>
        </w:rPr>
        <w:t xml:space="preserve">Part IVA — Art 51A — the Fundamental Duties</w:t>
      </w:r>
      <w:r>
        <w:rPr>
          <w:sz w:val="22"/>
          <w:szCs w:val="22"/>
          <w:rFonts w:ascii="Arial" w:cs="Arial" w:eastAsia="Arial" w:hAnsi="Arial"/>
        </w:rPr>
        <w:t xml:space="preserve"> (1976) — the citizen's side of the African Charter's idea. </w:t>
      </w:r>
      <w:r>
        <w:rPr>
          <w:b/>
          <w:bCs/>
          <w:sz w:val="22"/>
          <w:szCs w:val="22"/>
          <w:rFonts w:ascii="Arial" w:cs="Arial" w:eastAsia="Arial" w:hAnsi="Arial"/>
        </w:rPr>
        <w:t xml:space="preserve">The treaty-making and incorporation provisions</w:t>
      </w:r>
      <w:r>
        <w:rPr>
          <w:sz w:val="22"/>
          <w:szCs w:val="22"/>
          <w:rFonts w:ascii="Arial" w:cs="Arial" w:eastAsia="Arial" w:hAnsi="Arial"/>
        </w:rPr>
        <w:t xml:space="preserve">: Art 73 (the executive's power extends to matters on which Parliament may legislate — treaties are made by the executive), </w:t>
      </w:r>
      <w:r>
        <w:rPr>
          <w:b/>
          <w:bCs/>
          <w:sz w:val="22"/>
          <w:szCs w:val="22"/>
          <w:rFonts w:ascii="Arial" w:cs="Arial" w:eastAsia="Arial" w:hAnsi="Arial"/>
        </w:rPr>
        <w:t xml:space="preserve">Art 253</w:t>
      </w:r>
      <w:r>
        <w:rPr>
          <w:sz w:val="22"/>
          <w:szCs w:val="22"/>
          <w:rFonts w:ascii="Arial" w:cs="Arial" w:eastAsia="Arial" w:hAnsi="Arial"/>
        </w:rPr>
        <w:t xml:space="preserve"> (Parliament may make any law for implementing any treaty, agreement or convention, notwithstanding the distribution of powers — the basis of the Protection of Human Rights Act, the Geneva Conventions Act, the Environment (Protection) Act, the Anti-Hijacking Act, the Rights of Persons with Disabilities Act), Entry 14 of List I (treaties and their implementation), Art 246 — so that India is </w:t>
      </w:r>
      <w:r>
        <w:rPr>
          <w:b/>
          <w:bCs/>
          <w:sz w:val="22"/>
          <w:szCs w:val="22"/>
          <w:rFonts w:ascii="Arial" w:cs="Arial" w:eastAsia="Arial" w:hAnsi="Arial"/>
        </w:rPr>
        <w:t xml:space="preserve">dualist</w:t>
      </w:r>
      <w:r>
        <w:rPr>
          <w:sz w:val="22"/>
          <w:szCs w:val="22"/>
          <w:rFonts w:ascii="Arial" w:cs="Arial" w:eastAsia="Arial" w:hAnsi="Arial"/>
        </w:rPr>
        <w:t xml:space="preserve">: a treaty binds India internationally on ratification but becomes domestic law only by legislation, except that (a) customary international law is part of the law of the land unless contrary to statute (the common-law rule adopted in Gramophone Co v. Birendra Bahadur Pandey, 1984 — 'the comity of nations requires that rules of international law may be accommodated in the municipal law even without express legislative sanction provided they do not run into conflict with Acts of Parliament'), (b) statutes are interpreted in conformity with international obligations where possible, and (c) the fundamental rights are interpreted in the light of the international instruments where they are not inconsistent (</w:t>
      </w:r>
      <w:r>
        <w:rPr>
          <w:b/>
          <w:bCs/>
          <w:sz w:val="22"/>
          <w:szCs w:val="22"/>
          <w:rFonts w:ascii="Arial" w:cs="Arial" w:eastAsia="Arial" w:hAnsi="Arial"/>
        </w:rPr>
        <w:t xml:space="preserve">Vishaka</w:t>
      </w:r>
      <w:r>
        <w:rPr>
          <w:sz w:val="22"/>
          <w:szCs w:val="22"/>
          <w:rFonts w:ascii="Arial" w:cs="Arial" w:eastAsia="Arial" w:hAnsi="Arial"/>
        </w:rPr>
        <w:t xml:space="preserve">, 1997 — 'any international convention not inconsistent with the fundamental rights and in harmony with its spirit must be read into these provisions to enlarge the meaning and content thereof, to promote the object of the constitutional guarantee'; Apparel Export; Chandrima Das; PUCL (telephone tapping); </w:t>
      </w:r>
      <w:r>
        <w:rPr>
          <w:b/>
          <w:bCs/>
          <w:sz w:val="22"/>
          <w:szCs w:val="22"/>
          <w:rFonts w:ascii="Arial" w:cs="Arial" w:eastAsia="Arial" w:hAnsi="Arial"/>
        </w:rPr>
        <w:t xml:space="preserve">Puttaswamy</w:t>
      </w:r>
      <w:r>
        <w:rPr>
          <w:sz w:val="22"/>
          <w:szCs w:val="22"/>
          <w:rFonts w:ascii="Arial" w:cs="Arial" w:eastAsia="Arial" w:hAnsi="Arial"/>
        </w:rPr>
        <w:t xml:space="preserve">, 2017 — Art 17 ICCPR and Art 12 UDHR; </w:t>
      </w:r>
      <w:r>
        <w:rPr>
          <w:b/>
          <w:bCs/>
          <w:sz w:val="22"/>
          <w:szCs w:val="22"/>
          <w:rFonts w:ascii="Arial" w:cs="Arial" w:eastAsia="Arial" w:hAnsi="Arial"/>
        </w:rPr>
        <w:t xml:space="preserve">Navtej Johar</w:t>
      </w:r>
      <w:r>
        <w:rPr>
          <w:sz w:val="22"/>
          <w:szCs w:val="22"/>
          <w:rFonts w:ascii="Arial" w:cs="Arial" w:eastAsia="Arial" w:hAnsi="Arial"/>
        </w:rPr>
        <w:t xml:space="preserve">; </w:t>
      </w:r>
      <w:r>
        <w:rPr>
          <w:b/>
          <w:bCs/>
          <w:sz w:val="22"/>
          <w:szCs w:val="22"/>
          <w:rFonts w:ascii="Arial" w:cs="Arial" w:eastAsia="Arial" w:hAnsi="Arial"/>
        </w:rPr>
        <w:t xml:space="preserve">Kaushal Kishor</w:t>
      </w:r>
      <w:r>
        <w:rPr>
          <w:sz w:val="22"/>
          <w:szCs w:val="22"/>
          <w:rFonts w:ascii="Arial" w:cs="Arial" w:eastAsia="Arial" w:hAnsi="Arial"/>
        </w:rPr>
        <w:t xml:space="preserve">, 2023). The </w:t>
      </w:r>
      <w:r>
        <w:rPr>
          <w:b/>
          <w:bCs/>
          <w:sz w:val="22"/>
          <w:szCs w:val="22"/>
          <w:rFonts w:ascii="Arial" w:cs="Arial" w:eastAsia="Arial" w:hAnsi="Arial"/>
        </w:rPr>
        <w:t xml:space="preserve">cases on Art 21's expansion</w:t>
      </w:r>
      <w:r>
        <w:rPr>
          <w:sz w:val="22"/>
          <w:szCs w:val="22"/>
          <w:rFonts w:ascii="Arial" w:cs="Arial" w:eastAsia="Arial" w:hAnsi="Arial"/>
        </w:rPr>
        <w:t xml:space="preserve"> are the human-rights jurisprudence: Maneka Gandhi (1978 — 'procedure established by law' must be fair, just and reasonable — the due-process reading), Francis Coralie Mullin (1981 — life with dignity), Olga Tellis (1985 — livelihood), M.C. Mehta (1987 — environment), Bandhua Mukti Morcha (1984), Sunil Batra (1978-80 — prisoners' rights), Hussainara Khatoon (1979 — speedy trial and legal aid; the undertrials), Sheela Barse (1983 — women in custody), Rudul Sah (1983 — compensation for illegal detention), Nilabati Behera (1993), D.K. Basu (1997 — the eleven arrest guidelines, now in the CrPC/BNSS), Vishaka, Chandrima Das, Paschim Banga Khet Mazdoor Samity (1996 — emergency medical care), Unni Krishnan (1993 — education), PUCL (2001 — food), Selvi (2010 — narco-analysis), Shatrughan Chauhan (2014 — delay in mercy petitions as a ground for commutation), NALSA (2014), Puttaswamy (2017), Common Cause (2018 — passive euthanasia and the living will), Navtej Johar (2018), Joseph Shine (2018), Anuradha Bhasin (2020), and the 2023-24 rulings on bail (Satender Kumar Antil) and the UAPA.</w:t>
      </w:r>
    </w:p>
    <w:p>
      <w:pPr>
        <w:spacing w:before="240" w:after="120"/>
      </w:pPr>
      <w:r>
        <w:rPr>
          <w:b/>
          <w:bCs/>
          <w:color w:val="404040"/>
          <w:sz w:val="23"/>
          <w:szCs w:val="23"/>
          <w:rFonts w:ascii="Arial" w:cs="Arial" w:eastAsia="Arial" w:hAnsi="Arial"/>
        </w:rPr>
        <w:t xml:space="preserve">Public interest litigation and the courts' human-rights role</w:t>
      </w:r>
    </w:p>
    <w:p>
      <w:pPr>
        <w:spacing w:after="120" w:line="300"/>
        <w:jc w:val="both"/>
      </w:pPr>
      <w:r>
        <w:rPr>
          <w:sz w:val="22"/>
          <w:szCs w:val="22"/>
          <w:rFonts w:ascii="Arial" w:cs="Arial" w:eastAsia="Arial" w:hAnsi="Arial"/>
        </w:rPr>
        <w:t xml:space="preserve">From 1979 (Hussainara Khatoon; the Bhagwati-Krishna Iyer years) the Supreme Court relaxed </w:t>
      </w:r>
      <w:r>
        <w:rPr>
          <w:b/>
          <w:bCs/>
          <w:sz w:val="22"/>
          <w:szCs w:val="22"/>
          <w:rFonts w:ascii="Arial" w:cs="Arial" w:eastAsia="Arial" w:hAnsi="Arial"/>
        </w:rPr>
        <w:t xml:space="preserve">locus standi</w:t>
      </w:r>
      <w:r>
        <w:rPr>
          <w:sz w:val="22"/>
          <w:szCs w:val="22"/>
          <w:rFonts w:ascii="Arial" w:cs="Arial" w:eastAsia="Arial" w:hAnsi="Arial"/>
        </w:rPr>
        <w:t xml:space="preserve"> — any member of the public acting bona fide may move the Court for the enforcement of the rights of persons unable to do so themselves (S.P. Gupta, 1981); accepted </w:t>
      </w:r>
      <w:r>
        <w:rPr>
          <w:b/>
          <w:bCs/>
          <w:sz w:val="22"/>
          <w:szCs w:val="22"/>
          <w:rFonts w:ascii="Arial" w:cs="Arial" w:eastAsia="Arial" w:hAnsi="Arial"/>
        </w:rPr>
        <w:t xml:space="preserve">letters as petitions</w:t>
      </w:r>
      <w:r>
        <w:rPr>
          <w:sz w:val="22"/>
          <w:szCs w:val="22"/>
          <w:rFonts w:ascii="Arial" w:cs="Arial" w:eastAsia="Arial" w:hAnsi="Arial"/>
        </w:rPr>
        <w:t xml:space="preserve"> (the 'epistolary jurisdiction' — Sunil Batra's postcard; Bandhua Mukti Morcha's letter); appointed </w:t>
      </w:r>
      <w:r>
        <w:rPr>
          <w:b/>
          <w:bCs/>
          <w:sz w:val="22"/>
          <w:szCs w:val="22"/>
          <w:rFonts w:ascii="Arial" w:cs="Arial" w:eastAsia="Arial" w:hAnsi="Arial"/>
        </w:rPr>
        <w:t xml:space="preserve">commissions</w:t>
      </w:r>
      <w:r>
        <w:rPr>
          <w:sz w:val="22"/>
          <w:szCs w:val="22"/>
          <w:rFonts w:ascii="Arial" w:cs="Arial" w:eastAsia="Arial" w:hAnsi="Arial"/>
        </w:rPr>
        <w:t xml:space="preserve"> to investigate facts (Bandhua Mukti Morcha; Sheela Barse); issued </w:t>
      </w:r>
      <w:r>
        <w:rPr>
          <w:b/>
          <w:bCs/>
          <w:sz w:val="22"/>
          <w:szCs w:val="22"/>
          <w:rFonts w:ascii="Arial" w:cs="Arial" w:eastAsia="Arial" w:hAnsi="Arial"/>
        </w:rPr>
        <w:t xml:space="preserve">continuing mandamus</w:t>
      </w:r>
      <w:r>
        <w:rPr>
          <w:sz w:val="22"/>
          <w:szCs w:val="22"/>
          <w:rFonts w:ascii="Arial" w:cs="Arial" w:eastAsia="Arial" w:hAnsi="Arial"/>
        </w:rPr>
        <w:t xml:space="preserve"> and monitored implementation (Vineet Narain, 1998; the 2G, coal and Manipur cases); laid down </w:t>
      </w:r>
      <w:r>
        <w:rPr>
          <w:b/>
          <w:bCs/>
          <w:sz w:val="22"/>
          <w:szCs w:val="22"/>
          <w:rFonts w:ascii="Arial" w:cs="Arial" w:eastAsia="Arial" w:hAnsi="Arial"/>
        </w:rPr>
        <w:t xml:space="preserve">guidelines</w:t>
      </w:r>
      <w:r>
        <w:rPr>
          <w:sz w:val="22"/>
          <w:szCs w:val="22"/>
          <w:rFonts w:ascii="Arial" w:cs="Arial" w:eastAsia="Arial" w:hAnsi="Arial"/>
        </w:rPr>
        <w:t xml:space="preserve"> to fill legislative gaps (Vishaka; D.K. Basu; the 2006 Prakash Singh police reforms; the 2011-14 Lalita Kumari directions); awarded </w:t>
      </w:r>
      <w:r>
        <w:rPr>
          <w:b/>
          <w:bCs/>
          <w:sz w:val="22"/>
          <w:szCs w:val="22"/>
          <w:rFonts w:ascii="Arial" w:cs="Arial" w:eastAsia="Arial" w:hAnsi="Arial"/>
        </w:rPr>
        <w:t xml:space="preserve">compensation</w:t>
      </w:r>
      <w:r>
        <w:rPr>
          <w:sz w:val="22"/>
          <w:szCs w:val="22"/>
          <w:rFonts w:ascii="Arial" w:cs="Arial" w:eastAsia="Arial" w:hAnsi="Arial"/>
        </w:rPr>
        <w:t xml:space="preserve"> as a public-law remedy (Rudul Sah; Nilabati Behera; Chandrima Das); and treated the Directive Principles and the international instruments as sources of Art 21's content. The </w:t>
      </w:r>
      <w:r>
        <w:rPr>
          <w:b/>
          <w:bCs/>
          <w:sz w:val="22"/>
          <w:szCs w:val="22"/>
          <w:rFonts w:ascii="Arial" w:cs="Arial" w:eastAsia="Arial" w:hAnsi="Arial"/>
        </w:rPr>
        <w:t xml:space="preserve">criticisms</w:t>
      </w:r>
      <w:r>
        <w:rPr>
          <w:sz w:val="22"/>
          <w:szCs w:val="22"/>
          <w:rFonts w:ascii="Arial" w:cs="Arial" w:eastAsia="Arial" w:hAnsi="Arial"/>
        </w:rPr>
        <w:t xml:space="preserve">: judicial overreach and the 'Government by judiciary' debate; the inconsistency of relief; the Court's own retreats (the 2010-20 caution in Divisional Manager, Aravali Golf Club, and the 2020s' bail and sedition decisions); the delay and the pendency; the limited follow-through on structural orders. But the PIL is the mechanism through which the constitutional protection of human rights has been made real for those without access — bonded labourers, undertrials, the homeless, custodial victims, the displaced — and it is the model that the South Asian and South African courts adopted.</w:t>
      </w:r>
    </w:p>
    <w:p>
      <w:pPr>
        <w:spacing w:before="240" w:after="120"/>
      </w:pPr>
      <w:r>
        <w:rPr>
          <w:b/>
          <w:bCs/>
          <w:color w:val="404040"/>
          <w:sz w:val="23"/>
          <w:szCs w:val="23"/>
          <w:rFonts w:ascii="Arial" w:cs="Arial" w:eastAsia="Arial" w:hAnsi="Arial"/>
        </w:rPr>
        <w:t xml:space="preserve">The Protection of Human Rights Act 1993</w:t>
      </w:r>
    </w:p>
    <w:p>
      <w:pPr>
        <w:spacing w:after="120" w:line="300"/>
        <w:jc w:val="both"/>
      </w:pPr>
      <w:r>
        <w:rPr>
          <w:sz w:val="22"/>
          <w:szCs w:val="22"/>
          <w:rFonts w:ascii="Arial" w:cs="Arial" w:eastAsia="Arial" w:hAnsi="Arial"/>
        </w:rPr>
        <w:t xml:space="preserve">Enacted after the Vienna Conference and the </w:t>
      </w:r>
      <w:r>
        <w:rPr>
          <w:b/>
          <w:bCs/>
          <w:sz w:val="22"/>
          <w:szCs w:val="22"/>
          <w:rFonts w:ascii="Arial" w:cs="Arial" w:eastAsia="Arial" w:hAnsi="Arial"/>
        </w:rPr>
        <w:t xml:space="preserve">Paris Principles</w:t>
      </w:r>
      <w:r>
        <w:rPr>
          <w:sz w:val="22"/>
          <w:szCs w:val="22"/>
          <w:rFonts w:ascii="Arial" w:cs="Arial" w:eastAsia="Arial" w:hAnsi="Arial"/>
        </w:rPr>
        <w:t xml:space="preserve"> (the 1991 Principles relating to the Status of National Institutions, endorsed by the General Assembly in 1993 — independence, a broad mandate, pluralism, adequate resources, cooperation with NGOs), and after international criticism of India's record in Punjab and Kashmir (the Amnesty reports; the US State Department's; the Government's wish to have a domestic body to answer them), by the </w:t>
      </w:r>
      <w:r>
        <w:rPr>
          <w:b/>
          <w:bCs/>
          <w:sz w:val="22"/>
          <w:szCs w:val="22"/>
          <w:rFonts w:ascii="Arial" w:cs="Arial" w:eastAsia="Arial" w:hAnsi="Arial"/>
        </w:rPr>
        <w:t xml:space="preserve">Protection of Human Rights Ordinance of 28 September 1993</w:t>
      </w:r>
      <w:r>
        <w:rPr>
          <w:sz w:val="22"/>
          <w:szCs w:val="22"/>
          <w:rFonts w:ascii="Arial" w:cs="Arial" w:eastAsia="Arial" w:hAnsi="Arial"/>
        </w:rPr>
        <w:t xml:space="preserve"> and the Act of 8 January 1994, deemed in force from the ordinance; amended in </w:t>
      </w:r>
      <w:r>
        <w:rPr>
          <w:b/>
          <w:bCs/>
          <w:sz w:val="22"/>
          <w:szCs w:val="22"/>
          <w:rFonts w:ascii="Arial" w:cs="Arial" w:eastAsia="Arial" w:hAnsi="Arial"/>
        </w:rPr>
        <w:t xml:space="preserve">2006</w:t>
      </w:r>
      <w:r>
        <w:rPr>
          <w:sz w:val="22"/>
          <w:szCs w:val="22"/>
          <w:rFonts w:ascii="Arial" w:cs="Arial" w:eastAsia="Arial" w:hAnsi="Arial"/>
        </w:rPr>
        <w:t xml:space="preserve"> (the NHRC's powers over the SHRCs, the deemed-member Chairpersons of the Commissions for Minorities, SCs, STs and Women, the SHRCs' composition, the transfer of complaints, the 'Human Rights Courts') and in </w:t>
      </w:r>
      <w:r>
        <w:rPr>
          <w:b/>
          <w:bCs/>
          <w:sz w:val="22"/>
          <w:szCs w:val="22"/>
          <w:rFonts w:ascii="Arial" w:cs="Arial" w:eastAsia="Arial" w:hAnsi="Arial"/>
        </w:rPr>
        <w:t xml:space="preserve">2019</w:t>
      </w:r>
      <w:r>
        <w:rPr>
          <w:sz w:val="22"/>
          <w:szCs w:val="22"/>
          <w:rFonts w:ascii="Arial" w:cs="Arial" w:eastAsia="Arial" w:hAnsi="Arial"/>
        </w:rPr>
        <w:t xml:space="preserve"> (the Chairperson may be any former Supreme Court judge, not only a former Chief Justice; the tenure reduced from five to three years; the Commissions for Backward Classes, for the Protection of Child Rights and the Chief Commissioner for Persons with Disabilities as deemed members; a woman member; the SHRC Chairperson may be any former High Court judge; the Union Territories' complaints to the NHRC). </w:t>
      </w:r>
      <w:r>
        <w:rPr>
          <w:b/>
          <w:bCs/>
          <w:sz w:val="22"/>
          <w:szCs w:val="22"/>
          <w:rFonts w:ascii="Arial" w:cs="Arial" w:eastAsia="Arial" w:hAnsi="Arial"/>
        </w:rPr>
        <w:t xml:space="preserve">Chapter I — Sec 2 definitions</w:t>
      </w:r>
      <w:r>
        <w:rPr>
          <w:sz w:val="22"/>
          <w:szCs w:val="22"/>
          <w:rFonts w:ascii="Arial" w:cs="Arial" w:eastAsia="Arial" w:hAnsi="Arial"/>
        </w:rPr>
        <w:t xml:space="preserve">: </w:t>
      </w:r>
      <w:r>
        <w:rPr>
          <w:b/>
          <w:bCs/>
          <w:sz w:val="22"/>
          <w:szCs w:val="22"/>
          <w:rFonts w:ascii="Arial" w:cs="Arial" w:eastAsia="Arial" w:hAnsi="Arial"/>
        </w:rPr>
        <w:t xml:space="preserve">(d) 'human rights'</w:t>
      </w:r>
      <w:r>
        <w:rPr>
          <w:sz w:val="22"/>
          <w:szCs w:val="22"/>
          <w:rFonts w:ascii="Arial" w:cs="Arial" w:eastAsia="Arial" w:hAnsi="Arial"/>
        </w:rPr>
        <w:t xml:space="preserve"> — the rights relating to life, liberty, equality and dignity of the individual guaranteed by the Constitution or embodied in the International Covenants and enforceable by courts in India; </w:t>
      </w:r>
      <w:r>
        <w:rPr>
          <w:b/>
          <w:bCs/>
          <w:sz w:val="22"/>
          <w:szCs w:val="22"/>
          <w:rFonts w:ascii="Arial" w:cs="Arial" w:eastAsia="Arial" w:hAnsi="Arial"/>
        </w:rPr>
        <w:t xml:space="preserve">(f) 'International Covenants'</w:t>
      </w:r>
      <w:r>
        <w:rPr>
          <w:sz w:val="22"/>
          <w:szCs w:val="22"/>
          <w:rFonts w:ascii="Arial" w:cs="Arial" w:eastAsia="Arial" w:hAnsi="Arial"/>
        </w:rPr>
        <w:t xml:space="preserve"> — the ICCPR and the ICESCR of 16 December 1966 and such other Covenant or Convention adopted by the General Assembly as the Central Government may specify by notification (no further Convention has been notified, although the NHRC has recommended notifying CEDAW and the CRC, and their standards reach the Commission through the definition's reference to the Constitution and the courts' incorporation cases); (g) 'Member'; (h) 'National Human Rights Commission'; (i) 'Public servant' (Sec 21 IPC). </w:t>
      </w:r>
      <w:r>
        <w:rPr>
          <w:b/>
          <w:bCs/>
          <w:sz w:val="22"/>
          <w:szCs w:val="22"/>
          <w:rFonts w:ascii="Arial" w:cs="Arial" w:eastAsia="Arial" w:hAnsi="Arial"/>
        </w:rPr>
        <w:t xml:space="preserve">Chapter II — the NHRC</w:t>
      </w:r>
      <w:r>
        <w:rPr>
          <w:sz w:val="22"/>
          <w:szCs w:val="22"/>
          <w:rFonts w:ascii="Arial" w:cs="Arial" w:eastAsia="Arial" w:hAnsi="Arial"/>
        </w:rPr>
        <w:t xml:space="preserve">: </w:t>
      </w:r>
      <w:r>
        <w:rPr>
          <w:b/>
          <w:bCs/>
          <w:sz w:val="22"/>
          <w:szCs w:val="22"/>
          <w:rFonts w:ascii="Arial" w:cs="Arial" w:eastAsia="Arial" w:hAnsi="Arial"/>
        </w:rPr>
        <w:t xml:space="preserve">Sec 3</w:t>
      </w:r>
      <w:r>
        <w:rPr>
          <w:sz w:val="22"/>
          <w:szCs w:val="22"/>
          <w:rFonts w:ascii="Arial" w:cs="Arial" w:eastAsia="Arial" w:hAnsi="Arial"/>
        </w:rPr>
        <w:t xml:space="preserve"> — constitution: a </w:t>
      </w:r>
      <w:r>
        <w:rPr>
          <w:b/>
          <w:bCs/>
          <w:sz w:val="22"/>
          <w:szCs w:val="22"/>
          <w:rFonts w:ascii="Arial" w:cs="Arial" w:eastAsia="Arial" w:hAnsi="Arial"/>
        </w:rPr>
        <w:t xml:space="preserve">Chairperson</w:t>
      </w:r>
      <w:r>
        <w:rPr>
          <w:sz w:val="22"/>
          <w:szCs w:val="22"/>
          <w:rFonts w:ascii="Arial" w:cs="Arial" w:eastAsia="Arial" w:hAnsi="Arial"/>
        </w:rPr>
        <w:t xml:space="preserve"> who has been a Chief Justice of India or a Judge of the Supreme Court (2019); one Member who is or has been a Judge of the Supreme Court; one Member who is or has been a Chief Justice of a High Court; three Members (at least one a woman) to be appointed from among persons having knowledge of or practical experience in matters relating to human rights (2019 — raised from two to three); the </w:t>
      </w:r>
      <w:r>
        <w:rPr>
          <w:b/>
          <w:bCs/>
          <w:sz w:val="22"/>
          <w:szCs w:val="22"/>
          <w:rFonts w:ascii="Arial" w:cs="Arial" w:eastAsia="Arial" w:hAnsi="Arial"/>
        </w:rPr>
        <w:t xml:space="preserve">deemed Members</w:t>
      </w:r>
      <w:r>
        <w:rPr>
          <w:sz w:val="22"/>
          <w:szCs w:val="22"/>
          <w:rFonts w:ascii="Arial" w:cs="Arial" w:eastAsia="Arial" w:hAnsi="Arial"/>
        </w:rPr>
        <w:t xml:space="preserve"> — the Chairpersons of the National Commissions for Minorities, SCs, STs, Women, Backward Classes and the Protection of Child Rights, and the Chief Commissioner for Persons with Disabilities (for the functions under Sec 12(b)-(j)); a Secretary-General as the chief executive; headquarters at Delhi; </w:t>
      </w:r>
      <w:r>
        <w:rPr>
          <w:b/>
          <w:bCs/>
          <w:sz w:val="22"/>
          <w:szCs w:val="22"/>
          <w:rFonts w:ascii="Arial" w:cs="Arial" w:eastAsia="Arial" w:hAnsi="Arial"/>
        </w:rPr>
        <w:t xml:space="preserve">Sec 4</w:t>
      </w:r>
      <w:r>
        <w:rPr>
          <w:sz w:val="22"/>
          <w:szCs w:val="22"/>
          <w:rFonts w:ascii="Arial" w:cs="Arial" w:eastAsia="Arial" w:hAnsi="Arial"/>
        </w:rPr>
        <w:t xml:space="preserve"> — appointment by the President on the recommendation of a committee of the Prime Minister (chair), the Speaker, the Home Minister, the Leaders of the Opposition in both Houses and the Deputy Chairman of the Rajya Sabha; a sitting judge only after consultation with the Chief Justice of India; </w:t>
      </w:r>
      <w:r>
        <w:rPr>
          <w:b/>
          <w:bCs/>
          <w:sz w:val="22"/>
          <w:szCs w:val="22"/>
          <w:rFonts w:ascii="Arial" w:cs="Arial" w:eastAsia="Arial" w:hAnsi="Arial"/>
        </w:rPr>
        <w:t xml:space="preserve">Sec 5</w:t>
      </w:r>
      <w:r>
        <w:rPr>
          <w:sz w:val="22"/>
          <w:szCs w:val="22"/>
          <w:rFonts w:ascii="Arial" w:cs="Arial" w:eastAsia="Arial" w:hAnsi="Arial"/>
        </w:rPr>
        <w:t xml:space="preserve"> — removal by the President on proved misbehaviour or incapacity after a Supreme Court inquiry, or for insolvency, paid employment, infirmity, unsound mind, conviction; </w:t>
      </w:r>
      <w:r>
        <w:rPr>
          <w:b/>
          <w:bCs/>
          <w:sz w:val="22"/>
          <w:szCs w:val="22"/>
          <w:rFonts w:ascii="Arial" w:cs="Arial" w:eastAsia="Arial" w:hAnsi="Arial"/>
        </w:rPr>
        <w:t xml:space="preserve">Sec 6</w:t>
      </w:r>
      <w:r>
        <w:rPr>
          <w:sz w:val="22"/>
          <w:szCs w:val="22"/>
          <w:rFonts w:ascii="Arial" w:cs="Arial" w:eastAsia="Arial" w:hAnsi="Arial"/>
        </w:rPr>
        <w:t xml:space="preserve"> — term: three years (2019) or age seventy, eligible for reappointment; no further Government employment except the SHRC; </w:t>
      </w:r>
      <w:r>
        <w:rPr>
          <w:b/>
          <w:bCs/>
          <w:sz w:val="22"/>
          <w:szCs w:val="22"/>
          <w:rFonts w:ascii="Arial" w:cs="Arial" w:eastAsia="Arial" w:hAnsi="Arial"/>
        </w:rPr>
        <w:t xml:space="preserve">Secs 7-8</w:t>
      </w:r>
      <w:r>
        <w:rPr>
          <w:sz w:val="22"/>
          <w:szCs w:val="22"/>
          <w:rFonts w:ascii="Arial" w:cs="Arial" w:eastAsia="Arial" w:hAnsi="Arial"/>
        </w:rPr>
        <w:t xml:space="preserve"> — vacancies, procedure; </w:t>
      </w:r>
      <w:r>
        <w:rPr>
          <w:b/>
          <w:bCs/>
          <w:sz w:val="22"/>
          <w:szCs w:val="22"/>
          <w:rFonts w:ascii="Arial" w:cs="Arial" w:eastAsia="Arial" w:hAnsi="Arial"/>
        </w:rPr>
        <w:t xml:space="preserve">Sec 9</w:t>
      </w:r>
      <w:r>
        <w:rPr>
          <w:sz w:val="22"/>
          <w:szCs w:val="22"/>
          <w:rFonts w:ascii="Arial" w:cs="Arial" w:eastAsia="Arial" w:hAnsi="Arial"/>
        </w:rPr>
        <w:t xml:space="preserve"> — acts not invalid by vacancy; </w:t>
      </w:r>
      <w:r>
        <w:rPr>
          <w:b/>
          <w:bCs/>
          <w:sz w:val="22"/>
          <w:szCs w:val="22"/>
          <w:rFonts w:ascii="Arial" w:cs="Arial" w:eastAsia="Arial" w:hAnsi="Arial"/>
        </w:rPr>
        <w:t xml:space="preserve">Sec 10</w:t>
      </w:r>
      <w:r>
        <w:rPr>
          <w:sz w:val="22"/>
          <w:szCs w:val="22"/>
          <w:rFonts w:ascii="Arial" w:cs="Arial" w:eastAsia="Arial" w:hAnsi="Arial"/>
        </w:rPr>
        <w:t xml:space="preserve"> — procedure regulated by the Commission; </w:t>
      </w:r>
      <w:r>
        <w:rPr>
          <w:b/>
          <w:bCs/>
          <w:sz w:val="22"/>
          <w:szCs w:val="22"/>
          <w:rFonts w:ascii="Arial" w:cs="Arial" w:eastAsia="Arial" w:hAnsi="Arial"/>
        </w:rPr>
        <w:t xml:space="preserve">Sec 11</w:t>
      </w:r>
      <w:r>
        <w:rPr>
          <w:sz w:val="22"/>
          <w:szCs w:val="22"/>
          <w:rFonts w:ascii="Arial" w:cs="Arial" w:eastAsia="Arial" w:hAnsi="Arial"/>
        </w:rPr>
        <w:t xml:space="preserve"> — officers and staff (an Investigation Division under a Director General of Police — the source of the criticism that the NHRC's investigators are serving police officers). </w:t>
      </w:r>
      <w:r>
        <w:rPr>
          <w:b/>
          <w:bCs/>
          <w:sz w:val="22"/>
          <w:szCs w:val="22"/>
          <w:rFonts w:ascii="Arial" w:cs="Arial" w:eastAsia="Arial" w:hAnsi="Arial"/>
        </w:rPr>
        <w:t xml:space="preserve">Chapter III — functions and powers</w:t>
      </w:r>
      <w:r>
        <w:rPr>
          <w:sz w:val="22"/>
          <w:szCs w:val="22"/>
          <w:rFonts w:ascii="Arial" w:cs="Arial" w:eastAsia="Arial" w:hAnsi="Arial"/>
        </w:rPr>
        <w:t xml:space="preserve">: </w:t>
      </w:r>
      <w:r>
        <w:rPr>
          <w:b/>
          <w:bCs/>
          <w:sz w:val="22"/>
          <w:szCs w:val="22"/>
          <w:rFonts w:ascii="Arial" w:cs="Arial" w:eastAsia="Arial" w:hAnsi="Arial"/>
        </w:rPr>
        <w:t xml:space="preserve">Sec 12</w:t>
      </w:r>
      <w:r>
        <w:rPr>
          <w:sz w:val="22"/>
          <w:szCs w:val="22"/>
          <w:rFonts w:ascii="Arial" w:cs="Arial" w:eastAsia="Arial" w:hAnsi="Arial"/>
        </w:rPr>
        <w:t xml:space="preserve"> — the Commission shall (a) inquire, suo motu or on a petition presented by a victim or any person on his behalf (or on a court's order — 2006), into complaints of (i) violation of human rights or abetment thereof, or (ii) </w:t>
      </w:r>
      <w:r>
        <w:rPr>
          <w:b/>
          <w:bCs/>
          <w:sz w:val="22"/>
          <w:szCs w:val="22"/>
          <w:rFonts w:ascii="Arial" w:cs="Arial" w:eastAsia="Arial" w:hAnsi="Arial"/>
        </w:rPr>
        <w:t xml:space="preserve">negligence in the prevention of such violation by a public servant</w:t>
      </w:r>
      <w:r>
        <w:rPr>
          <w:sz w:val="22"/>
          <w:szCs w:val="22"/>
          <w:rFonts w:ascii="Arial" w:cs="Arial" w:eastAsia="Arial" w:hAnsi="Arial"/>
        </w:rPr>
        <w:t xml:space="preserve"> (the formula that brings private violence within the Commission's reach through the State's failure); (b) intervene in any proceeding involving any allegation of violation of human rights pending before a court with the court's approval; (c) </w:t>
      </w:r>
      <w:r>
        <w:rPr>
          <w:b/>
          <w:bCs/>
          <w:sz w:val="22"/>
          <w:szCs w:val="22"/>
          <w:rFonts w:ascii="Arial" w:cs="Arial" w:eastAsia="Arial" w:hAnsi="Arial"/>
        </w:rPr>
        <w:t xml:space="preserve">visit</w:t>
      </w:r>
      <w:r>
        <w:rPr>
          <w:sz w:val="22"/>
          <w:szCs w:val="22"/>
          <w:rFonts w:ascii="Arial" w:cs="Arial" w:eastAsia="Arial" w:hAnsi="Arial"/>
        </w:rPr>
        <w:t xml:space="preserve">, notwithstanding anything in any other law, any jail or other institution under the State Government's control where persons are detained or lodged for treatment, reformation or protection, to study the inmates' living conditions and make recommendations (2006 removed the requirement of intimation to the State); (d) review the safeguards provided by the Constitution or any law and recommend measures for their effective implementation; (e) review the factors, including acts of terrorism, that inhibit the enjoyment of human rights and recommend remedial measures; (f) study treaties and other international instruments and make recommendations for their effective implementation; (g) undertake and promote research; (h) spread human-rights literacy and promote awareness of the safeguards through publications, the media, seminars; (i) encourage the efforts of NGOs and institutions; (j) such other functions as it may consider necessary. </w:t>
      </w:r>
      <w:r>
        <w:rPr>
          <w:b/>
          <w:bCs/>
          <w:sz w:val="22"/>
          <w:szCs w:val="22"/>
          <w:rFonts w:ascii="Arial" w:cs="Arial" w:eastAsia="Arial" w:hAnsi="Arial"/>
        </w:rPr>
        <w:t xml:space="preserve">Sec 13</w:t>
      </w:r>
      <w:r>
        <w:rPr>
          <w:sz w:val="22"/>
          <w:szCs w:val="22"/>
          <w:rFonts w:ascii="Arial" w:cs="Arial" w:eastAsia="Arial" w:hAnsi="Arial"/>
        </w:rPr>
        <w:t xml:space="preserve"> — powers relating to inquiries: the powers of a civil court trying a suit (summoning and enforcing attendance and examining on oath, discovery and production of documents, evidence on affidavits, requisitioning public records, commissions for witnesses), the power to require information from any person (Sec 13(2), with the protection of the Indian Penal Code's Sec 176-177), to enter and search any building and seize documents (13(3)), and the inquiry is a judicial proceeding for Secs 193 and 228 IPC (13(4)-(5)); the 2006 amendment added the power to transfer complaints to the SHRC (Sec 13(6)) and to take over a complaint pending with an SHRC (Sec 36(1) reading). </w:t>
      </w:r>
      <w:r>
        <w:rPr>
          <w:b/>
          <w:bCs/>
          <w:sz w:val="22"/>
          <w:szCs w:val="22"/>
          <w:rFonts w:ascii="Arial" w:cs="Arial" w:eastAsia="Arial" w:hAnsi="Arial"/>
        </w:rPr>
        <w:t xml:space="preserve">Sec 14</w:t>
      </w:r>
      <w:r>
        <w:rPr>
          <w:sz w:val="22"/>
          <w:szCs w:val="22"/>
          <w:rFonts w:ascii="Arial" w:cs="Arial" w:eastAsia="Arial" w:hAnsi="Arial"/>
        </w:rPr>
        <w:t xml:space="preserve"> — investigation: the Commission may use the services of any officer or investigation agency of the Central or State Government, which must report; the Commission may examine witnesses. </w:t>
      </w:r>
      <w:r>
        <w:rPr>
          <w:b/>
          <w:bCs/>
          <w:sz w:val="22"/>
          <w:szCs w:val="22"/>
          <w:rFonts w:ascii="Arial" w:cs="Arial" w:eastAsia="Arial" w:hAnsi="Arial"/>
        </w:rPr>
        <w:t xml:space="preserve">Sec 15</w:t>
      </w:r>
      <w:r>
        <w:rPr>
          <w:sz w:val="22"/>
          <w:szCs w:val="22"/>
          <w:rFonts w:ascii="Arial" w:cs="Arial" w:eastAsia="Arial" w:hAnsi="Arial"/>
        </w:rPr>
        <w:t xml:space="preserve"> — a statement made to the Commission in an inquiry cannot be used against the maker in civil or criminal proceedings except for perjury. </w:t>
      </w:r>
      <w:r>
        <w:rPr>
          <w:b/>
          <w:bCs/>
          <w:sz w:val="22"/>
          <w:szCs w:val="22"/>
          <w:rFonts w:ascii="Arial" w:cs="Arial" w:eastAsia="Arial" w:hAnsi="Arial"/>
        </w:rPr>
        <w:t xml:space="preserve">Sec 16</w:t>
      </w:r>
      <w:r>
        <w:rPr>
          <w:sz w:val="22"/>
          <w:szCs w:val="22"/>
          <w:rFonts w:ascii="Arial" w:cs="Arial" w:eastAsia="Arial" w:hAnsi="Arial"/>
        </w:rPr>
        <w:t xml:space="preserve"> — persons likely to be prejudicially affected to be heard. </w:t>
      </w:r>
      <w:r>
        <w:rPr>
          <w:b/>
          <w:bCs/>
          <w:sz w:val="22"/>
          <w:szCs w:val="22"/>
          <w:rFonts w:ascii="Arial" w:cs="Arial" w:eastAsia="Arial" w:hAnsi="Arial"/>
        </w:rPr>
        <w:t xml:space="preserve">Chapter IV — procedure</w:t>
      </w:r>
      <w:r>
        <w:rPr>
          <w:sz w:val="22"/>
          <w:szCs w:val="22"/>
          <w:rFonts w:ascii="Arial" w:cs="Arial" w:eastAsia="Arial" w:hAnsi="Arial"/>
        </w:rPr>
        <w:t xml:space="preserve">: </w:t>
      </w:r>
      <w:r>
        <w:rPr>
          <w:b/>
          <w:bCs/>
          <w:sz w:val="22"/>
          <w:szCs w:val="22"/>
          <w:rFonts w:ascii="Arial" w:cs="Arial" w:eastAsia="Arial" w:hAnsi="Arial"/>
        </w:rPr>
        <w:t xml:space="preserve">Sec 17</w:t>
      </w:r>
      <w:r>
        <w:rPr>
          <w:sz w:val="22"/>
          <w:szCs w:val="22"/>
          <w:rFonts w:ascii="Arial" w:cs="Arial" w:eastAsia="Arial" w:hAnsi="Arial"/>
        </w:rPr>
        <w:t xml:space="preserve"> — on receiving a complaint the Commission may call for information or a report from the Government within a time; if no report, it may inquire on its own; if the report shows no further inquiry is required, or that action has been taken, it may close the matter; </w:t>
      </w:r>
      <w:r>
        <w:rPr>
          <w:b/>
          <w:bCs/>
          <w:sz w:val="22"/>
          <w:szCs w:val="22"/>
          <w:rFonts w:ascii="Arial" w:cs="Arial" w:eastAsia="Arial" w:hAnsi="Arial"/>
        </w:rPr>
        <w:t xml:space="preserve">Sec 18 — steps after inquiry</w:t>
      </w:r>
      <w:r>
        <w:rPr>
          <w:sz w:val="22"/>
          <w:szCs w:val="22"/>
          <w:rFonts w:ascii="Arial" w:cs="Arial" w:eastAsia="Arial" w:hAnsi="Arial"/>
        </w:rPr>
        <w:t xml:space="preserve">: where the inquiry discloses a violation or negligence, the Commission may (a) </w:t>
      </w:r>
      <w:r>
        <w:rPr>
          <w:b/>
          <w:bCs/>
          <w:sz w:val="22"/>
          <w:szCs w:val="22"/>
          <w:rFonts w:ascii="Arial" w:cs="Arial" w:eastAsia="Arial" w:hAnsi="Arial"/>
        </w:rPr>
        <w:t xml:space="preserve">recommend</w:t>
      </w:r>
      <w:r>
        <w:rPr>
          <w:sz w:val="22"/>
          <w:szCs w:val="22"/>
          <w:rFonts w:ascii="Arial" w:cs="Arial" w:eastAsia="Arial" w:hAnsi="Arial"/>
        </w:rPr>
        <w:t xml:space="preserve"> to the Government or authority (i) to make payment of compensation or damages to the complainant or the victim or his family, (ii) to initiate proceedings for prosecution or such other suitable action against the person(s) concerned, (iii) such further action as it thinks fit; (b) </w:t>
      </w:r>
      <w:r>
        <w:rPr>
          <w:b/>
          <w:bCs/>
          <w:sz w:val="22"/>
          <w:szCs w:val="22"/>
          <w:rFonts w:ascii="Arial" w:cs="Arial" w:eastAsia="Arial" w:hAnsi="Arial"/>
        </w:rPr>
        <w:t xml:space="preserve">approach the Supreme Court or the High Court</w:t>
      </w:r>
      <w:r>
        <w:rPr>
          <w:sz w:val="22"/>
          <w:szCs w:val="22"/>
          <w:rFonts w:ascii="Arial" w:cs="Arial" w:eastAsia="Arial" w:hAnsi="Arial"/>
        </w:rPr>
        <w:t xml:space="preserve"> for such directions, orders or writs as the court may deem necessary; (c) recommend the grant of </w:t>
      </w:r>
      <w:r>
        <w:rPr>
          <w:b/>
          <w:bCs/>
          <w:sz w:val="22"/>
          <w:szCs w:val="22"/>
          <w:rFonts w:ascii="Arial" w:cs="Arial" w:eastAsia="Arial" w:hAnsi="Arial"/>
        </w:rPr>
        <w:t xml:space="preserve">immediate interim relief</w:t>
      </w:r>
      <w:r>
        <w:rPr>
          <w:sz w:val="22"/>
          <w:szCs w:val="22"/>
          <w:rFonts w:ascii="Arial" w:cs="Arial" w:eastAsia="Arial" w:hAnsi="Arial"/>
        </w:rPr>
        <w:t xml:space="preserve"> to the victim or his family; (d) subject to (e), provide a copy of the inquiry report to the petitioner; (e) send a copy of the report with its recommendations to the Government or authority, which shall within </w:t>
      </w:r>
      <w:r>
        <w:rPr>
          <w:b/>
          <w:bCs/>
          <w:sz w:val="22"/>
          <w:szCs w:val="22"/>
          <w:rFonts w:ascii="Arial" w:cs="Arial" w:eastAsia="Arial" w:hAnsi="Arial"/>
        </w:rPr>
        <w:t xml:space="preserve">one month</w:t>
      </w:r>
      <w:r>
        <w:rPr>
          <w:sz w:val="22"/>
          <w:szCs w:val="22"/>
          <w:rFonts w:ascii="Arial" w:cs="Arial" w:eastAsia="Arial" w:hAnsi="Arial"/>
        </w:rPr>
        <w:t xml:space="preserve"> (or such further time as the Commission allows) forward its comments including the action taken or proposed; (f) publish the inquiry report with the comments and the action taken. The Act thus gives the NHRC </w:t>
      </w:r>
      <w:r>
        <w:rPr>
          <w:b/>
          <w:bCs/>
          <w:sz w:val="22"/>
          <w:szCs w:val="22"/>
          <w:rFonts w:ascii="Arial" w:cs="Arial" w:eastAsia="Arial" w:hAnsi="Arial"/>
        </w:rPr>
        <w:t xml:space="preserve">only the power to recommend</w:t>
      </w:r>
      <w:r>
        <w:rPr>
          <w:sz w:val="22"/>
          <w:szCs w:val="22"/>
          <w:rFonts w:ascii="Arial" w:cs="Arial" w:eastAsia="Arial" w:hAnsi="Arial"/>
        </w:rPr>
        <w:t xml:space="preserve"> — the 'recommendatory' character that its critics and the Commission itself (the 1998 and 2018 proposals for binding powers; the Supreme Court in the Gujarat 2002 case accepted its reports as the basis of its orders) identify as its weakness; but the Government's practice has been to accept its compensation recommendations in the great majority of cases (the NHRC's annual reports show acceptance rates above ninety per cent, with the Armed Forces and some States as exceptions), and the Commission's standing to move the courts (Sec 18(b) — NHRC v. State of Arunachal Pradesh, 1996; the Gujarat riot cases, 2003-04, where the NHRC secured the transfer of the Best Bakery trial) gives its findings a judicial route. </w:t>
      </w:r>
      <w:r>
        <w:rPr>
          <w:b/>
          <w:bCs/>
          <w:sz w:val="22"/>
          <w:szCs w:val="22"/>
          <w:rFonts w:ascii="Arial" w:cs="Arial" w:eastAsia="Arial" w:hAnsi="Arial"/>
        </w:rPr>
        <w:t xml:space="preserve">Sec 19 — the armed forces</w:t>
      </w:r>
      <w:r>
        <w:rPr>
          <w:sz w:val="22"/>
          <w:szCs w:val="22"/>
          <w:rFonts w:ascii="Arial" w:cs="Arial" w:eastAsia="Arial" w:hAnsi="Arial"/>
        </w:rPr>
        <w:t xml:space="preserve">: on a complaint of violation by members of the armed forces (the army, navy, air force and the paramilitary forces under the Union), the Commission may only seek a report from the Central Government and, on its receipt, either not proceed or make its recommendations to the Government, which must inform it within three months of the action taken, and the Commission publishes the report — the provision that has kept the AFSPA areas' deaths outside the Commission's inquiry, and the subject of the 2006-19 demands for its deletion (the Jeevan Reddy Committee, 2005, and the Verma Committee, 2013, recommended the Commission's full jurisdiction). </w:t>
      </w:r>
      <w:r>
        <w:rPr>
          <w:b/>
          <w:bCs/>
          <w:sz w:val="22"/>
          <w:szCs w:val="22"/>
          <w:rFonts w:ascii="Arial" w:cs="Arial" w:eastAsia="Arial" w:hAnsi="Arial"/>
        </w:rPr>
        <w:t xml:space="preserve">Sec 20</w:t>
      </w:r>
      <w:r>
        <w:rPr>
          <w:sz w:val="22"/>
          <w:szCs w:val="22"/>
          <w:rFonts w:ascii="Arial" w:cs="Arial" w:eastAsia="Arial" w:hAnsi="Arial"/>
        </w:rPr>
        <w:t xml:space="preserve"> — annual and special reports to Parliament with the Government's memorandum of action taken and reasons for non-acceptance. </w:t>
      </w:r>
      <w:r>
        <w:rPr>
          <w:b/>
          <w:bCs/>
          <w:sz w:val="22"/>
          <w:szCs w:val="22"/>
          <w:rFonts w:ascii="Arial" w:cs="Arial" w:eastAsia="Arial" w:hAnsi="Arial"/>
        </w:rPr>
        <w:t xml:space="preserve">Chapter V — the State Human Rights Commissions</w:t>
      </w:r>
      <w:r>
        <w:rPr>
          <w:sz w:val="22"/>
          <w:szCs w:val="22"/>
          <w:rFonts w:ascii="Arial" w:cs="Arial" w:eastAsia="Arial" w:hAnsi="Arial"/>
        </w:rPr>
        <w:t xml:space="preserve">: </w:t>
      </w:r>
      <w:r>
        <w:rPr>
          <w:b/>
          <w:bCs/>
          <w:sz w:val="22"/>
          <w:szCs w:val="22"/>
          <w:rFonts w:ascii="Arial" w:cs="Arial" w:eastAsia="Arial" w:hAnsi="Arial"/>
        </w:rPr>
        <w:t xml:space="preserve">Sec 21</w:t>
      </w:r>
      <w:r>
        <w:rPr>
          <w:sz w:val="22"/>
          <w:szCs w:val="22"/>
          <w:rFonts w:ascii="Arial" w:cs="Arial" w:eastAsia="Arial" w:hAnsi="Arial"/>
        </w:rPr>
        <w:t xml:space="preserve"> — constitution (a Chairperson who has been a Chief Justice or a Judge of a High Court (2019); one Member who is or has been a Judge of a High Court or a District Judge with seven years' experience; one Member from persons with knowledge or experience of human rights); functions under Sec 12(a)-(d), (e)-(j) with reference to matters in List II and III (Sec 21(5)) — a complaint on a List I matter goes to the NHRC; two or more States may share a Commission (2006); </w:t>
      </w:r>
      <w:r>
        <w:rPr>
          <w:b/>
          <w:bCs/>
          <w:sz w:val="22"/>
          <w:szCs w:val="22"/>
          <w:rFonts w:ascii="Arial" w:cs="Arial" w:eastAsia="Arial" w:hAnsi="Arial"/>
        </w:rPr>
        <w:t xml:space="preserve">Sec 22</w:t>
      </w:r>
      <w:r>
        <w:rPr>
          <w:sz w:val="22"/>
          <w:szCs w:val="22"/>
          <w:rFonts w:ascii="Arial" w:cs="Arial" w:eastAsia="Arial" w:hAnsi="Arial"/>
        </w:rPr>
        <w:t xml:space="preserve"> — appointment by the Governor on the recommendation of the Chief Minister (chair), the Speaker, the Home Minister, the Leader of the Opposition (and the Chairman and Leader of the Opposition of the Council); </w:t>
      </w:r>
      <w:r>
        <w:rPr>
          <w:b/>
          <w:bCs/>
          <w:sz w:val="22"/>
          <w:szCs w:val="22"/>
          <w:rFonts w:ascii="Arial" w:cs="Arial" w:eastAsia="Arial" w:hAnsi="Arial"/>
        </w:rPr>
        <w:t xml:space="preserve">Secs 23-29</w:t>
      </w:r>
      <w:r>
        <w:rPr>
          <w:sz w:val="22"/>
          <w:szCs w:val="22"/>
          <w:rFonts w:ascii="Arial" w:cs="Arial" w:eastAsia="Arial" w:hAnsi="Arial"/>
        </w:rPr>
        <w:t xml:space="preserve"> — removal, term, staff, procedure (Secs 9-16 and 17-18 apply mutatis mutandis); the reports to the Legislature. All States except a few (Arunachal, Mizoram, Nagaland — the 2019 amendment allows the NHRC to cover UTs) have SHRCs; the A.P. SHRC (1993, revived after bifurcation in 2019 at Kurnool) and the Telangana SHRC (2019, Hyderabad) are the local bodies. </w:t>
      </w:r>
      <w:r>
        <w:rPr>
          <w:b/>
          <w:bCs/>
          <w:sz w:val="22"/>
          <w:szCs w:val="22"/>
          <w:rFonts w:ascii="Arial" w:cs="Arial" w:eastAsia="Arial" w:hAnsi="Arial"/>
        </w:rPr>
        <w:t xml:space="preserve">Chapter VI — Human Rights Courts</w:t>
      </w:r>
      <w:r>
        <w:rPr>
          <w:sz w:val="22"/>
          <w:szCs w:val="22"/>
          <w:rFonts w:ascii="Arial" w:cs="Arial" w:eastAsia="Arial" w:hAnsi="Arial"/>
        </w:rPr>
        <w:t xml:space="preserve">: </w:t>
      </w:r>
      <w:r>
        <w:rPr>
          <w:b/>
          <w:bCs/>
          <w:sz w:val="22"/>
          <w:szCs w:val="22"/>
          <w:rFonts w:ascii="Arial" w:cs="Arial" w:eastAsia="Arial" w:hAnsi="Arial"/>
        </w:rPr>
        <w:t xml:space="preserve">Sec 30</w:t>
      </w:r>
      <w:r>
        <w:rPr>
          <w:sz w:val="22"/>
          <w:szCs w:val="22"/>
          <w:rFonts w:ascii="Arial" w:cs="Arial" w:eastAsia="Arial" w:hAnsi="Arial"/>
        </w:rPr>
        <w:t xml:space="preserve"> — for the purpose of providing speedy trial of offences arising out of violation of human rights, the State Government may, with the concurrence of the Chief Justice of the High Court, by notification specify for each district a Court of Session to be a Human Rights Court — no separate courts or procedure were created, no 'offences of violation of human rights' are defined, and the notified courts (Andhra Pradesh notified its Sessions Courts in 1994-95; most States have) have tried no distinctive cases — the Act's dead letter; </w:t>
      </w:r>
      <w:r>
        <w:rPr>
          <w:b/>
          <w:bCs/>
          <w:sz w:val="22"/>
          <w:szCs w:val="22"/>
          <w:rFonts w:ascii="Arial" w:cs="Arial" w:eastAsia="Arial" w:hAnsi="Arial"/>
        </w:rPr>
        <w:t xml:space="preserve">Sec 31</w:t>
      </w:r>
      <w:r>
        <w:rPr>
          <w:sz w:val="22"/>
          <w:szCs w:val="22"/>
          <w:rFonts w:ascii="Arial" w:cs="Arial" w:eastAsia="Arial" w:hAnsi="Arial"/>
        </w:rPr>
        <w:t xml:space="preserve"> — a Special Public Prosecutor of seven years' practice. </w:t>
      </w:r>
      <w:r>
        <w:rPr>
          <w:b/>
          <w:bCs/>
          <w:sz w:val="22"/>
          <w:szCs w:val="22"/>
          <w:rFonts w:ascii="Arial" w:cs="Arial" w:eastAsia="Arial" w:hAnsi="Arial"/>
        </w:rPr>
        <w:t xml:space="preserve">Chapter VII — finance, accounts and audit</w:t>
      </w:r>
      <w:r>
        <w:rPr>
          <w:sz w:val="22"/>
          <w:szCs w:val="22"/>
          <w:rFonts w:ascii="Arial" w:cs="Arial" w:eastAsia="Arial" w:hAnsi="Arial"/>
        </w:rPr>
        <w:t xml:space="preserve"> (Secs 32-35 — grants from the Consolidated Fund; the CAG's audit); </w:t>
      </w:r>
      <w:r>
        <w:rPr>
          <w:b/>
          <w:bCs/>
          <w:sz w:val="22"/>
          <w:szCs w:val="22"/>
          <w:rFonts w:ascii="Arial" w:cs="Arial" w:eastAsia="Arial" w:hAnsi="Arial"/>
        </w:rPr>
        <w:t xml:space="preserve">Chapter VIII — miscellaneous</w:t>
      </w:r>
      <w:r>
        <w:rPr>
          <w:sz w:val="22"/>
          <w:szCs w:val="22"/>
          <w:rFonts w:ascii="Arial" w:cs="Arial" w:eastAsia="Arial" w:hAnsi="Arial"/>
        </w:rPr>
        <w:t xml:space="preserve">: </w:t>
      </w:r>
      <w:r>
        <w:rPr>
          <w:b/>
          <w:bCs/>
          <w:sz w:val="22"/>
          <w:szCs w:val="22"/>
          <w:rFonts w:ascii="Arial" w:cs="Arial" w:eastAsia="Arial" w:hAnsi="Arial"/>
        </w:rPr>
        <w:t xml:space="preserve">Sec 36 — matters not subject to jurisdiction</w:t>
      </w:r>
      <w:r>
        <w:rPr>
          <w:sz w:val="22"/>
          <w:szCs w:val="22"/>
          <w:rFonts w:ascii="Arial" w:cs="Arial" w:eastAsia="Arial" w:hAnsi="Arial"/>
        </w:rPr>
        <w:t xml:space="preserve">: (1) the Commission shall not inquire into any matter which is pending before a State Commission or any other Commission duly constituted under any law; (2) </w:t>
      </w:r>
      <w:r>
        <w:rPr>
          <w:b/>
          <w:bCs/>
          <w:sz w:val="22"/>
          <w:szCs w:val="22"/>
          <w:rFonts w:ascii="Arial" w:cs="Arial" w:eastAsia="Arial" w:hAnsi="Arial"/>
        </w:rPr>
        <w:t xml:space="preserve">the Commission or the State Commission shall not inquire into any matter after the expiry of one year from the date on which the act constituting the violation is alleged to have been committed</w:t>
      </w:r>
      <w:r>
        <w:rPr>
          <w:sz w:val="22"/>
          <w:szCs w:val="22"/>
          <w:rFonts w:ascii="Arial" w:cs="Arial" w:eastAsia="Arial" w:hAnsi="Arial"/>
        </w:rPr>
        <w:t xml:space="preserve"> — the limitation the Commissions apply with some flexibility and that the 2019 amendment left untouched; </w:t>
      </w:r>
      <w:r>
        <w:rPr>
          <w:b/>
          <w:bCs/>
          <w:sz w:val="22"/>
          <w:szCs w:val="22"/>
          <w:rFonts w:ascii="Arial" w:cs="Arial" w:eastAsia="Arial" w:hAnsi="Arial"/>
        </w:rPr>
        <w:t xml:space="preserve">Sec 37</w:t>
      </w:r>
      <w:r>
        <w:rPr>
          <w:sz w:val="22"/>
          <w:szCs w:val="22"/>
          <w:rFonts w:ascii="Arial" w:cs="Arial" w:eastAsia="Arial" w:hAnsi="Arial"/>
        </w:rPr>
        <w:t xml:space="preserve"> — the Government's power to constitute special investigation teams; </w:t>
      </w:r>
      <w:r>
        <w:rPr>
          <w:b/>
          <w:bCs/>
          <w:sz w:val="22"/>
          <w:szCs w:val="22"/>
          <w:rFonts w:ascii="Arial" w:cs="Arial" w:eastAsia="Arial" w:hAnsi="Arial"/>
        </w:rPr>
        <w:t xml:space="preserve">Sec 38</w:t>
      </w:r>
      <w:r>
        <w:rPr>
          <w:sz w:val="22"/>
          <w:szCs w:val="22"/>
          <w:rFonts w:ascii="Arial" w:cs="Arial" w:eastAsia="Arial" w:hAnsi="Arial"/>
        </w:rPr>
        <w:t xml:space="preserve"> — protection of action taken in good faith; </w:t>
      </w:r>
      <w:r>
        <w:rPr>
          <w:b/>
          <w:bCs/>
          <w:sz w:val="22"/>
          <w:szCs w:val="22"/>
          <w:rFonts w:ascii="Arial" w:cs="Arial" w:eastAsia="Arial" w:hAnsi="Arial"/>
        </w:rPr>
        <w:t xml:space="preserve">Sec 39</w:t>
      </w:r>
      <w:r>
        <w:rPr>
          <w:sz w:val="22"/>
          <w:szCs w:val="22"/>
          <w:rFonts w:ascii="Arial" w:cs="Arial" w:eastAsia="Arial" w:hAnsi="Arial"/>
        </w:rPr>
        <w:t xml:space="preserve"> — members and officers as public servants; </w:t>
      </w:r>
      <w:r>
        <w:rPr>
          <w:b/>
          <w:bCs/>
          <w:sz w:val="22"/>
          <w:szCs w:val="22"/>
          <w:rFonts w:ascii="Arial" w:cs="Arial" w:eastAsia="Arial" w:hAnsi="Arial"/>
        </w:rPr>
        <w:t xml:space="preserve">Sec 40-41</w:t>
      </w:r>
      <w:r>
        <w:rPr>
          <w:sz w:val="22"/>
          <w:szCs w:val="22"/>
          <w:rFonts w:ascii="Arial" w:cs="Arial" w:eastAsia="Arial" w:hAnsi="Arial"/>
        </w:rPr>
        <w:t xml:space="preserve"> — rules and regulations; </w:t>
      </w:r>
      <w:r>
        <w:rPr>
          <w:b/>
          <w:bCs/>
          <w:sz w:val="22"/>
          <w:szCs w:val="22"/>
          <w:rFonts w:ascii="Arial" w:cs="Arial" w:eastAsia="Arial" w:hAnsi="Arial"/>
        </w:rPr>
        <w:t xml:space="preserve">Sec 42</w:t>
      </w:r>
      <w:r>
        <w:rPr>
          <w:sz w:val="22"/>
          <w:szCs w:val="22"/>
          <w:rFonts w:ascii="Arial" w:cs="Arial" w:eastAsia="Arial" w:hAnsi="Arial"/>
        </w:rPr>
        <w:t xml:space="preserve"> — removal of difficulties; </w:t>
      </w:r>
      <w:r>
        <w:rPr>
          <w:b/>
          <w:bCs/>
          <w:sz w:val="22"/>
          <w:szCs w:val="22"/>
          <w:rFonts w:ascii="Arial" w:cs="Arial" w:eastAsia="Arial" w:hAnsi="Arial"/>
        </w:rPr>
        <w:t xml:space="preserve">Sec 43</w:t>
      </w:r>
      <w:r>
        <w:rPr>
          <w:sz w:val="22"/>
          <w:szCs w:val="22"/>
          <w:rFonts w:ascii="Arial" w:cs="Arial" w:eastAsia="Arial" w:hAnsi="Arial"/>
        </w:rPr>
        <w:t xml:space="preserve"> — repeal of the ordinance. </w:t>
      </w:r>
      <w:r>
        <w:rPr>
          <w:b/>
          <w:bCs/>
          <w:sz w:val="22"/>
          <w:szCs w:val="22"/>
          <w:rFonts w:ascii="Arial" w:cs="Arial" w:eastAsia="Arial" w:hAnsi="Arial"/>
        </w:rPr>
        <w:t xml:space="preserve">The NHRC's work</w:t>
      </w:r>
      <w:r>
        <w:rPr>
          <w:sz w:val="22"/>
          <w:szCs w:val="22"/>
          <w:rFonts w:ascii="Arial" w:cs="Arial" w:eastAsia="Arial" w:hAnsi="Arial"/>
        </w:rPr>
        <w:t xml:space="preserve">: over a lakh complaints a year (custodial deaths — the 1993 direction that every custodial death be reported within twenty-four hours, and the 1997 guidelines on post-mortems and videography; encounter deaths — the 1997 and 2010 guidelines, and the Supreme Court's PUCL v. State of Maharashtra (2014) directions; the Punjab 'mass cremations' case (1995-2006 — the Supreme Court referred the 2,097 cremations to the NHRC under Art 32, which awarded compensation in over 1,500 cases); the Gujarat 2002 report and interventions; the Manipur 2004 and 2023 inquiries; the 2018 Bhima Koregaon; the bonded-labour and silicosis monitoring under the Supreme Court's orders; the mental-hospital visits; the Covid migrant advisories; the 2020-24 advisories on prisons, the elderly, the transgender persons), the Paris Principles' 'A' status through the Global Alliance of NHRIs (first accredited 1999; re-accredited 2006, 2011, 2017; the review deferred in 2023 and 2024 over the appointment process's lack of transparency and pluralism, the police officers in investigation, the Sec 19 exclusion and the absence of women and minority members — the first time India's status has been questioned; A status retained pending review in 2025). </w:t>
      </w:r>
      <w:r>
        <w:rPr>
          <w:b/>
          <w:bCs/>
          <w:sz w:val="22"/>
          <w:szCs w:val="22"/>
          <w:rFonts w:ascii="Arial" w:cs="Arial" w:eastAsia="Arial" w:hAnsi="Arial"/>
        </w:rPr>
        <w:t xml:space="preserve">The other institutions</w:t>
      </w:r>
      <w:r>
        <w:rPr>
          <w:sz w:val="22"/>
          <w:szCs w:val="22"/>
          <w:rFonts w:ascii="Arial" w:cs="Arial" w:eastAsia="Arial" w:hAnsi="Arial"/>
        </w:rPr>
        <w:t xml:space="preserve">: the National Commissions for Women (1990), Minorities (1992), SCs and STs (Arts 338, 338A — constitutional), Backward Classes (2018 — Art 338B), the Protection of Child Rights (2005), Safai Karamcharis (1993), the Chief Commissioner for Persons with Disabilities (1995/2016), the Central Vigilance Commission, the Lokpal (2013), the National Legal Services Authority (1987 — Art 39A), the Central and State Information Commissions (2005), the Police Complaints Authorities (Prakash Singh, 2006), and the Human Rights Cells in police headquarters — the 'plurality' the Paris Principles contemplate, and the source of the overlap that the 2006 'deemed member' amendment tried to manage.</w:t>
      </w:r>
    </w:p>
    <w:p>
      <w:pPr>
        <w:spacing w:before="240" w:after="120"/>
      </w:pPr>
      <w:r>
        <w:rPr>
          <w:b/>
          <w:bCs/>
          <w:color w:val="404040"/>
          <w:sz w:val="23"/>
          <w:szCs w:val="23"/>
          <w:rFonts w:ascii="Arial" w:cs="Arial" w:eastAsia="Arial" w:hAnsi="Arial"/>
        </w:rPr>
        <w:t xml:space="preserve">An assessment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strengths</w:t>
      </w:r>
      <w:r>
        <w:rPr>
          <w:sz w:val="22"/>
          <w:szCs w:val="22"/>
          <w:rFonts w:ascii="Arial" w:cs="Arial" w:eastAsia="Arial" w:hAnsi="Arial"/>
        </w:rPr>
        <w:t xml:space="preserve"> of the Indian mechanism: a written, justiciable Bill of Rights with a wide Art 21; the Supreme Court's original writ jurisdiction and the PIL; the incorporation of the international instruments by interpretation; the constitutional commissions; a statutory NHRC with quasi-judicial powers and a record of compensation and guidelines; a free press and an active civil society; the ratification of most of the core treaties. </w:t>
      </w:r>
      <w:r>
        <w:rPr>
          <w:b/>
          <w:bCs/>
          <w:sz w:val="22"/>
          <w:szCs w:val="22"/>
          <w:rFonts w:ascii="Arial" w:cs="Arial" w:eastAsia="Arial" w:hAnsi="Arial"/>
        </w:rPr>
        <w:t xml:space="preserve">The weaknesses</w:t>
      </w:r>
      <w:r>
        <w:rPr>
          <w:sz w:val="22"/>
          <w:szCs w:val="22"/>
          <w:rFonts w:ascii="Arial" w:cs="Arial" w:eastAsia="Arial" w:hAnsi="Arial"/>
        </w:rPr>
        <w:t xml:space="preserve">: the non-ratification of the Torture Convention (signed 1997) and of the optional protocols (no international individual complaint lies against India); the absence of domestic legislation on torture (the 2010 Bill lapsed; the Law Commission's 273rd Report, 2017), on genocide and crimes against humanity, on refugees, on witness protection (the 2018 Supreme Court scheme), on whistle-blowers (the 2014 Act not in force), and on police reform (the Prakash Singh directions largely ignored); the AFSPA and the Sec 19 exclusion; the NHRC's recommendatory powers, its one-year limitation, its dependence on Government investigators, its appointment process, and its perceived reticence (the 2023-24 GANHRI deferral); the SHRCs' vacancies and resources; the pendency of the courts (5 crore cases) that makes the fair-trial and speedy-trial rights illusory; the undertrial population (75 per cent of prisoners); the custodial deaths (about 2,000 a year including judicial custody) and the low conviction of police; the preventive-detention laws (the NSA, the UAPA's bail standard — Watali, 2019; the PMLA's — Vijay Madanlal, 2022); the treatment of dissent and the FCRA; the caste and communal violence; the gaps in women's and children's protection. The international scrutiny — the UPR's 2022 recommendations, the Human Rights Committee's 2024 concluding observations, the CERD's and CEDAW's pending reviews, the Special Rapporteurs' communications — and the domestic scrutiny — the NHRC's reports, the courts, the press, the NGOs — are the two channels through which the Vienna Declaration's 'first responsibility of Governments' is measured. The examiner wants the student to know both the machinery and its critique.</w:t>
      </w:r>
    </w:p>
    <w:p>
      <w:pPr>
        <w:pBdr>
          <w:left w:val="single" w:color="CC0000" w:sz="6" w:space="8"/>
        </w:pBdr>
        <w:spacing w:before="80" w:after="80"/>
        <w:ind w:left="300"/>
      </w:pPr>
      <w:r>
        <w:rPr>
          <w:b/>
          <w:bCs/>
          <w:color w:val="CC0000"/>
          <w:sz w:val="21"/>
          <w:szCs w:val="21"/>
          <w:rFonts w:ascii="Arial" w:cs="Arial" w:eastAsia="Arial" w:hAnsi="Arial"/>
        </w:rPr>
        <w:t xml:space="preserve">Chairman, Railway Board v. Chandrima Das (2000) 2 SCC 465 — </w:t>
      </w:r>
      <w:r>
        <w:rPr>
          <w:sz w:val="21"/>
          <w:szCs w:val="21"/>
          <w:rFonts w:ascii="Arial" w:cs="Arial" w:eastAsia="Arial" w:hAnsi="Arial"/>
        </w:rPr>
        <w:t xml:space="preserve">Art 21 protects non-citizens; rape by railway employees is a violation of the right to life with dignity; the UDHR's principles applied through Art 51(c); the State's constitutional liability to compensate under Arts 32 and 226 is a public-law remedy distinct from vicarious liability in tort.</w:t>
      </w:r>
    </w:p>
    <w:p>
      <w:pPr>
        <w:pBdr>
          <w:left w:val="single" w:color="CC0000" w:sz="6" w:space="8"/>
        </w:pBdr>
        <w:spacing w:before="80" w:after="80"/>
        <w:ind w:left="300"/>
      </w:pPr>
      <w:r>
        <w:rPr>
          <w:b/>
          <w:bCs/>
          <w:color w:val="CC0000"/>
          <w:sz w:val="21"/>
          <w:szCs w:val="21"/>
          <w:rFonts w:ascii="Arial" w:cs="Arial" w:eastAsia="Arial" w:hAnsi="Arial"/>
        </w:rPr>
        <w:t xml:space="preserve">Vishaka v. State of Rajasthan (1997) 6 SCC 241; Gramophone Co of India v. Birendra Bahadur Pandey (1984) 2 SCC 534 — </w:t>
      </w:r>
      <w:r>
        <w:rPr>
          <w:sz w:val="21"/>
          <w:szCs w:val="21"/>
          <w:rFonts w:ascii="Arial" w:cs="Arial" w:eastAsia="Arial" w:hAnsi="Arial"/>
        </w:rPr>
        <w:t xml:space="preserve">The rules for using international law in Indian courts: customary law is part of domestic law unless inconsistent with statute; conventions not inconsistent with the fundamental rights are read into them; the Court fills the legislative gap.</w:t>
      </w:r>
    </w:p>
    <w:p>
      <w:pPr>
        <w:pBdr>
          <w:left w:val="single" w:color="CC0000" w:sz="6" w:space="8"/>
        </w:pBdr>
        <w:spacing w:before="80" w:after="80"/>
        <w:ind w:left="300"/>
      </w:pPr>
      <w:r>
        <w:rPr>
          <w:b/>
          <w:bCs/>
          <w:color w:val="CC0000"/>
          <w:sz w:val="21"/>
          <w:szCs w:val="21"/>
          <w:rFonts w:ascii="Arial" w:cs="Arial" w:eastAsia="Arial" w:hAnsi="Arial"/>
        </w:rPr>
        <w:t xml:space="preserve">Nilabati Behera v. State of Orissa (1993) 2 SCC 746 and D.K. Basu v. State of West Bengal (1997) 1 SCC 416 — </w:t>
      </w:r>
      <w:r>
        <w:rPr>
          <w:sz w:val="21"/>
          <w:szCs w:val="21"/>
          <w:rFonts w:ascii="Arial" w:cs="Arial" w:eastAsia="Arial" w:hAnsi="Arial"/>
        </w:rPr>
        <w:t xml:space="preserve">Compensation for custodial death as a constitutional remedy (Art 9(5) ICCPR); the eleven arrest and detention requirements, now in Secs 41A-41D and 50-A CrPC/BNSS 35-38 and 48.</w:t>
      </w:r>
    </w:p>
    <w:p>
      <w:pPr>
        <w:pBdr>
          <w:left w:val="single" w:color="CC0000" w:sz="6" w:space="8"/>
        </w:pBdr>
        <w:spacing w:before="80" w:after="80"/>
        <w:ind w:left="300"/>
      </w:pPr>
      <w:r>
        <w:rPr>
          <w:b/>
          <w:bCs/>
          <w:color w:val="CC0000"/>
          <w:sz w:val="21"/>
          <w:szCs w:val="21"/>
          <w:rFonts w:ascii="Arial" w:cs="Arial" w:eastAsia="Arial" w:hAnsi="Arial"/>
        </w:rPr>
        <w:t xml:space="preserve">National Human Rights Commission v. State of Arunachal Pradesh (1996) 1 SCC 742 — </w:t>
      </w:r>
      <w:r>
        <w:rPr>
          <w:sz w:val="21"/>
          <w:szCs w:val="21"/>
          <w:rFonts w:ascii="Arial" w:cs="Arial" w:eastAsia="Arial" w:hAnsi="Arial"/>
        </w:rPr>
        <w:t xml:space="preserve">The NHRC's standing under Sec 18(b) to move the Supreme Court; the Chakmas' Art 21 rights; the State's duty to protect.</w:t>
      </w:r>
    </w:p>
    <w:p>
      <w:pPr>
        <w:pBdr>
          <w:left w:val="single" w:color="CC0000" w:sz="6" w:space="8"/>
        </w:pBdr>
        <w:spacing w:before="80" w:after="80"/>
        <w:ind w:left="300"/>
      </w:pPr>
      <w:r>
        <w:rPr>
          <w:b/>
          <w:bCs/>
          <w:color w:val="CC0000"/>
          <w:sz w:val="21"/>
          <w:szCs w:val="21"/>
          <w:rFonts w:ascii="Arial" w:cs="Arial" w:eastAsia="Arial" w:hAnsi="Arial"/>
        </w:rPr>
        <w:t xml:space="preserve">Paramjit Kaur v. State of Punjab (1996) 7 SCC 20 and (1999) 2 SCC 131 — </w:t>
      </w:r>
      <w:r>
        <w:rPr>
          <w:sz w:val="21"/>
          <w:szCs w:val="21"/>
          <w:rFonts w:ascii="Arial" w:cs="Arial" w:eastAsia="Arial" w:hAnsi="Arial"/>
        </w:rPr>
        <w:t xml:space="preserve">The Punjab mass-cremations matter referred by the Supreme Court to the NHRC under Art 32; the NHRC's jurisdiction in such a reference is sui generis and not limited by the Act's one-year rule or Sec 19; compensation awarded in over 1,500 cases.</w:t>
      </w:r>
    </w:p>
    <w:p>
      <w:pPr>
        <w:pBdr>
          <w:left w:val="single" w:color="CC0000" w:sz="6" w:space="8"/>
        </w:pBdr>
        <w:spacing w:before="80" w:after="80"/>
        <w:ind w:left="300"/>
      </w:pPr>
      <w:r>
        <w:rPr>
          <w:b/>
          <w:bCs/>
          <w:color w:val="CC0000"/>
          <w:sz w:val="21"/>
          <w:szCs w:val="21"/>
          <w:rFonts w:ascii="Arial" w:cs="Arial" w:eastAsia="Arial" w:hAnsi="Arial"/>
        </w:rPr>
        <w:t xml:space="preserve">Extra Judicial Execution Victim Families Association v. Union of India (2016) 14 SCC 536 — </w:t>
      </w:r>
      <w:r>
        <w:rPr>
          <w:sz w:val="21"/>
          <w:szCs w:val="21"/>
          <w:rFonts w:ascii="Arial" w:cs="Arial" w:eastAsia="Arial" w:hAnsi="Arial"/>
        </w:rPr>
        <w:t xml:space="preserve">The 1,528 alleged encounter deaths in Manipur to be investigated; the AFSPA does not confer immunity for excessive force; the armed forces' 'dos and don'ts'; the NHRC's role and the CBI's inquiry; the Sec 19 limitation criticised.</w:t>
      </w:r>
    </w:p>
    <w:p>
      <w:pPr>
        <w:pBdr>
          <w:left w:val="single" w:color="CC0000" w:sz="6" w:space="8"/>
        </w:pBdr>
        <w:spacing w:before="80" w:after="80"/>
        <w:ind w:left="300"/>
      </w:pPr>
      <w:r>
        <w:rPr>
          <w:b/>
          <w:bCs/>
          <w:color w:val="CC0000"/>
          <w:sz w:val="21"/>
          <w:szCs w:val="21"/>
          <w:rFonts w:ascii="Arial" w:cs="Arial" w:eastAsia="Arial" w:hAnsi="Arial"/>
        </w:rPr>
        <w:t xml:space="preserve">Puttaswamy v. Union of India (2017) 10 SCC 1 — </w:t>
      </w:r>
      <w:r>
        <w:rPr>
          <w:sz w:val="21"/>
          <w:szCs w:val="21"/>
          <w:rFonts w:ascii="Arial" w:cs="Arial" w:eastAsia="Arial" w:hAnsi="Arial"/>
        </w:rPr>
        <w:t xml:space="preserve">Privacy as a fundamental right under Arts 14, 19 and 21; ADM Jabalpur overruled; Art 17 ICCPR and Art 12 UDHR as interpretive sources; the proportionality test for restrictions — the modern statement of the constitutional human-rights method.</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NHRC's HRCNet portal receives and tracks complaints online (with the SHRCs on the same platform); its 2023 advisories cover digital rights and cybercrime victims; the Supreme Court's e-Committee and live-streaming apply the open-justice principle; the NALSA's Tele-Law scheme delivers Art 39A digitally; and the GANHRI accreditation reports are public — the 2023-24 deferral documents are the newest source on the NHRC's standing.</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'Definition of human rights under the PHR Act', 'Composition of the NHRC (after 2019)', 'Functions of the NHRC (Sec 12)', 'Powers of the NHRC (Sec 13)', 'Sec 18 — steps after inquiry', 'Sec 19 — armed forces', 'State Human Rights Commission', 'Human Rights Courts (Sec 30)', 'Sec 36 — one-year limitation', 'Paris Principles', 'Art 51(c)', 'Art 253', 'Chandrima Das case', 'Public interest litigation'. Part B: 'Explain the constitutional mechanism for the implementation of international human-rights law in India, with reference to Art 51(c), Art 253 and the leading cases'; or 'Describe the composition, functions and powers of the National Human Rights Commission under the Protection of Human Rights Act 1993 and evaluate its working'; or 'Discuss the State Human Rights Commissions and the Human Rights Courts'; or 'Is the NHRC a toothless tiger? Examine with reference to Secs 18, 19 and 36 and the 2019 amendment'. Part C: a foreign tourist is assaulted by policemen — Art 21 applies to non-citizens (Chandrima Das, Chakma), compensation under Art 226, NHRC complaint within a year; a custodial death occurs in a paramilitary camp — Sec 19, the NHRC may only seek a report; the courts and the CBI remain (EEVFAM); a complaint is filed with the NHRC two years after the violation — Sec 36(2) bars it, unless the Supreme Court refers it (Paramjit Kaur) or a continuing violation is shown; a State refuses to act on the NHRC's compensation recommendation — Sec 18(e)-(f) publication, Sec 18(b) writ, the Government's reasons to Parliament under Sec 20; a court is asked to apply the Torture Convention which India has only signed — not binding, but the customary prohibition and Art 21 (Puttaswamy; D.K. Basu) give the same result.</w:t>
      </w:r>
    </w:p>
    <w:p>
      <w:r>
        <w:br w:type="page"/>
      </w:r>
    </w:p>
    <w:p>
      <w:pPr>
        <w:pStyle w:val="Heading1"/>
        <w:spacing w:before="480" w:after="200"/>
      </w:pPr>
      <w:r>
        <w:rPr>
          <w:b/>
          <w:bCs/>
          <w:color w:val="1F4E79"/>
          <w:sz w:val="32"/>
          <w:szCs w:val="32"/>
          <w:rFonts w:ascii="Arial" w:cs="Arial" w:eastAsia="Arial" w:hAnsi="Arial"/>
        </w:rPr>
        <w:t xml:space="preserve">Part C Drill Bank — 10 Problems with IRAC Answers</w:t>
      </w:r>
    </w:p>
    <w:p>
      <w:pPr>
        <w:spacing w:after="120" w:line="300"/>
        <w:jc w:val="both"/>
      </w:pPr>
      <w:r>
        <w:rPr>
          <w:sz w:val="22"/>
          <w:szCs w:val="22"/>
          <w:rFonts w:ascii="Arial" w:cs="Arial" w:eastAsia="Arial" w:hAnsi="Arial"/>
        </w:rPr>
        <w:t xml:space="preserve">Write each answer as Issue → Rule (instrument, article and case) → Application → Conclusion. Ten to twelve lines each in the exam.</w:t>
      </w:r>
    </w:p>
    <w:p>
      <w:pPr>
        <w:spacing w:before="240" w:after="120"/>
      </w:pPr>
      <w:r>
        <w:rPr>
          <w:b/>
          <w:bCs/>
          <w:color w:val="404040"/>
          <w:sz w:val="23"/>
          <w:szCs w:val="23"/>
          <w:rFonts w:ascii="Arial" w:cs="Arial" w:eastAsia="Arial" w:hAnsi="Arial"/>
        </w:rPr>
        <w:t xml:space="preserve">1. The order to fire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During a coup, a colonel orders his battalion to fire on a crowd of unarmed protesters; a captain who refuses is shot; a lieutenant obeys and forty die. The colonel later says he acted under the junta's decree; the lieutenant says he obeyed orders.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Individual responsibility and the defences of national law and superior orders. </w:t>
      </w:r>
      <w:r>
        <w:rPr>
          <w:b/>
          <w:bCs/>
          <w:sz w:val="22"/>
          <w:szCs w:val="22"/>
          <w:rFonts w:ascii="Arial" w:cs="Arial" w:eastAsia="Arial" w:hAnsi="Arial"/>
        </w:rPr>
        <w:t xml:space="preserve">Rule:</w:t>
      </w:r>
      <w:r>
        <w:rPr>
          <w:sz w:val="22"/>
          <w:szCs w:val="22"/>
          <w:rFonts w:ascii="Arial" w:cs="Arial" w:eastAsia="Arial" w:hAnsi="Arial"/>
        </w:rPr>
        <w:t xml:space="preserve"> Nuremberg Principles II-IV (internal law and superior orders no defence); Rome Statute Arts 7 (crimes against humanity — a widespread or systematic attack on a civilian population), 25, 27, 33 (orders to commit crimes against humanity are manifestly unlawful); Art 6 ICCPR; Velásquez Rodríguez on the State's duty. </w:t>
      </w:r>
      <w:r>
        <w:rPr>
          <w:b/>
          <w:bCs/>
          <w:sz w:val="22"/>
          <w:szCs w:val="22"/>
          <w:rFonts w:ascii="Arial" w:cs="Arial" w:eastAsia="Arial" w:hAnsi="Arial"/>
        </w:rPr>
        <w:t xml:space="preserve">Application:</w:t>
      </w:r>
      <w:r>
        <w:rPr>
          <w:sz w:val="22"/>
          <w:szCs w:val="22"/>
          <w:rFonts w:ascii="Arial" w:cs="Arial" w:eastAsia="Arial" w:hAnsi="Arial"/>
        </w:rPr>
        <w:t xml:space="preserve"> Firing on unarmed protesters as part of a coup is murder as a crime against humanity if widespread or systematic; the decree is no defence; the lieutenant's order was manifestly unlawful. </w:t>
      </w:r>
      <w:r>
        <w:rPr>
          <w:b/>
          <w:bCs/>
          <w:sz w:val="22"/>
          <w:szCs w:val="22"/>
          <w:rFonts w:ascii="Arial" w:cs="Arial" w:eastAsia="Arial" w:hAnsi="Arial"/>
        </w:rPr>
        <w:t xml:space="preserve">Conclusion:</w:t>
      </w:r>
      <w:r>
        <w:rPr>
          <w:sz w:val="22"/>
          <w:szCs w:val="22"/>
          <w:rFonts w:ascii="Arial" w:cs="Arial" w:eastAsia="Arial" w:hAnsi="Arial"/>
        </w:rPr>
        <w:t xml:space="preserve"> Both are criminally responsible internationally (the ICC if the State is a party or the Council refers; universal jurisdiction otherwise); the State is responsible under the Covenant; the captain's killing is an additional crime.</w:t>
      </w:r>
    </w:p>
    <w:p>
      <w:pPr>
        <w:spacing w:before="240" w:after="120"/>
      </w:pPr>
      <w:r>
        <w:rPr>
          <w:b/>
          <w:bCs/>
          <w:color w:val="404040"/>
          <w:sz w:val="23"/>
          <w:szCs w:val="23"/>
          <w:rFonts w:ascii="Arial" w:cs="Arial" w:eastAsia="Arial" w:hAnsi="Arial"/>
        </w:rPr>
        <w:t xml:space="preserve">2. The Rohingya family</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Rohingya family registered with UNHCR in Delhi is detained under the Foreigners Act and scheduled for deportation to Myanmar, where the ICJ has ordered provisional measures under the Genocide Convention.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Non-refoulement in India. </w:t>
      </w:r>
      <w:r>
        <w:rPr>
          <w:b/>
          <w:bCs/>
          <w:sz w:val="22"/>
          <w:szCs w:val="22"/>
          <w:rFonts w:ascii="Arial" w:cs="Arial" w:eastAsia="Arial" w:hAnsi="Arial"/>
        </w:rPr>
        <w:t xml:space="preserve">Rule:</w:t>
      </w:r>
      <w:r>
        <w:rPr>
          <w:sz w:val="22"/>
          <w:szCs w:val="22"/>
          <w:rFonts w:ascii="Arial" w:cs="Arial" w:eastAsia="Arial" w:hAnsi="Arial"/>
        </w:rPr>
        <w:t xml:space="preserve"> India is not a party to the 1951 Convention; Art 33 is customary law; Art 3 CAT (signed) and Arts 6-7 ICCPR (ratified) prohibit return to torture or death (Chahal; Soering; GC 31); Art 21 applies to non-citizens (Chakma; Ktaer Abbas — non-refoulement within Art 21); Mohammad Salimullah (2021) — deportation permitted by procedure, the right not to be deported concomitant to Art 19(1)(e); The Gambia v. Myanmar's provisional measures show the risk. </w:t>
      </w:r>
      <w:r>
        <w:rPr>
          <w:b/>
          <w:bCs/>
          <w:sz w:val="22"/>
          <w:szCs w:val="22"/>
          <w:rFonts w:ascii="Arial" w:cs="Arial" w:eastAsia="Arial" w:hAnsi="Arial"/>
        </w:rPr>
        <w:t xml:space="preserve">Application:</w:t>
      </w:r>
      <w:r>
        <w:rPr>
          <w:sz w:val="22"/>
          <w:szCs w:val="22"/>
          <w:rFonts w:ascii="Arial" w:cs="Arial" w:eastAsia="Arial" w:hAnsi="Arial"/>
        </w:rPr>
        <w:t xml:space="preserve"> The deportation would return them to a State under ICJ orders for genocide-risk; Salimullah leaves the Art 21 question open; the risk is real and individualised. </w:t>
      </w:r>
      <w:r>
        <w:rPr>
          <w:b/>
          <w:bCs/>
          <w:sz w:val="22"/>
          <w:szCs w:val="22"/>
          <w:rFonts w:ascii="Arial" w:cs="Arial" w:eastAsia="Arial" w:hAnsi="Arial"/>
        </w:rPr>
        <w:t xml:space="preserve">Conclusion:</w:t>
      </w:r>
      <w:r>
        <w:rPr>
          <w:sz w:val="22"/>
          <w:szCs w:val="22"/>
          <w:rFonts w:ascii="Arial" w:cs="Arial" w:eastAsia="Arial" w:hAnsi="Arial"/>
        </w:rPr>
        <w:t xml:space="preserve"> A writ under Art 226/32 should seek a stay on Art 21 grounds with the ICJ's findings; at minimum the procedure (verification by Myanmar, no deportation of asylum-seekers under UNHCR cards) must be followed; the case is arguable both ways after Salimullah.</w:t>
      </w:r>
    </w:p>
    <w:p>
      <w:pPr>
        <w:spacing w:before="240" w:after="120"/>
      </w:pPr>
      <w:r>
        <w:rPr>
          <w:b/>
          <w:bCs/>
          <w:color w:val="404040"/>
          <w:sz w:val="23"/>
          <w:szCs w:val="23"/>
          <w:rFonts w:ascii="Arial" w:cs="Arial" w:eastAsia="Arial" w:hAnsi="Arial"/>
        </w:rPr>
        <w:t xml:space="preserve">3. The women's-only bar rule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State law bars women under twenty-five from working in premises serving liquor 'for their safety'. A hotel workers' union challenges it.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Protective discrimination vs stereotype. </w:t>
      </w:r>
      <w:r>
        <w:rPr>
          <w:b/>
          <w:bCs/>
          <w:sz w:val="22"/>
          <w:szCs w:val="22"/>
          <w:rFonts w:ascii="Arial" w:cs="Arial" w:eastAsia="Arial" w:hAnsi="Arial"/>
        </w:rPr>
        <w:t xml:space="preserve">Rule:</w:t>
      </w:r>
      <w:r>
        <w:rPr>
          <w:sz w:val="22"/>
          <w:szCs w:val="22"/>
          <w:rFonts w:ascii="Arial" w:cs="Arial" w:eastAsia="Arial" w:hAnsi="Arial"/>
        </w:rPr>
        <w:t xml:space="preserve"> Art 15(1) and (3), Art 19(1)(g); CEDAW Arts 2, 5(a), 11 and GR 25 (special measures must aim at equality, not at protection based on stereotypes); Anuj Garg v. Hotel Association (2008) — the same law struck down as perpetuating stereotypes; Babita Puniya (2020). </w:t>
      </w:r>
      <w:r>
        <w:rPr>
          <w:b/>
          <w:bCs/>
          <w:sz w:val="22"/>
          <w:szCs w:val="22"/>
          <w:rFonts w:ascii="Arial" w:cs="Arial" w:eastAsia="Arial" w:hAnsi="Arial"/>
        </w:rPr>
        <w:t xml:space="preserve">Application:</w:t>
      </w:r>
      <w:r>
        <w:rPr>
          <w:sz w:val="22"/>
          <w:szCs w:val="22"/>
          <w:rFonts w:ascii="Arial" w:cs="Arial" w:eastAsia="Arial" w:hAnsi="Arial"/>
        </w:rPr>
        <w:t xml:space="preserve"> The law restricts women's employment on paternalistic grounds; the State must secure safety by policing, not exclusion; it does not meet Art 4 CEDAW's test of a temporary special measure. </w:t>
      </w:r>
      <w:r>
        <w:rPr>
          <w:b/>
          <w:bCs/>
          <w:sz w:val="22"/>
          <w:szCs w:val="22"/>
          <w:rFonts w:ascii="Arial" w:cs="Arial" w:eastAsia="Arial" w:hAnsi="Arial"/>
        </w:rPr>
        <w:t xml:space="preserve">Conclusion:</w:t>
      </w:r>
      <w:r>
        <w:rPr>
          <w:sz w:val="22"/>
          <w:szCs w:val="22"/>
          <w:rFonts w:ascii="Arial" w:cs="Arial" w:eastAsia="Arial" w:hAnsi="Arial"/>
        </w:rPr>
        <w:t xml:space="preserve"> Unconstitutional; the State's Art 15(3) power cannot be used to disadvantage women.</w:t>
      </w:r>
    </w:p>
    <w:p>
      <w:pPr>
        <w:spacing w:before="240" w:after="120"/>
      </w:pPr>
      <w:r>
        <w:rPr>
          <w:b/>
          <w:bCs/>
          <w:color w:val="404040"/>
          <w:sz w:val="23"/>
          <w:szCs w:val="23"/>
          <w:rFonts w:ascii="Arial" w:cs="Arial" w:eastAsia="Arial" w:hAnsi="Arial"/>
        </w:rPr>
        <w:t xml:space="preserve">4. The mine and the gram sabha</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company obtains a lease for bauxite mining in a Scheduled Area of Andhra Pradesh; the gram sabhas were 'informed' but not consulted; the tribals worship a hill in the lease area.</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Consent and consultation of indigenous communities. </w:t>
      </w:r>
      <w:r>
        <w:rPr>
          <w:b/>
          <w:bCs/>
          <w:sz w:val="22"/>
          <w:szCs w:val="22"/>
          <w:rFonts w:ascii="Arial" w:cs="Arial" w:eastAsia="Arial" w:hAnsi="Arial"/>
        </w:rPr>
        <w:t xml:space="preserve">Rule:</w:t>
      </w:r>
      <w:r>
        <w:rPr>
          <w:sz w:val="22"/>
          <w:szCs w:val="22"/>
          <w:rFonts w:ascii="Arial" w:cs="Arial" w:eastAsia="Arial" w:hAnsi="Arial"/>
        </w:rPr>
        <w:t xml:space="preserve"> Fifth Schedule and the A.P. Land Transfer Regulation (Samatha — leases to non-tribals void, 'person' includes Government); PESA Sec 4(i) (consultation before acquisition); Forest Rights Act Secs 3(1)(e), 4(d), 5 and 6 (the gram sabha's authority; habitat rights; religious and cultural rights); Niyamgiri (2013) — the gram sabha decides whether the project infringes those rights; ILO 169 Arts 6, 15 and UNDRIP Arts 19, 32 (FPIC) as persuasive; the 2013 Land Acquisition Act Sec 41. </w:t>
      </w:r>
      <w:r>
        <w:rPr>
          <w:b/>
          <w:bCs/>
          <w:sz w:val="22"/>
          <w:szCs w:val="22"/>
          <w:rFonts w:ascii="Arial" w:cs="Arial" w:eastAsia="Arial" w:hAnsi="Arial"/>
        </w:rPr>
        <w:t xml:space="preserve">Application:</w:t>
      </w:r>
      <w:r>
        <w:rPr>
          <w:sz w:val="22"/>
          <w:szCs w:val="22"/>
          <w:rFonts w:ascii="Arial" w:cs="Arial" w:eastAsia="Arial" w:hAnsi="Arial"/>
        </w:rPr>
        <w:t xml:space="preserve"> 'Information' is not consultation; the hill's religious significance triggers the FRA process; the lease to a company is barred by the Regulation if the company is a non-tribal. </w:t>
      </w:r>
      <w:r>
        <w:rPr>
          <w:b/>
          <w:bCs/>
          <w:sz w:val="22"/>
          <w:szCs w:val="22"/>
          <w:rFonts w:ascii="Arial" w:cs="Arial" w:eastAsia="Arial" w:hAnsi="Arial"/>
        </w:rPr>
        <w:t xml:space="preserve">Conclusion:</w:t>
      </w:r>
      <w:r>
        <w:rPr>
          <w:sz w:val="22"/>
          <w:szCs w:val="22"/>
          <w:rFonts w:ascii="Arial" w:cs="Arial" w:eastAsia="Arial" w:hAnsi="Arial"/>
        </w:rPr>
        <w:t xml:space="preserve"> The lease is void under Samatha; even otherwise, the Niyamgiri procedure must be followed and the gram sabhas' decision respected.</w:t>
      </w:r>
    </w:p>
    <w:p>
      <w:pPr>
        <w:spacing w:before="240" w:after="120"/>
      </w:pPr>
      <w:r>
        <w:rPr>
          <w:b/>
          <w:bCs/>
          <w:color w:val="404040"/>
          <w:sz w:val="23"/>
          <w:szCs w:val="23"/>
          <w:rFonts w:ascii="Arial" w:cs="Arial" w:eastAsia="Arial" w:hAnsi="Arial"/>
        </w:rPr>
        <w:t xml:space="preserve">5. The confession by video</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country's army captures an enemy soldier, broadcasts his interrogation on television, and after the ceasefire keeps him for eighteen months pending 'a comprehensive settlement'.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POW protections. </w:t>
      </w:r>
      <w:r>
        <w:rPr>
          <w:b/>
          <w:bCs/>
          <w:sz w:val="22"/>
          <w:szCs w:val="22"/>
          <w:rFonts w:ascii="Arial" w:cs="Arial" w:eastAsia="Arial" w:hAnsi="Arial"/>
        </w:rPr>
        <w:t xml:space="preserve">Rule:</w:t>
      </w:r>
      <w:r>
        <w:rPr>
          <w:sz w:val="22"/>
          <w:szCs w:val="22"/>
          <w:rFonts w:ascii="Arial" w:cs="Arial" w:eastAsia="Arial" w:hAnsi="Arial"/>
        </w:rPr>
        <w:t xml:space="preserve"> GC III Art 13 (no exposure to public curiosity), Art 17 (only name, rank, number; no coercion), Art 118 (release and repatriation without delay after the cessation of active hostilities); the Abhinandan (2019) and 1971 precedents; grave breaches under Art 130 for wilful deprivation of rights; the ICRC's Art 126 access. </w:t>
      </w:r>
      <w:r>
        <w:rPr>
          <w:b/>
          <w:bCs/>
          <w:sz w:val="22"/>
          <w:szCs w:val="22"/>
          <w:rFonts w:ascii="Arial" w:cs="Arial" w:eastAsia="Arial" w:hAnsi="Arial"/>
        </w:rPr>
        <w:t xml:space="preserve">Application:</w:t>
      </w:r>
      <w:r>
        <w:rPr>
          <w:sz w:val="22"/>
          <w:szCs w:val="22"/>
          <w:rFonts w:ascii="Arial" w:cs="Arial" w:eastAsia="Arial" w:hAnsi="Arial"/>
        </w:rPr>
        <w:t xml:space="preserve"> The broadcast breaches Arts 13 and 17; the detention after the ceasefire for political reasons breaches Art 118 (the 1971 argument that a peace settlement was needed was widely criticised). </w:t>
      </w:r>
      <w:r>
        <w:rPr>
          <w:b/>
          <w:bCs/>
          <w:sz w:val="22"/>
          <w:szCs w:val="22"/>
          <w:rFonts w:ascii="Arial" w:cs="Arial" w:eastAsia="Arial" w:hAnsi="Arial"/>
        </w:rPr>
        <w:t xml:space="preserve">Conclusion:</w:t>
      </w:r>
      <w:r>
        <w:rPr>
          <w:sz w:val="22"/>
          <w:szCs w:val="22"/>
          <w:rFonts w:ascii="Arial" w:cs="Arial" w:eastAsia="Arial" w:hAnsi="Arial"/>
        </w:rPr>
        <w:t xml:space="preserve"> The detaining State is in breach; the captured soldier's State may invoke common Art 1, the Protecting Power, the ICRC, and the Security Council; the individuals responsible for the broadcast and prolonged detention may be prosecuted for grave breaches.</w:t>
      </w:r>
    </w:p>
    <w:p>
      <w:pPr>
        <w:spacing w:before="240" w:after="120"/>
      </w:pPr>
      <w:r>
        <w:rPr>
          <w:b/>
          <w:bCs/>
          <w:color w:val="404040"/>
          <w:sz w:val="23"/>
          <w:szCs w:val="23"/>
          <w:rFonts w:ascii="Arial" w:cs="Arial" w:eastAsia="Arial" w:hAnsi="Arial"/>
        </w:rPr>
        <w:t xml:space="preserve">6. The critic in prison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blogger is jailed for two years under a 'false news' law for criticising the President's economic policy; he applies to the Human Rights Committee.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Admissibility and merits under the ICCPR. </w:t>
      </w:r>
      <w:r>
        <w:rPr>
          <w:b/>
          <w:bCs/>
          <w:sz w:val="22"/>
          <w:szCs w:val="22"/>
          <w:rFonts w:ascii="Arial" w:cs="Arial" w:eastAsia="Arial" w:hAnsi="Arial"/>
        </w:rPr>
        <w:t xml:space="preserve">Rule:</w:t>
      </w:r>
      <w:r>
        <w:rPr>
          <w:sz w:val="22"/>
          <w:szCs w:val="22"/>
          <w:rFonts w:ascii="Arial" w:cs="Arial" w:eastAsia="Arial" w:hAnsi="Arial"/>
        </w:rPr>
        <w:t xml:space="preserve"> Art 19(2)-(3) and GC 34 — restrictions must be provided by law, necessary and proportionate to a listed aim; criticism of public figures is protected; 'false news' laws are incompatible; Art 9; the First Optional Protocol's admissibility (Art 1 — the State must be a party; Art 5(2)(b) — exhaustion; not under another procedure). </w:t>
      </w:r>
      <w:r>
        <w:rPr>
          <w:b/>
          <w:bCs/>
          <w:sz w:val="22"/>
          <w:szCs w:val="22"/>
          <w:rFonts w:ascii="Arial" w:cs="Arial" w:eastAsia="Arial" w:hAnsi="Arial"/>
        </w:rPr>
        <w:t xml:space="preserve">Application:</w:t>
      </w:r>
      <w:r>
        <w:rPr>
          <w:sz w:val="22"/>
          <w:szCs w:val="22"/>
          <w:rFonts w:ascii="Arial" w:cs="Arial" w:eastAsia="Arial" w:hAnsi="Arial"/>
        </w:rPr>
        <w:t xml:space="preserve"> If his State is a Protocol party and he has exhausted remedies, the communication is admissible; a two-year sentence for policy criticism fails necessity and proportionality (GC 34 para 47; the Committee's Belarus and Cameroon views). </w:t>
      </w:r>
      <w:r>
        <w:rPr>
          <w:b/>
          <w:bCs/>
          <w:sz w:val="22"/>
          <w:szCs w:val="22"/>
          <w:rFonts w:ascii="Arial" w:cs="Arial" w:eastAsia="Arial" w:hAnsi="Arial"/>
        </w:rPr>
        <w:t xml:space="preserve">Conclusion:</w:t>
      </w:r>
      <w:r>
        <w:rPr>
          <w:sz w:val="22"/>
          <w:szCs w:val="22"/>
          <w:rFonts w:ascii="Arial" w:cs="Arial" w:eastAsia="Arial" w:hAnsi="Arial"/>
        </w:rPr>
        <w:t xml:space="preserve"> A finding of violation of Arts 19 and 9, with release and compensation recommended; if the State is not a Protocol party (as India is not), the remedy is the Special Rapporteur on freedom of expression's communication and the Working Group on Arbitrary Detention.</w:t>
      </w:r>
    </w:p>
    <w:p>
      <w:pPr>
        <w:spacing w:before="240" w:after="120"/>
      </w:pPr>
      <w:r>
        <w:rPr>
          <w:b/>
          <w:bCs/>
          <w:color w:val="404040"/>
          <w:sz w:val="23"/>
          <w:szCs w:val="23"/>
          <w:rFonts w:ascii="Arial" w:cs="Arial" w:eastAsia="Arial" w:hAnsi="Arial"/>
        </w:rPr>
        <w:t xml:space="preserve">7. The extradition to the death penalty</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India seeks extradition from a European State of an accused in a terrorism case punishable with death; the requested State's court refuses unless India gives assurances.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Non-refoulement and the death penalty in extradition. </w:t>
      </w:r>
      <w:r>
        <w:rPr>
          <w:b/>
          <w:bCs/>
          <w:sz w:val="22"/>
          <w:szCs w:val="22"/>
          <w:rFonts w:ascii="Arial" w:cs="Arial" w:eastAsia="Arial" w:hAnsi="Arial"/>
        </w:rPr>
        <w:t xml:space="preserve">Rule:</w:t>
      </w:r>
      <w:r>
        <w:rPr>
          <w:sz w:val="22"/>
          <w:szCs w:val="22"/>
          <w:rFonts w:ascii="Arial" w:cs="Arial" w:eastAsia="Arial" w:hAnsi="Arial"/>
        </w:rPr>
        <w:t xml:space="preserve"> ECHR Arts 2 and 3 with Protocols 6 and 13 (Soering; Öcalan; Al-Saadoon — no extradition to face the death penalty); Chahal (Art 3 absolute); the EU Charter Art 19(2); the requested State's extradition law; India's practice of giving assurances (the Abu Salem assurance to Portugal, 2002 — honoured by the Supreme Court in Abu Salem v. State of Maharashtra, 2022, capping the sentence at twenty-five years). </w:t>
      </w:r>
      <w:r>
        <w:rPr>
          <w:b/>
          <w:bCs/>
          <w:sz w:val="22"/>
          <w:szCs w:val="22"/>
          <w:rFonts w:ascii="Arial" w:cs="Arial" w:eastAsia="Arial" w:hAnsi="Arial"/>
        </w:rPr>
        <w:t xml:space="preserve">Application:</w:t>
      </w:r>
      <w:r>
        <w:rPr>
          <w:sz w:val="22"/>
          <w:szCs w:val="22"/>
          <w:rFonts w:ascii="Arial" w:cs="Arial" w:eastAsia="Arial" w:hAnsi="Arial"/>
        </w:rPr>
        <w:t xml:space="preserve"> Without an assurance that the death penalty will not be imposed or executed, and on prison conditions (the Nirav Modi and Sanjay Bhandari cases), extradition will be refused. </w:t>
      </w:r>
      <w:r>
        <w:rPr>
          <w:b/>
          <w:bCs/>
          <w:sz w:val="22"/>
          <w:szCs w:val="22"/>
          <w:rFonts w:ascii="Arial" w:cs="Arial" w:eastAsia="Arial" w:hAnsi="Arial"/>
        </w:rPr>
        <w:t xml:space="preserve">Conclusion:</w:t>
      </w:r>
      <w:r>
        <w:rPr>
          <w:sz w:val="22"/>
          <w:szCs w:val="22"/>
          <w:rFonts w:ascii="Arial" w:cs="Arial" w:eastAsia="Arial" w:hAnsi="Arial"/>
        </w:rPr>
        <w:t xml:space="preserve"> India must give a binding assurance; the Indian courts will hold the Government to it (Abu Salem).</w:t>
      </w:r>
    </w:p>
    <w:p>
      <w:pPr>
        <w:spacing w:before="240" w:after="120"/>
      </w:pPr>
      <w:r>
        <w:rPr>
          <w:b/>
          <w:bCs/>
          <w:color w:val="404040"/>
          <w:sz w:val="23"/>
          <w:szCs w:val="23"/>
          <w:rFonts w:ascii="Arial" w:cs="Arial" w:eastAsia="Arial" w:hAnsi="Arial"/>
        </w:rPr>
        <w:t xml:space="preserve">8. The NHRC's recommendation ignored</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The NHRC finds a custodial death in a State police station, recommends ₹10 lakh compensation and prosecution of three constables; the State does nothing for a year.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Enforcement of the NHRC's findings. </w:t>
      </w:r>
      <w:r>
        <w:rPr>
          <w:b/>
          <w:bCs/>
          <w:sz w:val="22"/>
          <w:szCs w:val="22"/>
          <w:rFonts w:ascii="Arial" w:cs="Arial" w:eastAsia="Arial" w:hAnsi="Arial"/>
        </w:rPr>
        <w:t xml:space="preserve">Rule:</w:t>
      </w:r>
      <w:r>
        <w:rPr>
          <w:sz w:val="22"/>
          <w:szCs w:val="22"/>
          <w:rFonts w:ascii="Arial" w:cs="Arial" w:eastAsia="Arial" w:hAnsi="Arial"/>
        </w:rPr>
        <w:t xml:space="preserve"> PHR Act Sec 18(a)(i)-(ii), (b), (e), (f); Sec 20; Sec 13's inquiry powers; Nilabati Behera and D.K. Basu (compensation under Art 32/226); NHRC v. Arunachal Pradesh (standing); the 1993 custodial-death reporting direction; Art 9(5) ICCPR. </w:t>
      </w:r>
      <w:r>
        <w:rPr>
          <w:b/>
          <w:bCs/>
          <w:sz w:val="22"/>
          <w:szCs w:val="22"/>
          <w:rFonts w:ascii="Arial" w:cs="Arial" w:eastAsia="Arial" w:hAnsi="Arial"/>
        </w:rPr>
        <w:t xml:space="preserve">Application:</w:t>
      </w:r>
      <w:r>
        <w:rPr>
          <w:sz w:val="22"/>
          <w:szCs w:val="22"/>
          <w:rFonts w:ascii="Arial" w:cs="Arial" w:eastAsia="Arial" w:hAnsi="Arial"/>
        </w:rPr>
        <w:t xml:space="preserve"> The Commission may publish the report with the State's non-compliance, move the High Court under Sec 18(b) for a writ directing payment and prosecution, and report to Parliament; the victim's family may itself petition under Art 226 relying on the NHRC's findings. </w:t>
      </w:r>
      <w:r>
        <w:rPr>
          <w:b/>
          <w:bCs/>
          <w:sz w:val="22"/>
          <w:szCs w:val="22"/>
          <w:rFonts w:ascii="Arial" w:cs="Arial" w:eastAsia="Arial" w:hAnsi="Arial"/>
        </w:rPr>
        <w:t xml:space="preserve">Conclusion:</w:t>
      </w:r>
      <w:r>
        <w:rPr>
          <w:sz w:val="22"/>
          <w:szCs w:val="22"/>
          <w:rFonts w:ascii="Arial" w:cs="Arial" w:eastAsia="Arial" w:hAnsi="Arial"/>
        </w:rPr>
        <w:t xml:space="preserve"> The recommendation is not self-executing, but the writ route (Sec 18(b)) and the courts' public-law compensation jurisprudence make it enforceable in practice.</w:t>
      </w:r>
    </w:p>
    <w:p>
      <w:pPr>
        <w:spacing w:before="240" w:after="120"/>
      </w:pPr>
      <w:r>
        <w:rPr>
          <w:b/>
          <w:bCs/>
          <w:color w:val="404040"/>
          <w:sz w:val="23"/>
          <w:szCs w:val="23"/>
          <w:rFonts w:ascii="Arial" w:cs="Arial" w:eastAsia="Arial" w:hAnsi="Arial"/>
        </w:rPr>
        <w:t xml:space="preserve">9. The State that refuses the ICRC</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In an internal insurgency, a State detains hundreds of suspected insurgents in army camps, denies the ICRC access and tries some before military courts without counsel.</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Applicable law in a non-international armed conflict. </w:t>
      </w:r>
      <w:r>
        <w:rPr>
          <w:b/>
          <w:bCs/>
          <w:sz w:val="22"/>
          <w:szCs w:val="22"/>
          <w:rFonts w:ascii="Arial" w:cs="Arial" w:eastAsia="Arial" w:hAnsi="Arial"/>
        </w:rPr>
        <w:t xml:space="preserve">Rule:</w:t>
      </w:r>
      <w:r>
        <w:rPr>
          <w:sz w:val="22"/>
          <w:szCs w:val="22"/>
          <w:rFonts w:ascii="Arial" w:cs="Arial" w:eastAsia="Arial" w:hAnsi="Arial"/>
        </w:rPr>
        <w:t xml:space="preserve"> Common Art 3 (humane treatment; no sentences without a regularly constituted court with judicial guarantees; the ICRC may offer services); AP II Arts 5-6 if applicable; the Tadić threshold; Art 9, 10 and 14 ICCPR and GC 29 and 35 (derogation limits); the Geneva Conventions Act's Sec 3 for grave breaches (in IAC); the NHRC's Sec 19 limits; the Human Rights Committee's 2024 observations on India's AFSPA. </w:t>
      </w:r>
      <w:r>
        <w:rPr>
          <w:b/>
          <w:bCs/>
          <w:sz w:val="22"/>
          <w:szCs w:val="22"/>
          <w:rFonts w:ascii="Arial" w:cs="Arial" w:eastAsia="Arial" w:hAnsi="Arial"/>
        </w:rPr>
        <w:t xml:space="preserve">Application:</w:t>
      </w:r>
      <w:r>
        <w:rPr>
          <w:sz w:val="22"/>
          <w:szCs w:val="22"/>
          <w:rFonts w:ascii="Arial" w:cs="Arial" w:eastAsia="Arial" w:hAnsi="Arial"/>
        </w:rPr>
        <w:t xml:space="preserve"> If the violence meets the intensity and organisation thresholds, common Art 3 binds; the trials violate Art 3(1)(d) and Art 14 ICCPR; the State may refuse the ICRC but bears the consequences; human-rights law applies concurrently. </w:t>
      </w:r>
      <w:r>
        <w:rPr>
          <w:b/>
          <w:bCs/>
          <w:sz w:val="22"/>
          <w:szCs w:val="22"/>
          <w:rFonts w:ascii="Arial" w:cs="Arial" w:eastAsia="Arial" w:hAnsi="Arial"/>
        </w:rPr>
        <w:t xml:space="preserve">Conclusion:</w:t>
      </w:r>
      <w:r>
        <w:rPr>
          <w:sz w:val="22"/>
          <w:szCs w:val="22"/>
          <w:rFonts w:ascii="Arial" w:cs="Arial" w:eastAsia="Arial" w:hAnsi="Arial"/>
        </w:rPr>
        <w:t xml:space="preserve"> Violations of common Art 3 and the Covenant; the detainees are entitled to habeas corpus and counsel; the international remedies are the Council's special procedures, the treaty bodies and, if applicable, the ICC.</w:t>
      </w:r>
    </w:p>
    <w:p>
      <w:pPr>
        <w:spacing w:before="240" w:after="120"/>
      </w:pPr>
      <w:r>
        <w:rPr>
          <w:b/>
          <w:bCs/>
          <w:color w:val="404040"/>
          <w:sz w:val="23"/>
          <w:szCs w:val="23"/>
          <w:rFonts w:ascii="Arial" w:cs="Arial" w:eastAsia="Arial" w:hAnsi="Arial"/>
        </w:rPr>
        <w:t xml:space="preserve">10. The company and the river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multinational's factory discharges toxic waste into a river in a State party to the ICESCR; villagers lose their water and health; the State does nothing.</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Issue:</w:t>
      </w:r>
      <w:r>
        <w:rPr>
          <w:sz w:val="22"/>
          <w:szCs w:val="22"/>
          <w:rFonts w:ascii="Arial" w:cs="Arial" w:eastAsia="Arial" w:hAnsi="Arial"/>
        </w:rPr>
        <w:t xml:space="preserve"> The State's duty to protect economic and social rights against private actors; business responsibility. </w:t>
      </w:r>
      <w:r>
        <w:rPr>
          <w:b/>
          <w:bCs/>
          <w:sz w:val="22"/>
          <w:szCs w:val="22"/>
          <w:rFonts w:ascii="Arial" w:cs="Arial" w:eastAsia="Arial" w:hAnsi="Arial"/>
        </w:rPr>
        <w:t xml:space="preserve">Rule:</w:t>
      </w:r>
      <w:r>
        <w:rPr>
          <w:sz w:val="22"/>
          <w:szCs w:val="22"/>
          <w:rFonts w:ascii="Arial" w:cs="Arial" w:eastAsia="Arial" w:hAnsi="Arial"/>
        </w:rPr>
        <w:t xml:space="preserve"> ICESCR Arts 11-12 and GC 14-15 (the duty to protect against third parties); the UN Guiding Principles on Business and Human Rights (2011 — the State duty to protect, the corporate responsibility to respect, access to remedy); SERAC v. Nigeria; the Indian Art 21 environmental cases (M.C. Mehta; Vellore Citizens — the polluter-pays and precautionary principles; Subhash Kumar — the right to pollution-free water) and the National Green Tribunal Act 2010 Sec 15. </w:t>
      </w:r>
      <w:r>
        <w:rPr>
          <w:b/>
          <w:bCs/>
          <w:sz w:val="22"/>
          <w:szCs w:val="22"/>
          <w:rFonts w:ascii="Arial" w:cs="Arial" w:eastAsia="Arial" w:hAnsi="Arial"/>
        </w:rPr>
        <w:t xml:space="preserve">Application:</w:t>
      </w:r>
      <w:r>
        <w:rPr>
          <w:sz w:val="22"/>
          <w:szCs w:val="22"/>
          <w:rFonts w:ascii="Arial" w:cs="Arial" w:eastAsia="Arial" w:hAnsi="Arial"/>
        </w:rPr>
        <w:t xml:space="preserve"> The State's inaction breaches its duty to protect; the company breaches its responsibility to respect and is liable under national environmental law; the villagers have the NGT and Art 226 remedies and, internationally, the CESCR's review and the OP if the State is a party. </w:t>
      </w:r>
      <w:r>
        <w:rPr>
          <w:b/>
          <w:bCs/>
          <w:sz w:val="22"/>
          <w:szCs w:val="22"/>
          <w:rFonts w:ascii="Arial" w:cs="Arial" w:eastAsia="Arial" w:hAnsi="Arial"/>
        </w:rPr>
        <w:t xml:space="preserve">Conclusion:</w:t>
      </w:r>
      <w:r>
        <w:rPr>
          <w:sz w:val="22"/>
          <w:szCs w:val="22"/>
          <w:rFonts w:ascii="Arial" w:cs="Arial" w:eastAsia="Arial" w:hAnsi="Arial"/>
        </w:rPr>
        <w:t xml:space="preserve"> State responsibility under the Covenant; corporate liability domestically; the Guiding Principles as the standard for the company's due diligence.</w:t>
      </w:r>
    </w:p>
    <w:p>
      <w:r>
        <w:br w:type="page"/>
      </w:r>
    </w:p>
    <w:p>
      <w:pPr>
        <w:pStyle w:val="Heading1"/>
        <w:spacing w:before="480" w:after="200"/>
      </w:pPr>
      <w:r>
        <w:rPr>
          <w:b/>
          <w:bCs/>
          <w:color w:val="1F4E79"/>
          <w:sz w:val="32"/>
          <w:szCs w:val="32"/>
          <w:rFonts w:ascii="Arial" w:cs="Arial" w:eastAsia="Arial" w:hAnsi="Arial"/>
        </w:rPr>
        <w:t xml:space="preserve">Article map — UN Charter, UDHR, the Covenants, the regional and specialised instruments, the Geneva Conventions, the Rome Statute, the Constitution and the Protection of Human Rights Act</w:t>
      </w:r>
    </w:p>
    <w:p>
      <w:pPr>
        <w:spacing w:after="120" w:line="300"/>
        <w:jc w:val="both"/>
      </w:pPr>
      <w:r>
        <w:rPr>
          <w:sz w:val="22"/>
          <w:szCs w:val="22"/>
          <w:rFonts w:ascii="Arial" w:cs="Arial" w:eastAsia="Arial" w:hAnsi="Arial"/>
        </w:rPr>
        <w:t xml:space="preserve">Learn the instrument with the article; examiners cite both. Verify against the texts before the exam — the Marine-style numbering caveat applies to the Geneva Conventions and Protocols, whose article numbers differ between the four Conventions.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Topic</w:t>
            </w:r>
          </w:p>
        </w:tc>
        <w:tc>
          <w:tcPr>
            <w:tcW w:type="dxa" w:w="5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Instrument and article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Human rights in the UN Charter</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Preamble; Arts 1(3), 2(7), 13(1)(b), 55, 56, 62(2), 68, 76(c); Chapter VII Arts 39-42; Art 94(2), 96</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UDHR — structure</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Preamble; Arts 1-2 (dignity, equality, non-discrimination); 3-11 (person); 12-17 (civil society); 18-21 (political); 22-27 (economic, social, cultural); 28-30 (order, duties, abuse)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ICCPR — general; derogation; non-derogable rights</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1, 2, 3, 4(1)-(2), 5; non-derogable: 6, 7, 8(1)-(2), 11, 15, 16, 18</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ICCPR — substantive</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6 (life), 7 (torture), 8, 9 (liberty; 9(5) compensation), 10, 11, 12, 13, 14 (fair trial), 15, 16, 17 (privacy), 18, 19, 20, 21, 22, 23, 24, 25, 26 (equality), 27 (minorities)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ICCPR — machinery</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28-45 (Human Rights Committee; 40 reports; 41 inter-State); OP1 Arts 1-5 (communications); OP2 (death penalty)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ICESCR</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1, 2(1) (progressive realisation), 2(2), 3, 4, 6-8 (work, conditions, unions), 9, 10, 11 (standard of living, food), 12 (health), 13-14 (education), 15; 16-25 (reports; CESCR); OP 2008</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ECHR</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2, 3, 5, 6, 8-11 (with limitation clauses), 13, 14, 15, 17; Protocols 1, 4, 6, 7, 12, 13, 14, 15, 16; Court: Arts 19-51 (33 inter-State, 34 individual, 35 admissibility, 41, 46)</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EU Charter; CJEU</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Charter Arts 1-54 (7, 8, 19, 41, 47, 51, 52); TEU Art 6, 19; TFEU Arts 258, 263, 267</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American Convention</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1-2, 4 (life), 5, 7, 8, 13, 21, 22, 25, 26, 27 (suspension), 29 (pro homine), 44 (petitions), 50-51, 61-69 (Court; 62 jurisdiction, 63 reparations, 64 advisory, 68 binding)</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African Charter</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1-18 (individual rights; claw-backs in 6, 8-14), 19-24 (peoples' rights: 20 self-determination, 21 resources, 22 development, 24 environment), 27-29 (duties), 30-63 (Commission; 47-59 communications; 62 reports); Court Protocol Arts 3, 5, 34(6)</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CEDAW</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1 (definition), 2, 3, 4 (special measures), 5(a), 6, 7-9, 10, 11, 12, 13, 14 (rural women), 15, 16, 17-22 (Committee), 28 (reservations), 29; OP 1999 Arts 2, 8; GR 19, 25, 35</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CRC</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1, 2, 3(1), 6, 12 (principles); 7-8, 9-10, 13-17, 19, 20-21, 22, 23, 24, 27, 28-29, 31, 32-36, 37, 38, 39, 40; 42-45 (Committee, UNICEF); OP1 (armed conflict), OP2 (sale), OP3 (communications)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Refugees</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1951 Convention Arts 1A(2) (definition), 1C (cessation), 1F (exclusion), 3, 4, 16, 31, 32, 33 (non-refoulement), 35, 42; 1967 Protocol; UNHCR Statute; OAU 1969 Art I(2); Cartagena 1984</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Indigenous peoples</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ILO 107 Arts 11-12; ILO 169 Arts 1, 6, 7, 13-16; UNDRIP Arts 3, 4, 10, 19, 26, 28, 32, 46; Constitution Arts 244, 342, Fifth and Sixth Schedules, 371A; PESA Sec 4; FRA Secs 3, 4(5), 6</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Other groups</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Minorities Declaration 1992; ICCPR Art 27; CRPD Arts 1-5, 12, 19, 24; RPwD Act 2016; ICRMW 1990; CED 2006; CAT Arts 1, 2, 3, 5, 7, 20, 22</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IHL — common articles</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Common Arts 1, 2, 3; grave breaches GC I 49-50, II 50-51, III 129-130, IV 146-147; Martens clause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IHL — POWs (GC III)</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4 (who), 5 (doubt), 12, 13, 14, 16, 17, 21-23, 25-32, 49-57 (labour), 69-77 (exterior), 78-81, 82-108 (sanctions), 109-117, 118 (repatriation), 122-125, 126 (ICRC visits)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IHL — civilians (GC IV; AP I)</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GC IV Arts 4, 5, 13-26, 27 (incl. women), 28-34, 35-46, 47, 49, 53, 55, 64-78, 79-135, 143; AP I Arts 35, 43-44, 48, 50-52, 54, 55, 56, 57-58, 75, 76, 77, 79</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IHL — NIAC; weapons; India</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Common Art 3; AP II Arts 1, 4-6, 13-18; Hague IV Regs Arts 22-23, 42-56; Geneva Conventions Act 1960 Secs 3, 4, 12-14</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ICJ</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Charter Arts 92-96; Statute Arts 34, 36(1)-(2), 38, 41, 59-60, 65</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ICC — Rome Statute</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Arts 5, 6, 7, 8, 8 bis, 11, 12, 13, 15, 16, 17, 25, 27, 28, 33, 67, 68, 75, 77, 86-98 (98 immunity), 124, 127</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Constitution of India</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Preamble; Part III (14-32; 21, 21A, 32, 33-35); Part IV (39, 39A, 41-43, 45-48A, 51(c)); 51A; 73, 246, 253, Entry 14 List I; 226; 358-359</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Protection of Human Rights Act 1993</w:t>
            </w:r>
          </w:p>
        </w:tc>
        <w:tc>
          <w:tcPr>
            <w:tcW w:type="dxa" w:w="5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Secs 2(1)(d), 2(1)(f), 3, 4, 5, 6, 11, 12(a)-(j), 13, 14, 15, 17, 18(a)-(f), 19, 20, 21, 22, 30, 31, 36(1)-(2), 37; 2006 and 2019 amendments</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b/>
      <w:bCs/>
      <w:color w:val="1F4E79"/>
      <w:sz w:val="32"/>
      <w:szCs w:val="32"/>
      <w:rFonts w:ascii="Arial" w:cs="Arial" w:eastAsia="Arial" w:hAnsi="Arial"/>
    </w:rPr>
  </w:style>
  <w:style w:type="paragraph" w:styleId="Heading2">
    <w:name w:val="Heading 2"/>
    <w:basedOn w:val="Normal"/>
    <w:next w:val="Normal"/>
    <w:qFormat/>
    <w:pPr>
      <w:spacing w:before="360" w:after="160"/>
      <w:outlineLvl w:val="1"/>
    </w:pPr>
    <w:rPr>
      <w:b/>
      <w:bCs/>
      <w:color w:val="2E75B6"/>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2026-09-10T08:19:21.741Z</dcterms:created>
  <dcterms:modified xsi:type="dcterms:W3CDTF">2026-09-10T08:19:21.742Z</dcterms:modified>
</cp:coreProperties>
</file>

<file path=docProps/custom.xml><?xml version="1.0" encoding="utf-8"?>
<Properties xmlns="http://schemas.openxmlformats.org/officeDocument/2006/custom-properties" xmlns:vt="http://schemas.openxmlformats.org/officeDocument/2006/docPropsVTypes"/>
</file>