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Arial" w:cs="Arial" w:eastAsia="Arial" w:hAnsi="Arial"/>
          <w:b/>
          <w:bCs/>
          <w:color w:val="1F4E79"/>
          <w:sz w:val="52"/>
          <w:szCs w:val="52"/>
        </w:rPr>
        <w:t xml:space="preserve">LAW OF EVIDENCE</w:t>
      </w:r>
    </w:p>
    <w:p>
      <w:pPr>
        <w:spacing w:after="100"/>
        <w:jc w:val="center"/>
      </w:pPr>
      <w:r>
        <w:rPr>
          <w:rFonts w:ascii="Arial" w:cs="Arial" w:eastAsia="Arial" w:hAnsi="Arial"/>
          <w:color w:val="666666"/>
          <w:sz w:val="26"/>
          <w:szCs w:val="26"/>
        </w:rPr>
        <w:t xml:space="preserve">Paper XXVII · LL.B Semester V · AKNU</w:t>
      </w:r>
    </w:p>
    <w:p>
      <w:pPr>
        <w:spacing w:after="600"/>
        <w:jc w:val="center"/>
      </w:pPr>
      <w:r>
        <w:rPr>
          <w:rFonts w:ascii="Arial" w:cs="Arial" w:eastAsia="Arial" w:hAnsi="Arial"/>
          <w:i/>
          <w:iCs/>
          <w:color w:val="888888"/>
          <w:sz w:val="22"/>
          <w:szCs w:val="22"/>
        </w:rPr>
        <w:t xml:space="preserve">Twelve stories, one syllabus. Indian Evidence Act 1872 with Bharatiya Sakshya Adhiniyam 2023 cross-references.</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How to read this:</w:t>
      </w:r>
      <w:r>
        <w:rPr>
          <w:rFonts w:ascii="Arial" w:cs="Arial" w:eastAsia="Arial" w:hAnsi="Arial"/>
          <w:sz w:val="22"/>
          <w:szCs w:val="22"/>
        </w:rPr>
        <w:t xml:space="preserve"> every episode opens with a real case told as a story (purple bar). Then the law it settled, section by section, with the BSA 2023 number beside the IEA number. Red bars are cases to cite; green bars are the digital-evidence angle; blue bars tell you how the topic is asked. Read the story first — the sections will stick to it.</w:t>
      </w:r>
    </w:p>
    <w:p>
      <w:pPr>
        <w:pBdr>
          <w:bottom w:val="single" w:color="CCCCCC" w:sz="1" w:space="4"/>
        </w:pBdr>
        <w:spacing w:after="160" w:before="160"/>
      </w:pPr>
      <w:r>
        <w:rPr>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9"/>
                <w:szCs w:val="19"/>
              </w:rPr>
              <w:t xml:space="preserve">Ep</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9"/>
                <w:szCs w:val="19"/>
              </w:rPr>
              <w:t xml:space="preserve">Story</w:t>
            </w:r>
          </w:p>
        </w:tc>
        <w:tc>
          <w:tcPr>
            <w:tcW w:type="dxa" w:w="5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9"/>
                <w:szCs w:val="19"/>
              </w:rPr>
              <w:t xml:space="preserve">Syllabus topics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Sharad Birdhichand Sarda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Facts, relevancy, presumptions (3,4); direct vs circumstantial; five golden rules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Gentela / Mirza Akbar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Res gestae 6–8; TIP 9; conspiracy 10; 11–16</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Pakala Narayana Swami</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Admissions 17–23; confessions 24–26; co-accused 30; retracted</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Pulukuri Kottaya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Sec 27 discovery; digital discoveries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Laxman / Khushal Rao</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Dying declaration 32(1); 32(2)–(8); 33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Murari Lal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Expert 45–51, 45A; character 52–55; judgments 40–44</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Subramaniam</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Oral 59–60; hearsay; documentary 61–66; 91–92</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Anvar → Shafhi → Arjun Panditrao</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Electronic records 65A/65B; presumptions 81A–90A; public docs 74–78; BSA 61–63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09</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Rameshwar / S.P. Gupta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Competency 118–121; privileges 122–129; accomplice 133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Zahira Sheikh (Best Bakery)</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Examination 135–166; leading; hostile; impeaching; refreshing memory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Woolmington / Kans Raj</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Burden 101–106; presumptions 114, 113A, 113B, 114A; judicial notice 56–58</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Motilal Padampat</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Estoppel 115–117; promissory estoppel; IT Act amendments; BSA 2023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Drill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 Part C problems with IRAC answers + IEA→BSA table</w:t>
            </w:r>
          </w:p>
        </w:tc>
      </w:tr>
    </w:tbl>
    <w:p>
      <w:r>
        <w:br w:type="page"/>
      </w:r>
    </w:p>
    <w:p>
      <w:pPr>
        <w:pStyle w:val="Heading1"/>
        <w:spacing w:after="200" w:before="480"/>
      </w:pPr>
      <w:r>
        <w:rPr>
          <w:rFonts w:ascii="Arial" w:cs="Arial" w:eastAsia="Arial" w:hAnsi="Arial"/>
          <w:b/>
          <w:bCs/>
          <w:color w:val="1F4E79"/>
          <w:sz w:val="32"/>
          <w:szCs w:val="32"/>
        </w:rPr>
        <w:t xml:space="preserve">Episode 01 — The Poisoned Bride: Sharad Birdhichand Sarda</w:t>
      </w:r>
    </w:p>
    <w:p>
      <w:pPr>
        <w:pStyle w:val="Heading2"/>
        <w:spacing w:after="160" w:before="360"/>
      </w:pPr>
      <w:r>
        <w:rPr>
          <w:rFonts w:ascii="Arial" w:cs="Arial" w:eastAsia="Arial" w:hAnsi="Arial"/>
          <w:b/>
          <w:bCs/>
          <w:color w:val="2E75B6"/>
          <w:sz w:val="26"/>
          <w:szCs w:val="26"/>
        </w:rPr>
        <w:t xml:space="preserve">Covers: Facts, facts in issue, relevancy, presumptions (Sec 3, 4) · Direct vs circumstantial evidence · The Five Golden Rules</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Pune, 1982. Manju, a newly-wed, was found dead in her bed four months after marriage. No one saw anyone give her anything. There was no confession. What there was: potassium cyanide in her body, a husband who had a girlfriend, letters Manju had written to her sister describing a home where she was unwanted, and a husband who was the last person with her that night. The trial court and the High Court convicted Sharad Sarda of murder and sentenced him to death. Every link seemed to point one way. Then the case reached Justice Fazal Ali at the Supreme Court, who asked the question that defines circumstantial evidence forever: is it enough that the circumstances are consistent with guilt — or must they be inconsistent with everything else? The Court acquitted. The letters showed misery, not that the husband was the poisoner. Manju might have taken the cyanide herself. When a chain of circumstances leaves a reasonable gap through which innocence can walk, the accused walks with it.</w:t>
      </w:r>
    </w:p>
    <w:p>
      <w:pPr>
        <w:spacing w:after="120" w:before="240"/>
      </w:pPr>
      <w:r>
        <w:rPr>
          <w:rFonts w:ascii="Arial" w:cs="Arial" w:eastAsia="Arial" w:hAnsi="Arial"/>
          <w:b/>
          <w:bCs/>
          <w:color w:val="404040"/>
          <w:sz w:val="23"/>
          <w:szCs w:val="23"/>
        </w:rPr>
        <w:t xml:space="preserve">What the case settled</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The Five Golden Rules (Panchsheel) of circumstantial evidence:</w:t>
      </w:r>
      <w:r>
        <w:rPr>
          <w:rFonts w:ascii="Arial" w:cs="Arial" w:eastAsia="Arial" w:hAnsi="Arial"/>
          <w:sz w:val="22"/>
          <w:szCs w:val="22"/>
        </w:rPr>
        <w:t xml:space="preserve"> (1) The circumstances from which guilt is drawn must be fully established — 'must be' not 'may be'. (2) The facts must be consistent only with the hypothesis of guilt. (3) The circumstances must be of a conclusive nature and tendency. (4) They must exclude every possible hypothesis except the one to be proved. (5) The chain must be so complete that there is no reasonable ground for a conclusion consistent with innocence.</w:t>
      </w:r>
    </w:p>
    <w:p>
      <w:pPr>
        <w:spacing w:after="120" w:before="240"/>
      </w:pPr>
      <w:r>
        <w:rPr>
          <w:rFonts w:ascii="Arial" w:cs="Arial" w:eastAsia="Arial" w:hAnsi="Arial"/>
          <w:b/>
          <w:bCs/>
          <w:color w:val="404040"/>
          <w:sz w:val="23"/>
          <w:szCs w:val="23"/>
        </w:rPr>
        <w:t xml:space="preserve">The vocabulary of the Act — Sec 3 (BSA Sec 2)</w:t>
      </w:r>
    </w:p>
    <w:p>
      <w:pPr>
        <w:spacing w:after="60" w:before="60"/>
        <w:ind w:left="200"/>
      </w:pPr>
      <w:r>
        <w:rPr>
          <w:rFonts w:ascii="Arial" w:cs="Arial" w:eastAsia="Arial" w:hAnsi="Arial"/>
          <w:b/>
          <w:bCs/>
          <w:color w:val="1F4E79"/>
          <w:sz w:val="22"/>
          <w:szCs w:val="22"/>
        </w:rPr>
        <w:t xml:space="preserve">Fact: </w:t>
      </w:r>
      <w:r>
        <w:rPr>
          <w:rFonts w:ascii="Arial" w:cs="Arial" w:eastAsia="Arial" w:hAnsi="Arial"/>
          <w:sz w:val="22"/>
          <w:szCs w:val="22"/>
        </w:rPr>
        <w:t xml:space="preserve">Anything perceived by the senses, or any mental condition of which a person is conscious. So a fact can be 'the knife was on the table' or 'A intended to kill'.</w:t>
      </w:r>
    </w:p>
    <w:p>
      <w:pPr>
        <w:spacing w:after="60" w:before="60"/>
        <w:ind w:left="200"/>
      </w:pPr>
      <w:r>
        <w:rPr>
          <w:rFonts w:ascii="Arial" w:cs="Arial" w:eastAsia="Arial" w:hAnsi="Arial"/>
          <w:b/>
          <w:bCs/>
          <w:color w:val="1F4E79"/>
          <w:sz w:val="22"/>
          <w:szCs w:val="22"/>
        </w:rPr>
        <w:t xml:space="preserve">Fact in issue: </w:t>
      </w:r>
      <w:r>
        <w:rPr>
          <w:rFonts w:ascii="Arial" w:cs="Arial" w:eastAsia="Arial" w:hAnsi="Arial"/>
          <w:sz w:val="22"/>
          <w:szCs w:val="22"/>
        </w:rPr>
        <w:t xml:space="preserve">A fact from which the existence or non-existence of a right or liability follows. In a murder trial: did A cause B's death? did A intend it? These are facts in issue.</w:t>
      </w:r>
    </w:p>
    <w:p>
      <w:pPr>
        <w:spacing w:after="60" w:before="60"/>
        <w:ind w:left="200"/>
      </w:pPr>
      <w:r>
        <w:rPr>
          <w:rFonts w:ascii="Arial" w:cs="Arial" w:eastAsia="Arial" w:hAnsi="Arial"/>
          <w:b/>
          <w:bCs/>
          <w:color w:val="1F4E79"/>
          <w:sz w:val="22"/>
          <w:szCs w:val="22"/>
        </w:rPr>
        <w:t xml:space="preserve">Relevant fact: </w:t>
      </w:r>
      <w:r>
        <w:rPr>
          <w:rFonts w:ascii="Arial" w:cs="Arial" w:eastAsia="Arial" w:hAnsi="Arial"/>
          <w:sz w:val="22"/>
          <w:szCs w:val="22"/>
        </w:rPr>
        <w:t xml:space="preserve">A fact connected to a fact in issue in one of the ways described in Sec 5–55. Relevancy is a question of law; only relevant facts may be proved.</w:t>
      </w:r>
    </w:p>
    <w:p>
      <w:pPr>
        <w:spacing w:after="60" w:before="60"/>
        <w:ind w:left="200"/>
      </w:pPr>
      <w:r>
        <w:rPr>
          <w:rFonts w:ascii="Arial" w:cs="Arial" w:eastAsia="Arial" w:hAnsi="Arial"/>
          <w:b/>
          <w:bCs/>
          <w:color w:val="1F4E79"/>
          <w:sz w:val="22"/>
          <w:szCs w:val="22"/>
        </w:rPr>
        <w:t xml:space="preserve">Evidence: </w:t>
      </w:r>
      <w:r>
        <w:rPr>
          <w:rFonts w:ascii="Arial" w:cs="Arial" w:eastAsia="Arial" w:hAnsi="Arial"/>
          <w:sz w:val="22"/>
          <w:szCs w:val="22"/>
        </w:rPr>
        <w:t xml:space="preserve">Oral evidence (statements of witnesses) and documentary evidence (documents including electronic records). Note: 'evidence' is what is placed before the court; 'proof' is the court's conclusion.</w:t>
      </w:r>
    </w:p>
    <w:p>
      <w:pPr>
        <w:spacing w:after="60" w:before="60"/>
        <w:ind w:left="200"/>
      </w:pPr>
      <w:r>
        <w:rPr>
          <w:rFonts w:ascii="Arial" w:cs="Arial" w:eastAsia="Arial" w:hAnsi="Arial"/>
          <w:b/>
          <w:bCs/>
          <w:color w:val="1F4E79"/>
          <w:sz w:val="22"/>
          <w:szCs w:val="22"/>
        </w:rPr>
        <w:t xml:space="preserve">Proved / Disproved / Not proved: </w:t>
      </w:r>
      <w:r>
        <w:rPr>
          <w:rFonts w:ascii="Arial" w:cs="Arial" w:eastAsia="Arial" w:hAnsi="Arial"/>
          <w:sz w:val="22"/>
          <w:szCs w:val="22"/>
        </w:rPr>
        <w:t xml:space="preserve">Proved: court believes it exists or a prudent man would act on it. Disproved: the reverse. Not proved: neither — the residual category. Standard in criminal cases: beyond reasonable doubt; in civil: preponderance of probability.</w:t>
      </w:r>
    </w:p>
    <w:p>
      <w:pPr>
        <w:spacing w:after="60" w:before="60"/>
        <w:ind w:left="200"/>
      </w:pPr>
      <w:r>
        <w:rPr>
          <w:rFonts w:ascii="Arial" w:cs="Arial" w:eastAsia="Arial" w:hAnsi="Arial"/>
          <w:b/>
          <w:bCs/>
          <w:color w:val="1F4E79"/>
          <w:sz w:val="22"/>
          <w:szCs w:val="22"/>
        </w:rPr>
        <w:t xml:space="preserve">Sec 4 presumptions: </w:t>
      </w:r>
      <w:r>
        <w:rPr>
          <w:rFonts w:ascii="Arial" w:cs="Arial" w:eastAsia="Arial" w:hAnsi="Arial"/>
          <w:sz w:val="22"/>
          <w:szCs w:val="22"/>
        </w:rPr>
        <w:t xml:space="preserve">May presume (court has discretion), Shall presume (court must presume until disproved — rebuttable), Conclusive proof (no evidence allowed to disprove — irrebuttable).</w:t>
      </w:r>
    </w:p>
    <w:p>
      <w:pPr>
        <w:spacing w:after="120" w:before="240"/>
      </w:pPr>
      <w:r>
        <w:rPr>
          <w:rFonts w:ascii="Arial" w:cs="Arial" w:eastAsia="Arial" w:hAnsi="Arial"/>
          <w:b/>
          <w:bCs/>
          <w:color w:val="404040"/>
          <w:sz w:val="23"/>
          <w:szCs w:val="23"/>
        </w:rPr>
        <w:t xml:space="preserve">Direct vs circumstantial</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Direct evidence</w:t>
      </w:r>
      <w:r>
        <w:rPr>
          <w:rFonts w:ascii="Arial" w:cs="Arial" w:eastAsia="Arial" w:hAnsi="Arial"/>
          <w:sz w:val="22"/>
          <w:szCs w:val="22"/>
        </w:rPr>
        <w:t xml:space="preserve"> proves the fact in issue itself — an eyewitness who saw the stabbing. </w:t>
      </w:r>
      <w:r>
        <w:rPr>
          <w:rFonts w:ascii="Arial" w:cs="Arial" w:eastAsia="Arial" w:hAnsi="Arial"/>
          <w:b/>
          <w:bCs/>
          <w:sz w:val="22"/>
          <w:szCs w:val="22"/>
        </w:rPr>
        <w:t xml:space="preserve">Circumstantial evidence</w:t>
      </w:r>
      <w:r>
        <w:rPr>
          <w:rFonts w:ascii="Arial" w:cs="Arial" w:eastAsia="Arial" w:hAnsi="Arial"/>
          <w:sz w:val="22"/>
          <w:szCs w:val="22"/>
        </w:rPr>
        <w:t xml:space="preserve"> proves facts from which the fact in issue is inferred — the accused's fingerprints on the knife, motive, last-seen-together, absconding, false explanation. Neither is 'better'; the Act (Sec 3) treats both as evidence. Circumstantial evidence is more common in murder cases precisely because murderers avoid witnesses.</w:t>
      </w:r>
    </w:p>
    <w:p>
      <w:pPr>
        <w:pBdr>
          <w:left w:val="single" w:color="CC0000" w:sz="6" w:space="8"/>
        </w:pBdr>
        <w:spacing w:after="80" w:before="80"/>
        <w:ind w:left="300"/>
      </w:pPr>
      <w:r>
        <w:rPr>
          <w:rFonts w:ascii="Arial" w:cs="Arial" w:eastAsia="Arial" w:hAnsi="Arial"/>
          <w:b/>
          <w:bCs/>
          <w:color w:val="CC0000"/>
          <w:sz w:val="21"/>
          <w:szCs w:val="21"/>
        </w:rPr>
        <w:t xml:space="preserve">Hanumant v. State of MP (1952) — </w:t>
      </w:r>
      <w:r>
        <w:rPr>
          <w:rFonts w:ascii="Arial" w:cs="Arial" w:eastAsia="Arial" w:hAnsi="Arial"/>
          <w:sz w:val="21"/>
          <w:szCs w:val="21"/>
        </w:rPr>
        <w:t xml:space="preserve">The earliest SC statement: circumstances should be fully established and of a conclusive nature; there must be a chain so complete as not to leave any reasonable ground for a conclusion consistent with innocence.</w:t>
      </w:r>
    </w:p>
    <w:p>
      <w:pPr>
        <w:pBdr>
          <w:left w:val="single" w:color="CC0000" w:sz="6" w:space="8"/>
        </w:pBdr>
        <w:spacing w:after="80" w:before="80"/>
        <w:ind w:left="300"/>
      </w:pPr>
      <w:r>
        <w:rPr>
          <w:rFonts w:ascii="Arial" w:cs="Arial" w:eastAsia="Arial" w:hAnsi="Arial"/>
          <w:b/>
          <w:bCs/>
          <w:color w:val="CC0000"/>
          <w:sz w:val="21"/>
          <w:szCs w:val="21"/>
        </w:rPr>
        <w:t xml:space="preserve">Sharad Birdhichand Sarda v. State of Maharashtra (1984) — </w:t>
      </w:r>
      <w:r>
        <w:rPr>
          <w:rFonts w:ascii="Arial" w:cs="Arial" w:eastAsia="Arial" w:hAnsi="Arial"/>
          <w:sz w:val="21"/>
          <w:szCs w:val="21"/>
        </w:rPr>
        <w:t xml:space="preserve">Restated the rule as five golden principles. Also: the false explanation of the accused can be an additional link, but cannot fill a gap in the chain.</w:t>
      </w:r>
    </w:p>
    <w:p>
      <w:pPr>
        <w:pBdr>
          <w:left w:val="single" w:color="CC0000" w:sz="6" w:space="8"/>
        </w:pBdr>
        <w:spacing w:after="80" w:before="80"/>
        <w:ind w:left="300"/>
      </w:pPr>
      <w:r>
        <w:rPr>
          <w:rFonts w:ascii="Arial" w:cs="Arial" w:eastAsia="Arial" w:hAnsi="Arial"/>
          <w:b/>
          <w:bCs/>
          <w:color w:val="CC0000"/>
          <w:sz w:val="21"/>
          <w:szCs w:val="21"/>
        </w:rPr>
        <w:t xml:space="preserve">Ram Bihari Yadav v. State of Bihar (1998) — </w:t>
      </w:r>
      <w:r>
        <w:rPr>
          <w:rFonts w:ascii="Arial" w:cs="Arial" w:eastAsia="Arial" w:hAnsi="Arial"/>
          <w:sz w:val="21"/>
          <w:szCs w:val="21"/>
        </w:rPr>
        <w:t xml:space="preserve">Explained the three grades of presumption in Sec 4 and that 'shall presume' shifts the burden to the party against whom it operates.</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Modern circumstantial chains are built from CDRs (call detail records), tower dumps, CCTV, Google location history, UPI transactions, and social media timestamps. Each is a 'circumstance' — but each must be independently proved (Sec 65B certificate for electronic records, see Episode 08) before it can be a link. A chain of unauthenticated screenshots is not a chain at all.</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define fact in issue vs relevant fact with one example each (3 marks). Part B: 'Explain the rules governing conviction on circumstantial evidence' — write the five rules, Hanumant + Sharad Sarda, then one paragraph on why the standard is high (liberty). Part C problem: any set of circumstances — test them against all five rules explicitly, one line each.</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02 — Words in the Heat of the Moment: Res Gestae, Identification, Conspiracy</w:t>
      </w:r>
    </w:p>
    <w:p>
      <w:pPr>
        <w:pStyle w:val="Heading2"/>
        <w:spacing w:after="160" w:before="360"/>
      </w:pPr>
      <w:r>
        <w:rPr>
          <w:rFonts w:ascii="Arial" w:cs="Arial" w:eastAsia="Arial" w:hAnsi="Arial"/>
          <w:b/>
          <w:bCs/>
          <w:color w:val="2E75B6"/>
          <w:sz w:val="26"/>
          <w:szCs w:val="26"/>
        </w:rPr>
        <w:t xml:space="preserve">Covers: Res gestae (Sec 6–8) · Test identification parade (Sec 9) · Common intention &amp; conspiracy (Sec 10) · Otherwise irrelevant facts (Sec 11) · Custom (Sec 13) · State of mind (Sec 14–16)</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Andhra Pradesh, 1995. A bus is set on fire; twenty-three passengers burn to death. Two men are accused. A magistrate arrives at the hospital hours later and records statements from survivors describing who did it. At trial, prosecution argues these statements are part of the 'transaction' — res gestae under Section 6 — and so admissible even though the survivors could not all be examined. The Supreme Court in Gentela Vijayavardhan Rao said no. Section 6 admits only statements made at the time of the event or so soon after that there is no time to fabricate — the spontaneous cry, the immediate reaction. A statement recorded by a magistrate hours later, after reflection and questioning, is a narrative of a past event, not part of it. The bus burned; the words came too late to be part of the fire. Contrast this with the woman who screams 'Ramu is stabbing him!' as the stabbing happens: that scream goes in.</w:t>
      </w:r>
    </w:p>
    <w:p>
      <w:pPr>
        <w:spacing w:after="120" w:before="240"/>
      </w:pPr>
      <w:r>
        <w:rPr>
          <w:rFonts w:ascii="Arial" w:cs="Arial" w:eastAsia="Arial" w:hAnsi="Arial"/>
          <w:b/>
          <w:bCs/>
          <w:color w:val="404040"/>
          <w:sz w:val="23"/>
          <w:szCs w:val="23"/>
        </w:rPr>
        <w:t xml:space="preserve">Res gestae — Sec 6 (BSA Sec 4)</w:t>
      </w:r>
    </w:p>
    <w:p>
      <w:pPr>
        <w:spacing w:after="120" w:line="300"/>
        <w:jc w:val="both"/>
      </w:pPr>
      <w:r>
        <w:rPr>
          <w:rFonts w:ascii="Arial" w:cs="Arial" w:eastAsia="Arial" w:hAnsi="Arial"/>
          <w:sz w:val="22"/>
          <w:szCs w:val="22"/>
        </w:rPr>
        <w:t xml:space="preserve">Facts which, though not in issue, are so connected with a fact in issue as to form part of the same transaction are relevant, whether they occurred at the same time and place or at different times and places. The classic content is </w:t>
      </w:r>
      <w:r>
        <w:rPr>
          <w:rFonts w:ascii="Arial" w:cs="Arial" w:eastAsia="Arial" w:hAnsi="Arial"/>
          <w:b/>
          <w:bCs/>
          <w:sz w:val="22"/>
          <w:szCs w:val="22"/>
        </w:rPr>
        <w:t xml:space="preserve">spontaneous statements</w:t>
      </w:r>
      <w:r>
        <w:rPr>
          <w:rFonts w:ascii="Arial" w:cs="Arial" w:eastAsia="Arial" w:hAnsi="Arial"/>
          <w:sz w:val="22"/>
          <w:szCs w:val="22"/>
        </w:rPr>
        <w:t xml:space="preserve">: the test is contemporaneity — the statement must be so closely linked in time that it excludes the possibility of concoction. 'Transaction' is a group of facts connected by proximity of time, place, continuity of action, and community of purpose.</w:t>
      </w:r>
    </w:p>
    <w:p>
      <w:pPr>
        <w:spacing w:after="60" w:before="60"/>
        <w:ind w:left="200"/>
      </w:pPr>
      <w:r>
        <w:rPr>
          <w:rFonts w:ascii="Arial" w:cs="Arial" w:eastAsia="Arial" w:hAnsi="Arial"/>
          <w:b/>
          <w:bCs/>
          <w:color w:val="1F4E79"/>
          <w:sz w:val="22"/>
          <w:szCs w:val="22"/>
        </w:rPr>
        <w:t xml:space="preserve">Sec 7: </w:t>
      </w:r>
      <w:r>
        <w:rPr>
          <w:rFonts w:ascii="Arial" w:cs="Arial" w:eastAsia="Arial" w:hAnsi="Arial"/>
          <w:sz w:val="22"/>
          <w:szCs w:val="22"/>
        </w:rPr>
        <w:t xml:space="preserve">Facts which are the occasion, cause, or effect of facts in issue (e.g., blood stains at the scene, the state of the room).</w:t>
      </w:r>
    </w:p>
    <w:p>
      <w:pPr>
        <w:spacing w:after="60" w:before="60"/>
        <w:ind w:left="200"/>
      </w:pPr>
      <w:r>
        <w:rPr>
          <w:rFonts w:ascii="Arial" w:cs="Arial" w:eastAsia="Arial" w:hAnsi="Arial"/>
          <w:b/>
          <w:bCs/>
          <w:color w:val="1F4E79"/>
          <w:sz w:val="22"/>
          <w:szCs w:val="22"/>
        </w:rPr>
        <w:t xml:space="preserve">Sec 8: </w:t>
      </w:r>
      <w:r>
        <w:rPr>
          <w:rFonts w:ascii="Arial" w:cs="Arial" w:eastAsia="Arial" w:hAnsi="Arial"/>
          <w:sz w:val="22"/>
          <w:szCs w:val="22"/>
        </w:rPr>
        <w:t xml:space="preserve">Motive, preparation, and previous or subsequent conduct. Conduct must be influenced by the fact in issue. Absconding after the crime is relevant conduct — but weak alone (innocent people also run from police).</w:t>
      </w:r>
    </w:p>
    <w:p>
      <w:pPr>
        <w:spacing w:after="60" w:before="60"/>
        <w:ind w:left="200"/>
      </w:pPr>
      <w:r>
        <w:rPr>
          <w:rFonts w:ascii="Arial" w:cs="Arial" w:eastAsia="Arial" w:hAnsi="Arial"/>
          <w:b/>
          <w:bCs/>
          <w:color w:val="1F4E79"/>
          <w:sz w:val="22"/>
          <w:szCs w:val="22"/>
        </w:rPr>
        <w:t xml:space="preserve">Sec 9: </w:t>
      </w:r>
      <w:r>
        <w:rPr>
          <w:rFonts w:ascii="Arial" w:cs="Arial" w:eastAsia="Arial" w:hAnsi="Arial"/>
          <w:sz w:val="22"/>
          <w:szCs w:val="22"/>
        </w:rPr>
        <w:t xml:space="preserve">Facts necessary to explain or introduce relevant facts, establish identity of persons or things, fix time or place. This is the home of the **test identification parade (TIP)**.</w:t>
      </w:r>
    </w:p>
    <w:p>
      <w:pPr>
        <w:spacing w:after="120" w:before="240"/>
      </w:pPr>
      <w:r>
        <w:rPr>
          <w:rFonts w:ascii="Arial" w:cs="Arial" w:eastAsia="Arial" w:hAnsi="Arial"/>
          <w:b/>
          <w:bCs/>
          <w:color w:val="404040"/>
          <w:sz w:val="23"/>
          <w:szCs w:val="23"/>
        </w:rPr>
        <w:t xml:space="preserve">TIP — how much does it prove?</w:t>
      </w:r>
    </w:p>
    <w:p>
      <w:pPr>
        <w:spacing w:after="120" w:line="300"/>
        <w:jc w:val="both"/>
      </w:pPr>
      <w:r>
        <w:rPr>
          <w:rFonts w:ascii="Arial" w:cs="Arial" w:eastAsia="Arial" w:hAnsi="Arial"/>
          <w:sz w:val="22"/>
          <w:szCs w:val="22"/>
        </w:rPr>
        <w:t xml:space="preserve">A TIP is an investigation tool, not substantive evidence. The substantive evidence is the witness's identification </w:t>
      </w:r>
      <w:r>
        <w:rPr>
          <w:rFonts w:ascii="Arial" w:cs="Arial" w:eastAsia="Arial" w:hAnsi="Arial"/>
          <w:b/>
          <w:bCs/>
          <w:sz w:val="22"/>
          <w:szCs w:val="22"/>
        </w:rPr>
        <w:t xml:space="preserve">in court</w:t>
      </w:r>
      <w:r>
        <w:rPr>
          <w:rFonts w:ascii="Arial" w:cs="Arial" w:eastAsia="Arial" w:hAnsi="Arial"/>
          <w:sz w:val="22"/>
          <w:szCs w:val="22"/>
        </w:rPr>
        <w:t xml:space="preserve">. A TIP corroborates that in-court identification. If the accused was shown to the witness before the parade (a 'tainted' TIP), or the parade is held after unexplained delay, it loses value. Absence of a TIP is not fatal if the witness knew the accused already.</w:t>
      </w:r>
    </w:p>
    <w:p>
      <w:pPr>
        <w:pBdr>
          <w:left w:val="single" w:color="CC0000" w:sz="6" w:space="8"/>
        </w:pBdr>
        <w:spacing w:after="80" w:before="80"/>
        <w:ind w:left="300"/>
      </w:pPr>
      <w:r>
        <w:rPr>
          <w:rFonts w:ascii="Arial" w:cs="Arial" w:eastAsia="Arial" w:hAnsi="Arial"/>
          <w:b/>
          <w:bCs/>
          <w:color w:val="CC0000"/>
          <w:sz w:val="21"/>
          <w:szCs w:val="21"/>
        </w:rPr>
        <w:t xml:space="preserve">Malkhan Singh v. State of MP (2003) — </w:t>
      </w:r>
      <w:r>
        <w:rPr>
          <w:rFonts w:ascii="Arial" w:cs="Arial" w:eastAsia="Arial" w:hAnsi="Arial"/>
          <w:sz w:val="21"/>
          <w:szCs w:val="21"/>
        </w:rPr>
        <w:t xml:space="preserve">TIP is not substantive evidence; its purpose is to test the witness's memory and assure the investigating agency. In-court identification without a prior TIP is admissible, though its weight depends on circumstances.</w:t>
      </w:r>
    </w:p>
    <w:p>
      <w:pPr>
        <w:spacing w:after="120" w:before="240"/>
      </w:pPr>
      <w:r>
        <w:rPr>
          <w:rFonts w:ascii="Arial" w:cs="Arial" w:eastAsia="Arial" w:hAnsi="Arial"/>
          <w:b/>
          <w:bCs/>
          <w:color w:val="404040"/>
          <w:sz w:val="23"/>
          <w:szCs w:val="23"/>
        </w:rPr>
        <w:t xml:space="preserve">Common intention and conspiracy — Sec 10 (BSA Sec 8)</w:t>
      </w:r>
    </w:p>
    <w:p>
      <w:pPr>
        <w:spacing w:after="120" w:line="300"/>
        <w:jc w:val="both"/>
      </w:pPr>
      <w:r>
        <w:rPr>
          <w:rFonts w:ascii="Arial" w:cs="Arial" w:eastAsia="Arial" w:hAnsi="Arial"/>
          <w:sz w:val="22"/>
          <w:szCs w:val="22"/>
        </w:rPr>
        <w:t xml:space="preserve">Where there is reasonable ground to believe that two or more persons conspired to commit an offence, anything said, done, or written by any one of them </w:t>
      </w:r>
      <w:r>
        <w:rPr>
          <w:rFonts w:ascii="Arial" w:cs="Arial" w:eastAsia="Arial" w:hAnsi="Arial"/>
          <w:b/>
          <w:bCs/>
          <w:sz w:val="22"/>
          <w:szCs w:val="22"/>
        </w:rPr>
        <w:t xml:space="preserve">in reference to their common intention</w:t>
      </w:r>
      <w:r>
        <w:rPr>
          <w:rFonts w:ascii="Arial" w:cs="Arial" w:eastAsia="Arial" w:hAnsi="Arial"/>
          <w:sz w:val="22"/>
          <w:szCs w:val="22"/>
        </w:rPr>
        <w:t xml:space="preserve"> — after the intention was first entertained — is relevant against each of them. This is the exception that lets one conspirator's diary convict another. Limits: (1) prima facie evidence of conspiracy must exist first; (2) the statement must be made </w:t>
      </w:r>
      <w:r>
        <w:rPr>
          <w:rFonts w:ascii="Arial" w:cs="Arial" w:eastAsia="Arial" w:hAnsi="Arial"/>
          <w:b/>
          <w:bCs/>
          <w:sz w:val="22"/>
          <w:szCs w:val="22"/>
        </w:rPr>
        <w:t xml:space="preserve">while the conspiracy is on foot</w:t>
      </w:r>
      <w:r>
        <w:rPr>
          <w:rFonts w:ascii="Arial" w:cs="Arial" w:eastAsia="Arial" w:hAnsi="Arial"/>
          <w:sz w:val="22"/>
          <w:szCs w:val="22"/>
        </w:rPr>
        <w:t xml:space="preserve">, not a narrative after it ended; (3) 'in reference to' means in furtherance of, not merely about.</w:t>
      </w:r>
    </w:p>
    <w:p>
      <w:pPr>
        <w:pBdr>
          <w:left w:val="single" w:color="CC0000" w:sz="6" w:space="8"/>
        </w:pBdr>
        <w:spacing w:after="80" w:before="80"/>
        <w:ind w:left="300"/>
      </w:pPr>
      <w:r>
        <w:rPr>
          <w:rFonts w:ascii="Arial" w:cs="Arial" w:eastAsia="Arial" w:hAnsi="Arial"/>
          <w:b/>
          <w:bCs/>
          <w:color w:val="CC0000"/>
          <w:sz w:val="21"/>
          <w:szCs w:val="21"/>
        </w:rPr>
        <w:t xml:space="preserve">Mirza Akbar v. King Emperor (1940) — </w:t>
      </w:r>
      <w:r>
        <w:rPr>
          <w:rFonts w:ascii="Arial" w:cs="Arial" w:eastAsia="Arial" w:hAnsi="Arial"/>
          <w:sz w:val="21"/>
          <w:szCs w:val="21"/>
        </w:rPr>
        <w:t xml:space="preserve">Privy Council: letters written after the conspiracy had ended (after the murder) were not admissible under Sec 10 — they were a narrative, not acts in furtherance.</w:t>
      </w:r>
    </w:p>
    <w:p>
      <w:pPr>
        <w:pBdr>
          <w:left w:val="single" w:color="CC0000" w:sz="6" w:space="8"/>
        </w:pBdr>
        <w:spacing w:after="80" w:before="80"/>
        <w:ind w:left="300"/>
      </w:pPr>
      <w:r>
        <w:rPr>
          <w:rFonts w:ascii="Arial" w:cs="Arial" w:eastAsia="Arial" w:hAnsi="Arial"/>
          <w:b/>
          <w:bCs/>
          <w:color w:val="CC0000"/>
          <w:sz w:val="21"/>
          <w:szCs w:val="21"/>
        </w:rPr>
        <w:t xml:space="preserve">State v. Nalini (Rajiv Gandhi assassination, 1999) — </w:t>
      </w:r>
      <w:r>
        <w:rPr>
          <w:rFonts w:ascii="Arial" w:cs="Arial" w:eastAsia="Arial" w:hAnsi="Arial"/>
          <w:sz w:val="21"/>
          <w:szCs w:val="21"/>
        </w:rPr>
        <w:t xml:space="preserve">Extensive treatment of Sec 10; statements of co-conspirators during the currency of the conspiracy admissible; confessions after arrest are not 'in reference to common intention'.</w:t>
      </w:r>
    </w:p>
    <w:p>
      <w:pPr>
        <w:spacing w:after="120" w:before="240"/>
      </w:pPr>
      <w:r>
        <w:rPr>
          <w:rFonts w:ascii="Arial" w:cs="Arial" w:eastAsia="Arial" w:hAnsi="Arial"/>
          <w:b/>
          <w:bCs/>
          <w:color w:val="404040"/>
          <w:sz w:val="23"/>
          <w:szCs w:val="23"/>
        </w:rPr>
        <w:t xml:space="preserve">Sec 11–16 quick map</w:t>
      </w:r>
    </w:p>
    <w:p>
      <w:pPr>
        <w:spacing w:after="60" w:before="60"/>
        <w:ind w:left="200"/>
      </w:pPr>
      <w:r>
        <w:rPr>
          <w:rFonts w:ascii="Arial" w:cs="Arial" w:eastAsia="Arial" w:hAnsi="Arial"/>
          <w:b/>
          <w:bCs/>
          <w:color w:val="1F4E79"/>
          <w:sz w:val="22"/>
          <w:szCs w:val="22"/>
        </w:rPr>
        <w:t xml:space="preserve">Sec 11: </w:t>
      </w:r>
      <w:r>
        <w:rPr>
          <w:rFonts w:ascii="Arial" w:cs="Arial" w:eastAsia="Arial" w:hAnsi="Arial"/>
          <w:sz w:val="22"/>
          <w:szCs w:val="22"/>
        </w:rPr>
        <w:t xml:space="preserve">Facts otherwise irrelevant become relevant if inconsistent with a fact in issue, or make it highly probable/improbable — this is where **alibi** lives (Sec 11 + burden under Sec 103).</w:t>
      </w:r>
    </w:p>
    <w:p>
      <w:pPr>
        <w:spacing w:after="60" w:before="60"/>
        <w:ind w:left="200"/>
      </w:pPr>
      <w:r>
        <w:rPr>
          <w:rFonts w:ascii="Arial" w:cs="Arial" w:eastAsia="Arial" w:hAnsi="Arial"/>
          <w:b/>
          <w:bCs/>
          <w:color w:val="1F4E79"/>
          <w:sz w:val="22"/>
          <w:szCs w:val="22"/>
        </w:rPr>
        <w:t xml:space="preserve">Sec 13: </w:t>
      </w:r>
      <w:r>
        <w:rPr>
          <w:rFonts w:ascii="Arial" w:cs="Arial" w:eastAsia="Arial" w:hAnsi="Arial"/>
          <w:sz w:val="22"/>
          <w:szCs w:val="22"/>
        </w:rPr>
        <w:t xml:space="preserve">Proof of custom or right: transactions creating/asserting the right, and particular instances of its exercise.</w:t>
      </w:r>
    </w:p>
    <w:p>
      <w:pPr>
        <w:spacing w:after="60" w:before="60"/>
        <w:ind w:left="200"/>
      </w:pPr>
      <w:r>
        <w:rPr>
          <w:rFonts w:ascii="Arial" w:cs="Arial" w:eastAsia="Arial" w:hAnsi="Arial"/>
          <w:b/>
          <w:bCs/>
          <w:color w:val="1F4E79"/>
          <w:sz w:val="22"/>
          <w:szCs w:val="22"/>
        </w:rPr>
        <w:t xml:space="preserve">Sec 14: </w:t>
      </w:r>
      <w:r>
        <w:rPr>
          <w:rFonts w:ascii="Arial" w:cs="Arial" w:eastAsia="Arial" w:hAnsi="Arial"/>
          <w:sz w:val="22"/>
          <w:szCs w:val="22"/>
        </w:rPr>
        <w:t xml:space="preserve">State of mind (intention, knowledge, good faith, ill-will) — relevant when in issue; previous similar acts admissible only if they show that particular state of mind, not general bad character.</w:t>
      </w:r>
    </w:p>
    <w:p>
      <w:pPr>
        <w:spacing w:after="60" w:before="60"/>
        <w:ind w:left="200"/>
      </w:pPr>
      <w:r>
        <w:rPr>
          <w:rFonts w:ascii="Arial" w:cs="Arial" w:eastAsia="Arial" w:hAnsi="Arial"/>
          <w:b/>
          <w:bCs/>
          <w:color w:val="1F4E79"/>
          <w:sz w:val="22"/>
          <w:szCs w:val="22"/>
        </w:rPr>
        <w:t xml:space="preserve">Sec 15: </w:t>
      </w:r>
      <w:r>
        <w:rPr>
          <w:rFonts w:ascii="Arial" w:cs="Arial" w:eastAsia="Arial" w:hAnsi="Arial"/>
          <w:sz w:val="22"/>
          <w:szCs w:val="22"/>
        </w:rPr>
        <w:t xml:space="preserve">Where the question is whether an act was accidental or intentional, a series of similar occurrences involving the same person is relevant (the 'brides in the bath' logic).</w:t>
      </w:r>
    </w:p>
    <w:p>
      <w:pPr>
        <w:spacing w:after="60" w:before="60"/>
        <w:ind w:left="200"/>
      </w:pPr>
      <w:r>
        <w:rPr>
          <w:rFonts w:ascii="Arial" w:cs="Arial" w:eastAsia="Arial" w:hAnsi="Arial"/>
          <w:b/>
          <w:bCs/>
          <w:color w:val="1F4E79"/>
          <w:sz w:val="22"/>
          <w:szCs w:val="22"/>
        </w:rPr>
        <w:t xml:space="preserve">Sec 16: </w:t>
      </w:r>
      <w:r>
        <w:rPr>
          <w:rFonts w:ascii="Arial" w:cs="Arial" w:eastAsia="Arial" w:hAnsi="Arial"/>
          <w:sz w:val="22"/>
          <w:szCs w:val="22"/>
        </w:rPr>
        <w:t xml:space="preserve">Course of business — the ordinary practice of an office/business is relevant to show a particular act was done.</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A WhatsApp voice note sent seconds after witnessing an event, or a live-streamed video, is the modern res gestae — contemporaneous, spontaneous, and time-stamped. Courts have started treating such material under Sec 6 provided the electronic record is itself proved (65B). Conspiracy cases now run on group chats: each message during the conspiracy's life is a Sec 10 act; messages after arrest are not.</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favourites: 'Res gestae' and 'Test identification parade' — 3 marks each. Give the section, one-line principle, one case. Part B: Sec 10 with Mirza Akbar and Nalini.</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03 — 'I Was With Him When He Died': Admissions and Confessions</w:t>
      </w:r>
    </w:p>
    <w:p>
      <w:pPr>
        <w:pStyle w:val="Heading2"/>
        <w:spacing w:after="160" w:before="360"/>
      </w:pPr>
      <w:r>
        <w:rPr>
          <w:rFonts w:ascii="Arial" w:cs="Arial" w:eastAsia="Arial" w:hAnsi="Arial"/>
          <w:b/>
          <w:bCs/>
          <w:color w:val="2E75B6"/>
          <w:sz w:val="26"/>
          <w:szCs w:val="26"/>
        </w:rPr>
        <w:t xml:space="preserve">Covers: Admissions (Sec 17–23) · Admission vs confession · Confessions and their exclusions (Sec 24, 25, 26) · Co-accused (Sec 30) · Retracted confessions</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Berhampur, 1937. A man named Kurree Nukaraju vanished. His body was found in a steel trunk on a train. The accused, Pakala Narayana Swami, told the police — and later the court — 'The deceased came to my house, I gave him food, and I went to the station and left him there.' Was this a confession? The Privy Council, through Lord Atkin, gave the answer that every Indian law student memorises: a confession must either admit the offence in terms, or admit substantially all the facts which constitute the offence. An admission of a gravely incriminating fact, even a conclusively incriminating fact, is not by itself a confession. 'I was with him that evening' incriminates — but a man can be with someone who later dies without killing him. It was an admission, not a confession. Swami was convicted anyway, on circumstantial evidence, but the definition he left behind has decided thousands of cases since.</w:t>
      </w:r>
    </w:p>
    <w:p>
      <w:pPr>
        <w:spacing w:after="120" w:before="240"/>
      </w:pPr>
      <w:r>
        <w:rPr>
          <w:rFonts w:ascii="Arial" w:cs="Arial" w:eastAsia="Arial" w:hAnsi="Arial"/>
          <w:b/>
          <w:bCs/>
          <w:color w:val="404040"/>
          <w:sz w:val="23"/>
          <w:szCs w:val="23"/>
        </w:rPr>
        <w:t xml:space="preserve">Admissions — Sec 17–23 (BSA Sec 15–21)</w:t>
      </w:r>
    </w:p>
    <w:p>
      <w:pPr>
        <w:spacing w:after="120" w:line="300"/>
        <w:jc w:val="both"/>
      </w:pPr>
      <w:r>
        <w:rPr>
          <w:rFonts w:ascii="Arial" w:cs="Arial" w:eastAsia="Arial" w:hAnsi="Arial"/>
          <w:sz w:val="22"/>
          <w:szCs w:val="22"/>
        </w:rPr>
        <w:t xml:space="preserve">An </w:t>
      </w:r>
      <w:r>
        <w:rPr>
          <w:rFonts w:ascii="Arial" w:cs="Arial" w:eastAsia="Arial" w:hAnsi="Arial"/>
          <w:b/>
          <w:bCs/>
          <w:sz w:val="22"/>
          <w:szCs w:val="22"/>
        </w:rPr>
        <w:t xml:space="preserve">admission</w:t>
      </w:r>
      <w:r>
        <w:rPr>
          <w:rFonts w:ascii="Arial" w:cs="Arial" w:eastAsia="Arial" w:hAnsi="Arial"/>
          <w:sz w:val="22"/>
          <w:szCs w:val="22"/>
        </w:rPr>
        <w:t xml:space="preserve"> is a statement, oral or documentary or electronic, which suggests an inference as to a fact in issue or relevant fact, made by a party or by a person whose statements are relevant against the party (Sec 18: agents, persons in representative character, persons with a proprietary interest; Sec 19–20: persons whose position must be proved, and referees). Admissions are relevant against the maker (Sec 21) but generally cannot be proved by the maker in his own favour — because a man cannot manufacture evidence for himself. Sec 22 and 22A: oral admissions as to the contents of documents/electronic records are not relevant unless the party is entitled to give secondary evidence or the genuineness is in question. Sec 23: admissions made 'without prejudice' in civil cases are not relevant.</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Admission vs confession:</w:t>
      </w:r>
      <w:r>
        <w:rPr>
          <w:rFonts w:ascii="Arial" w:cs="Arial" w:eastAsia="Arial" w:hAnsi="Arial"/>
          <w:sz w:val="22"/>
          <w:szCs w:val="22"/>
        </w:rPr>
        <w:t xml:space="preserve"> A confession is a species of admission — it is an admission made by an accused person </w:t>
      </w:r>
      <w:r>
        <w:rPr>
          <w:rFonts w:ascii="Arial" w:cs="Arial" w:eastAsia="Arial" w:hAnsi="Arial"/>
          <w:b/>
          <w:bCs/>
          <w:sz w:val="22"/>
          <w:szCs w:val="22"/>
        </w:rPr>
        <w:t xml:space="preserve">in a criminal case</w:t>
      </w:r>
      <w:r>
        <w:rPr>
          <w:rFonts w:ascii="Arial" w:cs="Arial" w:eastAsia="Arial" w:hAnsi="Arial"/>
          <w:sz w:val="22"/>
          <w:szCs w:val="22"/>
        </w:rPr>
        <w:t xml:space="preserve"> which admits guilt. Every confession is an admission; not every admission is a confession. Admissions are relevant in both civil and criminal cases; confessions only in criminal. Admissions can be made by agents; confessions only by the accused. An admission is not conclusive proof (Sec 31); a voluntary confession can be the sole basis of conviction if true.</w:t>
      </w:r>
    </w:p>
    <w:p>
      <w:pPr>
        <w:spacing w:after="120" w:before="240"/>
      </w:pPr>
      <w:r>
        <w:rPr>
          <w:rFonts w:ascii="Arial" w:cs="Arial" w:eastAsia="Arial" w:hAnsi="Arial"/>
          <w:b/>
          <w:bCs/>
          <w:color w:val="404040"/>
          <w:sz w:val="23"/>
          <w:szCs w:val="23"/>
        </w:rPr>
        <w:t xml:space="preserve">The three exclusions</w:t>
      </w:r>
    </w:p>
    <w:p>
      <w:pPr>
        <w:spacing w:after="60" w:before="60"/>
        <w:ind w:left="200"/>
      </w:pPr>
      <w:r>
        <w:rPr>
          <w:rFonts w:ascii="Arial" w:cs="Arial" w:eastAsia="Arial" w:hAnsi="Arial"/>
          <w:b/>
          <w:bCs/>
          <w:color w:val="1F4E79"/>
          <w:sz w:val="22"/>
          <w:szCs w:val="22"/>
        </w:rPr>
        <w:t xml:space="preserve">Sec 24 (BSA 22): </w:t>
      </w:r>
      <w:r>
        <w:rPr>
          <w:rFonts w:ascii="Arial" w:cs="Arial" w:eastAsia="Arial" w:hAnsi="Arial"/>
          <w:sz w:val="22"/>
          <w:szCs w:val="22"/>
        </w:rPr>
        <w:t xml:space="preserve">A confession caused by any inducement, threat, or promise, proceeding from a person in authority, relating to the charge, and sufficient to give the accused grounds for supposing he would gain an advantage or avoid an evil of a temporal nature — is irrelevant. Voluntariness is the whole point.</w:t>
      </w:r>
    </w:p>
    <w:p>
      <w:pPr>
        <w:spacing w:after="60" w:before="60"/>
        <w:ind w:left="200"/>
      </w:pPr>
      <w:r>
        <w:rPr>
          <w:rFonts w:ascii="Arial" w:cs="Arial" w:eastAsia="Arial" w:hAnsi="Arial"/>
          <w:b/>
          <w:bCs/>
          <w:color w:val="1F4E79"/>
          <w:sz w:val="22"/>
          <w:szCs w:val="22"/>
        </w:rPr>
        <w:t xml:space="preserve">Sec 25 (BSA 23(1)): </w:t>
      </w:r>
      <w:r>
        <w:rPr>
          <w:rFonts w:ascii="Arial" w:cs="Arial" w:eastAsia="Arial" w:hAnsi="Arial"/>
          <w:sz w:val="22"/>
          <w:szCs w:val="22"/>
        </w:rPr>
        <w:t xml:space="preserve">No confession made to a police officer shall be proved against the accused. Absolute bar, whatever the rank, whether in custody or not. Rationale: the Indian police of 1872 — and the Law Commission's view that the temptation to extract confessions is too great.</w:t>
      </w:r>
    </w:p>
    <w:p>
      <w:pPr>
        <w:spacing w:after="60" w:before="60"/>
        <w:ind w:left="200"/>
      </w:pPr>
      <w:r>
        <w:rPr>
          <w:rFonts w:ascii="Arial" w:cs="Arial" w:eastAsia="Arial" w:hAnsi="Arial"/>
          <w:b/>
          <w:bCs/>
          <w:color w:val="1F4E79"/>
          <w:sz w:val="22"/>
          <w:szCs w:val="22"/>
        </w:rPr>
        <w:t xml:space="preserve">Sec 26 (BSA 23(1)): </w:t>
      </w:r>
      <w:r>
        <w:rPr>
          <w:rFonts w:ascii="Arial" w:cs="Arial" w:eastAsia="Arial" w:hAnsi="Arial"/>
          <w:sz w:val="22"/>
          <w:szCs w:val="22"/>
        </w:rPr>
        <w:t xml:space="preserve">No confession made by any person while in the custody of a police officer shall be proved, unless made in the immediate presence of a Magistrate. This closes the loophole of a confession to a friend or relative while in the lock-up. 'Custody' includes constructive custody — anywhere the accused cannot freely leave.</w:t>
      </w:r>
    </w:p>
    <w:p>
      <w:pPr>
        <w:spacing w:after="60" w:before="60"/>
        <w:ind w:left="200"/>
      </w:pPr>
      <w:r>
        <w:rPr>
          <w:rFonts w:ascii="Arial" w:cs="Arial" w:eastAsia="Arial" w:hAnsi="Arial"/>
          <w:b/>
          <w:bCs/>
          <w:color w:val="1F4E79"/>
          <w:sz w:val="22"/>
          <w:szCs w:val="22"/>
        </w:rPr>
        <w:t xml:space="preserve">Sec 164 CrPC (BNSS 183): </w:t>
      </w:r>
      <w:r>
        <w:rPr>
          <w:rFonts w:ascii="Arial" w:cs="Arial" w:eastAsia="Arial" w:hAnsi="Arial"/>
          <w:sz w:val="22"/>
          <w:szCs w:val="22"/>
        </w:rPr>
        <w:t xml:space="preserve">The lawful route: a confession recorded by a Judicial Magistrate after warning the accused that he need not confess, and being satisfied it is voluntary. Must be recorded in the manner prescribed, signed, and the Magistrate must certify.</w:t>
      </w:r>
    </w:p>
    <w:p>
      <w:pPr>
        <w:spacing w:after="120" w:before="240"/>
      </w:pPr>
      <w:r>
        <w:rPr>
          <w:rFonts w:ascii="Arial" w:cs="Arial" w:eastAsia="Arial" w:hAnsi="Arial"/>
          <w:b/>
          <w:bCs/>
          <w:color w:val="404040"/>
          <w:sz w:val="23"/>
          <w:szCs w:val="23"/>
        </w:rPr>
        <w:t xml:space="preserve">Co-accused — Sec 30 (BSA 24)</w:t>
      </w:r>
    </w:p>
    <w:p>
      <w:pPr>
        <w:spacing w:after="120" w:line="300"/>
        <w:jc w:val="both"/>
      </w:pPr>
      <w:r>
        <w:rPr>
          <w:rFonts w:ascii="Arial" w:cs="Arial" w:eastAsia="Arial" w:hAnsi="Arial"/>
          <w:sz w:val="22"/>
          <w:szCs w:val="22"/>
        </w:rPr>
        <w:t xml:space="preserve">When more than one person is tried jointly for the same offence, and one of them confesses, affecting himself and others, the court </w:t>
      </w:r>
      <w:r>
        <w:rPr>
          <w:rFonts w:ascii="Arial" w:cs="Arial" w:eastAsia="Arial" w:hAnsi="Arial"/>
          <w:b/>
          <w:bCs/>
          <w:sz w:val="22"/>
          <w:szCs w:val="22"/>
        </w:rPr>
        <w:t xml:space="preserve">may take into consideration</w:t>
      </w:r>
      <w:r>
        <w:rPr>
          <w:rFonts w:ascii="Arial" w:cs="Arial" w:eastAsia="Arial" w:hAnsi="Arial"/>
          <w:sz w:val="22"/>
          <w:szCs w:val="22"/>
        </w:rPr>
        <w:t xml:space="preserve"> that confession against the others. Note the weak language — 'may take into consideration', not 'is evidence'. Bhuboni Sahu explained: it is not evidence in the ordinary sense; it can only lend assurance to other evidence, never be the foundation. Kashmira Singh: the court should first examine the other evidence; if that evidence, standing alone, would justify conviction, the confession may be used to reinforce; if not, the confession cannot fill the gap.</w:t>
      </w:r>
    </w:p>
    <w:p>
      <w:pPr>
        <w:spacing w:after="120" w:before="240"/>
      </w:pPr>
      <w:r>
        <w:rPr>
          <w:rFonts w:ascii="Arial" w:cs="Arial" w:eastAsia="Arial" w:hAnsi="Arial"/>
          <w:b/>
          <w:bCs/>
          <w:color w:val="404040"/>
          <w:sz w:val="23"/>
          <w:szCs w:val="23"/>
        </w:rPr>
        <w:t xml:space="preserve">Retracted confessions</w:t>
      </w:r>
    </w:p>
    <w:p>
      <w:pPr>
        <w:spacing w:after="120" w:line="300"/>
        <w:jc w:val="both"/>
      </w:pPr>
      <w:r>
        <w:rPr>
          <w:rFonts w:ascii="Arial" w:cs="Arial" w:eastAsia="Arial" w:hAnsi="Arial"/>
          <w:sz w:val="22"/>
          <w:szCs w:val="22"/>
        </w:rPr>
        <w:t xml:space="preserve">A confession that the accused later withdraws. Not inadmissible — but the court must (1) find it was voluntary and true, and (2) as a rule of prudence, seek corroboration in material particulars before acting on it. The retraction itself is not proof of involuntariness. Pyare Lal Bhargava: a retracted confession may form the basis of conviction if the court is satisfied it was true and voluntary, but courts do not do so without general corroboration.</w:t>
      </w:r>
    </w:p>
    <w:p>
      <w:pPr>
        <w:pBdr>
          <w:left w:val="single" w:color="CC0000" w:sz="6" w:space="8"/>
        </w:pBdr>
        <w:spacing w:after="80" w:before="80"/>
        <w:ind w:left="300"/>
      </w:pPr>
      <w:r>
        <w:rPr>
          <w:rFonts w:ascii="Arial" w:cs="Arial" w:eastAsia="Arial" w:hAnsi="Arial"/>
          <w:b/>
          <w:bCs/>
          <w:color w:val="CC0000"/>
          <w:sz w:val="21"/>
          <w:szCs w:val="21"/>
        </w:rPr>
        <w:t xml:space="preserve">Pakala Narayana Swami v. Emperor (1939) — </w:t>
      </w:r>
      <w:r>
        <w:rPr>
          <w:rFonts w:ascii="Arial" w:cs="Arial" w:eastAsia="Arial" w:hAnsi="Arial"/>
          <w:sz w:val="21"/>
          <w:szCs w:val="21"/>
        </w:rPr>
        <w:t xml:space="preserve">Definition of confession — admit the offence in terms, or substantially all facts constituting it. A statement with an exculpatory part that, if true, would negate the offence is not a confession.</w:t>
      </w:r>
    </w:p>
    <w:p>
      <w:pPr>
        <w:pBdr>
          <w:left w:val="single" w:color="CC0000" w:sz="6" w:space="8"/>
        </w:pBdr>
        <w:spacing w:after="80" w:before="80"/>
        <w:ind w:left="300"/>
      </w:pPr>
      <w:r>
        <w:rPr>
          <w:rFonts w:ascii="Arial" w:cs="Arial" w:eastAsia="Arial" w:hAnsi="Arial"/>
          <w:b/>
          <w:bCs/>
          <w:color w:val="CC0000"/>
          <w:sz w:val="21"/>
          <w:szCs w:val="21"/>
        </w:rPr>
        <w:t xml:space="preserve">Palvinder Kaur v. State of Punjab (1952) — </w:t>
      </w:r>
      <w:r>
        <w:rPr>
          <w:rFonts w:ascii="Arial" w:cs="Arial" w:eastAsia="Arial" w:hAnsi="Arial"/>
          <w:sz w:val="21"/>
          <w:szCs w:val="21"/>
        </w:rPr>
        <w:t xml:space="preserve">A confession must be taken as a whole; the court cannot accept the inculpatory part and reject the exculpatory part. If the statement as a whole is exculpatory, it is not a confession at all.</w:t>
      </w:r>
    </w:p>
    <w:p>
      <w:pPr>
        <w:pBdr>
          <w:left w:val="single" w:color="CC0000" w:sz="6" w:space="8"/>
        </w:pBdr>
        <w:spacing w:after="80" w:before="80"/>
        <w:ind w:left="300"/>
      </w:pPr>
      <w:r>
        <w:rPr>
          <w:rFonts w:ascii="Arial" w:cs="Arial" w:eastAsia="Arial" w:hAnsi="Arial"/>
          <w:b/>
          <w:bCs/>
          <w:color w:val="CC0000"/>
          <w:sz w:val="21"/>
          <w:szCs w:val="21"/>
        </w:rPr>
        <w:t xml:space="preserve">Aghnoo Nagesia v. State of Bihar (1966) — </w:t>
      </w:r>
      <w:r>
        <w:rPr>
          <w:rFonts w:ascii="Arial" w:cs="Arial" w:eastAsia="Arial" w:hAnsi="Arial"/>
          <w:sz w:val="21"/>
          <w:szCs w:val="21"/>
        </w:rPr>
        <w:t xml:space="preserve">A confession to police is barred in its entirety — even the parts that are merely admissions of fact cannot be separated and proved. The FIR lodged by the accused confessing the murder was inadmissible except for the fact that he lodged it.</w:t>
      </w:r>
    </w:p>
    <w:p>
      <w:pPr>
        <w:pBdr>
          <w:left w:val="single" w:color="CC0000" w:sz="6" w:space="8"/>
        </w:pBdr>
        <w:spacing w:after="80" w:before="80"/>
        <w:ind w:left="300"/>
      </w:pPr>
      <w:r>
        <w:rPr>
          <w:rFonts w:ascii="Arial" w:cs="Arial" w:eastAsia="Arial" w:hAnsi="Arial"/>
          <w:b/>
          <w:bCs/>
          <w:color w:val="CC0000"/>
          <w:sz w:val="21"/>
          <w:szCs w:val="21"/>
        </w:rPr>
        <w:t xml:space="preserve">State (NCT of Delhi) v. Navjot Sandhu (Parliament Attack, 2005) — </w:t>
      </w:r>
      <w:r>
        <w:rPr>
          <w:rFonts w:ascii="Arial" w:cs="Arial" w:eastAsia="Arial" w:hAnsi="Arial"/>
          <w:sz w:val="21"/>
          <w:szCs w:val="21"/>
        </w:rPr>
        <w:t xml:space="preserve">Under POTA, confessions to a police officer of DSP rank were admissible by special statute — showing Sec 25 is a rule of the Evidence Act that a special Act can override. The Court still insisted on stringent safeguards and voluntariness.</w:t>
      </w:r>
    </w:p>
    <w:p>
      <w:pPr>
        <w:pBdr>
          <w:left w:val="single" w:color="CC0000" w:sz="6" w:space="8"/>
        </w:pBdr>
        <w:spacing w:after="80" w:before="80"/>
        <w:ind w:left="300"/>
      </w:pPr>
      <w:r>
        <w:rPr>
          <w:rFonts w:ascii="Arial" w:cs="Arial" w:eastAsia="Arial" w:hAnsi="Arial"/>
          <w:b/>
          <w:bCs/>
          <w:color w:val="CC0000"/>
          <w:sz w:val="21"/>
          <w:szCs w:val="21"/>
        </w:rPr>
        <w:t xml:space="preserve">Bhuboni Sahu v. King (1949) / Kashmira Singh v. State of MP (1952) — </w:t>
      </w:r>
      <w:r>
        <w:rPr>
          <w:rFonts w:ascii="Arial" w:cs="Arial" w:eastAsia="Arial" w:hAnsi="Arial"/>
          <w:sz w:val="21"/>
          <w:szCs w:val="21"/>
        </w:rPr>
        <w:t xml:space="preserve">Sec 30 confession of a co-accused is very weak evidence — cannot be the foundation of conviction; only used to lend assurance.</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Chats, emails, and voice notes to friends saying 'I did it' are admissions/confessions under Sec 17 and Sec 24 — but if sent while in police custody (even from the lock-up phone), Sec 26 bars them. Video-recorded Sec 164 confessions are now standard; BNSS Sec 183 expressly allows audio-video recording. Recovery of the phone itself is Sec 27 territory — next episode.</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This topic is a certainty. Part A: 'Distinguish admission and confession' or 'Retracted confession'. Part B: 'Discuss the provisions relating to confession to a police officer and while in police custody' — write Sec 24, 25, 26 with Aghnoo Nagesia and the Sec 164 route. Part C classic: accused makes statement to police 'I killed him and hid the knife under the bridge' — Sec 25 bars the confession; Sec 27 saves only 'the knife is under the bridge' if the knife is found (Episode 04).</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04 — The Tip of the Iceberg: Pulukuri Kottaya and Section 27</w:t>
      </w:r>
    </w:p>
    <w:p>
      <w:pPr>
        <w:pStyle w:val="Heading2"/>
        <w:spacing w:after="160" w:before="360"/>
      </w:pPr>
      <w:r>
        <w:rPr>
          <w:rFonts w:ascii="Arial" w:cs="Arial" w:eastAsia="Arial" w:hAnsi="Arial"/>
          <w:b/>
          <w:bCs/>
          <w:color w:val="2E75B6"/>
          <w:sz w:val="26"/>
          <w:szCs w:val="26"/>
        </w:rPr>
        <w:t xml:space="preserve">Covers: Sec 27 discovery statements · 'distinctly relates' · Digital discoveries (phones, PINs, cloud)</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A village in Andhra, 1946. A faction fight leaves a man dead. The accused, in police custody, says: 'About fourteen days ago I, Kottaya, and others killed Sivayya… I hid the spear in the rick of my village. I will show it if you come.' The police go; the spear is found in the rick. Can that whole statement go in? It is a confession to a police officer — Sec 25 says no. But Sec 27 says: when any fact is discovered in consequence of information received from an accused in custody, **so much of the information as relates distinctly to the fact thereby discovered** may be proved. The Privy Council in Kottaya drew the line with a metaphor that still governs: only the information that led to the spear — 'I hid the spear in the rick' — is admissible. The rest — 'I killed Sivayya' — stays out. The discovered fact is the spear plus the accused's knowledge of where it was. The murder itself was not 'discovered' by finding the spear. Section 27 lifts the ban only for the tip of the iceberg that touches the discovery, not the whole mass beneath.</w:t>
      </w:r>
    </w:p>
    <w:p>
      <w:pPr>
        <w:spacing w:after="120" w:before="240"/>
      </w:pPr>
      <w:r>
        <w:rPr>
          <w:rFonts w:ascii="Arial" w:cs="Arial" w:eastAsia="Arial" w:hAnsi="Arial"/>
          <w:b/>
          <w:bCs/>
          <w:color w:val="404040"/>
          <w:sz w:val="23"/>
          <w:szCs w:val="23"/>
        </w:rPr>
        <w:t xml:space="preserve">The conditions — Sec 27 (BSA Sec 23(2))</w:t>
      </w:r>
    </w:p>
    <w:p>
      <w:pPr>
        <w:spacing w:after="120" w:line="300"/>
        <w:jc w:val="both"/>
      </w:pPr>
      <w:r>
        <w:rPr>
          <w:rFonts w:ascii="Arial" w:cs="Arial" w:eastAsia="Arial" w:hAnsi="Arial"/>
          <w:sz w:val="22"/>
          <w:szCs w:val="22"/>
        </w:rPr>
        <w:t xml:space="preserve">(1) The person must be </w:t>
      </w:r>
      <w:r>
        <w:rPr>
          <w:rFonts w:ascii="Arial" w:cs="Arial" w:eastAsia="Arial" w:hAnsi="Arial"/>
          <w:b/>
          <w:bCs/>
          <w:sz w:val="22"/>
          <w:szCs w:val="22"/>
        </w:rPr>
        <w:t xml:space="preserve">accused</w:t>
      </w:r>
      <w:r>
        <w:rPr>
          <w:rFonts w:ascii="Arial" w:cs="Arial" w:eastAsia="Arial" w:hAnsi="Arial"/>
          <w:sz w:val="22"/>
          <w:szCs w:val="22"/>
        </w:rPr>
        <w:t xml:space="preserve"> of an offence. (2) He must be in </w:t>
      </w:r>
      <w:r>
        <w:rPr>
          <w:rFonts w:ascii="Arial" w:cs="Arial" w:eastAsia="Arial" w:hAnsi="Arial"/>
          <w:b/>
          <w:bCs/>
          <w:sz w:val="22"/>
          <w:szCs w:val="22"/>
        </w:rPr>
        <w:t xml:space="preserve">police custody</w:t>
      </w:r>
      <w:r>
        <w:rPr>
          <w:rFonts w:ascii="Arial" w:cs="Arial" w:eastAsia="Arial" w:hAnsi="Arial"/>
          <w:sz w:val="22"/>
          <w:szCs w:val="22"/>
        </w:rPr>
        <w:t xml:space="preserve"> (the section was designed as a proviso to Sec 25 and 26). (3) </w:t>
      </w:r>
      <w:r>
        <w:rPr>
          <w:rFonts w:ascii="Arial" w:cs="Arial" w:eastAsia="Arial" w:hAnsi="Arial"/>
          <w:b/>
          <w:bCs/>
          <w:sz w:val="22"/>
          <w:szCs w:val="22"/>
        </w:rPr>
        <w:t xml:space="preserve">Information</w:t>
      </w:r>
      <w:r>
        <w:rPr>
          <w:rFonts w:ascii="Arial" w:cs="Arial" w:eastAsia="Arial" w:hAnsi="Arial"/>
          <w:sz w:val="22"/>
          <w:szCs w:val="22"/>
        </w:rPr>
        <w:t xml:space="preserve"> must be received from him. (4) A </w:t>
      </w:r>
      <w:r>
        <w:rPr>
          <w:rFonts w:ascii="Arial" w:cs="Arial" w:eastAsia="Arial" w:hAnsi="Arial"/>
          <w:b/>
          <w:bCs/>
          <w:sz w:val="22"/>
          <w:szCs w:val="22"/>
        </w:rPr>
        <w:t xml:space="preserve">fact must be discovered</w:t>
      </w:r>
      <w:r>
        <w:rPr>
          <w:rFonts w:ascii="Arial" w:cs="Arial" w:eastAsia="Arial" w:hAnsi="Arial"/>
          <w:sz w:val="22"/>
          <w:szCs w:val="22"/>
        </w:rPr>
        <w:t xml:space="preserve"> in consequence of that information — a fact the police did not already know. (5) Only that part of the information which </w:t>
      </w:r>
      <w:r>
        <w:rPr>
          <w:rFonts w:ascii="Arial" w:cs="Arial" w:eastAsia="Arial" w:hAnsi="Arial"/>
          <w:b/>
          <w:bCs/>
          <w:sz w:val="22"/>
          <w:szCs w:val="22"/>
        </w:rPr>
        <w:t xml:space="preserve">distinctly relates</w:t>
      </w:r>
      <w:r>
        <w:rPr>
          <w:rFonts w:ascii="Arial" w:cs="Arial" w:eastAsia="Arial" w:hAnsi="Arial"/>
          <w:sz w:val="22"/>
          <w:szCs w:val="22"/>
        </w:rPr>
        <w:t xml:space="preserve"> to the fact discovered is admissible. The 'fact discovered' includes the physical object, the place, and the accused's knowledge of it. Whether the information was voluntary is irrelevant to admissibility (but goes to weight; and Art 20(3) is not violated because the accused is not compelled to be a witness — Kathi Kalu Oghad).</w:t>
      </w:r>
    </w:p>
    <w:p>
      <w:pPr>
        <w:spacing w:after="120" w:before="240"/>
      </w:pPr>
      <w:r>
        <w:rPr>
          <w:rFonts w:ascii="Arial" w:cs="Arial" w:eastAsia="Arial" w:hAnsi="Arial"/>
          <w:b/>
          <w:bCs/>
          <w:color w:val="404040"/>
          <w:sz w:val="23"/>
          <w:szCs w:val="23"/>
        </w:rPr>
        <w:t xml:space="preserve">What is NOT a discovery</w:t>
      </w:r>
    </w:p>
    <w:p>
      <w:pPr>
        <w:spacing w:after="120" w:line="300"/>
        <w:jc w:val="both"/>
      </w:pPr>
      <w:r>
        <w:rPr>
          <w:rFonts w:ascii="Arial" w:cs="Arial" w:eastAsia="Arial" w:hAnsi="Arial"/>
          <w:sz w:val="22"/>
          <w:szCs w:val="22"/>
        </w:rPr>
        <w:t xml:space="preserve">If the police already knew where the object was, nothing is 'discovered'. If the object is found from an open place accessible to all, courts are cautious — the accused's 'knowledge' proves little. If the accused merely points to a place without any statement, some courts admit it as conduct under Sec 8; the safer course for prosecution is to prove the words that led to the recovery. Joint disclosure by two accused of the same fact: only the first in time 'discovers' (Mohd. Inayatullah); simultaneous joint statements are treated with care.</w:t>
      </w:r>
    </w:p>
    <w:p>
      <w:pPr>
        <w:pBdr>
          <w:left w:val="single" w:color="CC0000" w:sz="6" w:space="8"/>
        </w:pBdr>
        <w:spacing w:after="80" w:before="80"/>
        <w:ind w:left="300"/>
      </w:pPr>
      <w:r>
        <w:rPr>
          <w:rFonts w:ascii="Arial" w:cs="Arial" w:eastAsia="Arial" w:hAnsi="Arial"/>
          <w:b/>
          <w:bCs/>
          <w:color w:val="CC0000"/>
          <w:sz w:val="21"/>
          <w:szCs w:val="21"/>
        </w:rPr>
        <w:t xml:space="preserve">Pulukuri Kottaya v. Emperor (1947) — </w:t>
      </w:r>
      <w:r>
        <w:rPr>
          <w:rFonts w:ascii="Arial" w:cs="Arial" w:eastAsia="Arial" w:hAnsi="Arial"/>
          <w:sz w:val="21"/>
          <w:szCs w:val="21"/>
        </w:rPr>
        <w:t xml:space="preserve">The foundational case: only so much of the information as distinctly relates to the fact discovered; the fact discovered includes the accused's knowledge; the confession of the offence is not discovered by finding the weapon.</w:t>
      </w:r>
    </w:p>
    <w:p>
      <w:pPr>
        <w:pBdr>
          <w:left w:val="single" w:color="CC0000" w:sz="6" w:space="8"/>
        </w:pBdr>
        <w:spacing w:after="80" w:before="80"/>
        <w:ind w:left="300"/>
      </w:pPr>
      <w:r>
        <w:rPr>
          <w:rFonts w:ascii="Arial" w:cs="Arial" w:eastAsia="Arial" w:hAnsi="Arial"/>
          <w:b/>
          <w:bCs/>
          <w:color w:val="CC0000"/>
          <w:sz w:val="21"/>
          <w:szCs w:val="21"/>
        </w:rPr>
        <w:t xml:space="preserve">State of UP v. Deoman Upadhyaya (1960) — </w:t>
      </w:r>
      <w:r>
        <w:rPr>
          <w:rFonts w:ascii="Arial" w:cs="Arial" w:eastAsia="Arial" w:hAnsi="Arial"/>
          <w:sz w:val="21"/>
          <w:szCs w:val="21"/>
        </w:rPr>
        <w:t xml:space="preserve">Sec 27 is constitutionally valid; 'custody' includes a person who surrenders and is in the company of police; the discrimination between custodial and non-custodial statements is reasonable.</w:t>
      </w:r>
    </w:p>
    <w:p>
      <w:pPr>
        <w:pBdr>
          <w:left w:val="single" w:color="CC0000" w:sz="6" w:space="8"/>
        </w:pBdr>
        <w:spacing w:after="80" w:before="80"/>
        <w:ind w:left="300"/>
      </w:pPr>
      <w:r>
        <w:rPr>
          <w:rFonts w:ascii="Arial" w:cs="Arial" w:eastAsia="Arial" w:hAnsi="Arial"/>
          <w:b/>
          <w:bCs/>
          <w:color w:val="CC0000"/>
          <w:sz w:val="21"/>
          <w:szCs w:val="21"/>
        </w:rPr>
        <w:t xml:space="preserve">State of Bombay v. Kathi Kalu Oghad (1961) — </w:t>
      </w:r>
      <w:r>
        <w:rPr>
          <w:rFonts w:ascii="Arial" w:cs="Arial" w:eastAsia="Arial" w:hAnsi="Arial"/>
          <w:sz w:val="21"/>
          <w:szCs w:val="21"/>
        </w:rPr>
        <w:t xml:space="preserve">Sec 27 does not violate Art 20(3) — giving a disclosure statement is not being 'compelled to be a witness against himself' unless there is actual compulsion.</w:t>
      </w:r>
    </w:p>
    <w:p>
      <w:pPr>
        <w:pBdr>
          <w:left w:val="single" w:color="CC0000" w:sz="6" w:space="8"/>
        </w:pBdr>
        <w:spacing w:after="80" w:before="80"/>
        <w:ind w:left="300"/>
      </w:pPr>
      <w:r>
        <w:rPr>
          <w:rFonts w:ascii="Arial" w:cs="Arial" w:eastAsia="Arial" w:hAnsi="Arial"/>
          <w:b/>
          <w:bCs/>
          <w:color w:val="CC0000"/>
          <w:sz w:val="21"/>
          <w:szCs w:val="21"/>
        </w:rPr>
        <w:t xml:space="preserve">Mohd. Inayatullah v. State of Maharashtra (1976) — </w:t>
      </w:r>
      <w:r>
        <w:rPr>
          <w:rFonts w:ascii="Arial" w:cs="Arial" w:eastAsia="Arial" w:hAnsi="Arial"/>
          <w:sz w:val="21"/>
          <w:szCs w:val="21"/>
        </w:rPr>
        <w:t xml:space="preserve">The expression 'fact discovered' includes the object and the place from which it was produced and the accused's knowledge; the information must be the direct cause of the discovery.</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The hard modern questions: (a) Accused says 'the photos are on my phone, the PIN is 4567' — the phone and its contents are discovered; the PIN statement distinctly relates. Most High Courts admit it. (b) Accused unlocks the phone by fingerprint at police request — conduct, not statement; Art 20(3) issues are live (Virendra Khanna v. State of Karnataka, 2021, Karnataka HC: directions on compelled biometrics/passwords; matter pending before the SC). (c) 'The files are in my Google Drive' — discovery of cloud data, chain of custody via forensic export, then 65B certificate. Sec 27 gets the data in the door; 65B proves the printout.</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Sec 27 is asked every year in some form. Structure: bar (25/26) → exception (27) → five conditions → Kottaya's iceberg → Deoman and Kathi Kalu on validity → one digital example. Part C: always separate the confession part (out) from the discovery part (in).</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05 — The Last Words: Dying Declarations</w:t>
      </w:r>
    </w:p>
    <w:p>
      <w:pPr>
        <w:pStyle w:val="Heading2"/>
        <w:spacing w:after="160" w:before="360"/>
      </w:pPr>
      <w:r>
        <w:rPr>
          <w:rFonts w:ascii="Arial" w:cs="Arial" w:eastAsia="Arial" w:hAnsi="Arial"/>
          <w:b/>
          <w:bCs/>
          <w:color w:val="2E75B6"/>
          <w:sz w:val="26"/>
          <w:szCs w:val="26"/>
        </w:rPr>
        <w:t xml:space="preserve">Covers: Sec 32(1) dying declaration · Judicial standards · Sec 32(2)–(8) and Sec 33 other statements of unavailable persons</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Nagpur, 1960s. Laxman's wife was set on fire in the kitchen. Before she died she told the Judicial Magistrate that her husband had poured kerosene and lit the match. No doctor had certified in writing that she was fit to make the statement — the doctor was there, but the paper trail was thin. The defence argued the declaration was worthless without a fitness certificate. The matter went up to a Constitution Bench of the Supreme Court in Laxman v. State of Maharashtra (2002), which said: the absence of a doctor's certificate is not fatal. What matters is whether the court is satisfied, from all the circumstances, that the declarant was in a fit state of mind and the statement is voluntary and true. A dying declaration is not a formality; it is a search for truth in a person's last conscious moments. The law presumes no one meets their maker with a lie on their lips — nemo moriturus praesumitur mentire. Laxman was convicted. The principle: a truthful dying declaration, even without corroboration, can be the sole basis of conviction.</w:t>
      </w:r>
    </w:p>
    <w:p>
      <w:pPr>
        <w:spacing w:after="120" w:before="240"/>
      </w:pPr>
      <w:r>
        <w:rPr>
          <w:rFonts w:ascii="Arial" w:cs="Arial" w:eastAsia="Arial" w:hAnsi="Arial"/>
          <w:b/>
          <w:bCs/>
          <w:color w:val="404040"/>
          <w:sz w:val="23"/>
          <w:szCs w:val="23"/>
        </w:rPr>
        <w:t xml:space="preserve">Sec 32(1) — (BSA Sec 26(a))</w:t>
      </w:r>
    </w:p>
    <w:p>
      <w:pPr>
        <w:spacing w:after="120" w:line="300"/>
        <w:jc w:val="both"/>
      </w:pPr>
      <w:r>
        <w:rPr>
          <w:rFonts w:ascii="Arial" w:cs="Arial" w:eastAsia="Arial" w:hAnsi="Arial"/>
          <w:sz w:val="22"/>
          <w:szCs w:val="22"/>
        </w:rPr>
        <w:t xml:space="preserve">A statement, written or verbal, of relevant facts made by a person who is dead, as to the </w:t>
      </w:r>
      <w:r>
        <w:rPr>
          <w:rFonts w:ascii="Arial" w:cs="Arial" w:eastAsia="Arial" w:hAnsi="Arial"/>
          <w:b/>
          <w:bCs/>
          <w:sz w:val="22"/>
          <w:szCs w:val="22"/>
        </w:rPr>
        <w:t xml:space="preserve">cause of his death</w:t>
      </w:r>
      <w:r>
        <w:rPr>
          <w:rFonts w:ascii="Arial" w:cs="Arial" w:eastAsia="Arial" w:hAnsi="Arial"/>
          <w:sz w:val="22"/>
          <w:szCs w:val="22"/>
        </w:rPr>
        <w:t xml:space="preserve"> or </w:t>
      </w:r>
      <w:r>
        <w:rPr>
          <w:rFonts w:ascii="Arial" w:cs="Arial" w:eastAsia="Arial" w:hAnsi="Arial"/>
          <w:b/>
          <w:bCs/>
          <w:sz w:val="22"/>
          <w:szCs w:val="22"/>
        </w:rPr>
        <w:t xml:space="preserve">any of the circumstances of the transaction which resulted in his death</w:t>
      </w:r>
      <w:r>
        <w:rPr>
          <w:rFonts w:ascii="Arial" w:cs="Arial" w:eastAsia="Arial" w:hAnsi="Arial"/>
          <w:sz w:val="22"/>
          <w:szCs w:val="22"/>
        </w:rPr>
        <w:t xml:space="preserve">, is relevant in cases in which the cause of that person's death comes into question. Such statements are relevant whether or not the person was under expectation of death at the time — this is the key difference from English law (where expectation of death is essential). Applies in civil and criminal proceedings.</w:t>
      </w:r>
    </w:p>
    <w:p>
      <w:pPr>
        <w:spacing w:after="120" w:before="240"/>
      </w:pPr>
      <w:r>
        <w:rPr>
          <w:rFonts w:ascii="Arial" w:cs="Arial" w:eastAsia="Arial" w:hAnsi="Arial"/>
          <w:b/>
          <w:bCs/>
          <w:color w:val="404040"/>
          <w:sz w:val="23"/>
          <w:szCs w:val="23"/>
        </w:rPr>
        <w:t xml:space="preserve">Judicial standards for appreciation</w:t>
      </w:r>
    </w:p>
    <w:p>
      <w:pPr>
        <w:spacing w:after="120" w:line="300"/>
        <w:jc w:val="both"/>
      </w:pPr>
      <w:r>
        <w:rPr>
          <w:rFonts w:ascii="Arial" w:cs="Arial" w:eastAsia="Arial" w:hAnsi="Arial"/>
          <w:sz w:val="22"/>
          <w:szCs w:val="22"/>
        </w:rPr>
        <w:t xml:space="preserve">(1) </w:t>
      </w:r>
      <w:r>
        <w:rPr>
          <w:rFonts w:ascii="Arial" w:cs="Arial" w:eastAsia="Arial" w:hAnsi="Arial"/>
          <w:b/>
          <w:bCs/>
          <w:sz w:val="22"/>
          <w:szCs w:val="22"/>
        </w:rPr>
        <w:t xml:space="preserve">Fit state of mind</w:t>
      </w:r>
      <w:r>
        <w:rPr>
          <w:rFonts w:ascii="Arial" w:cs="Arial" w:eastAsia="Arial" w:hAnsi="Arial"/>
          <w:sz w:val="22"/>
          <w:szCs w:val="22"/>
        </w:rPr>
        <w:t xml:space="preserve"> — from surrounding circumstances; a doctor's certificate is desirable but not mandatory (Laxman). (2) </w:t>
      </w:r>
      <w:r>
        <w:rPr>
          <w:rFonts w:ascii="Arial" w:cs="Arial" w:eastAsia="Arial" w:hAnsi="Arial"/>
          <w:b/>
          <w:bCs/>
          <w:sz w:val="22"/>
          <w:szCs w:val="22"/>
        </w:rPr>
        <w:t xml:space="preserve">Voluntary</w:t>
      </w:r>
      <w:r>
        <w:rPr>
          <w:rFonts w:ascii="Arial" w:cs="Arial" w:eastAsia="Arial" w:hAnsi="Arial"/>
          <w:sz w:val="22"/>
          <w:szCs w:val="22"/>
        </w:rPr>
        <w:t xml:space="preserve"> — not the product of tutoring or prompting; the declarant should not be surrounded by interested relatives. (3) </w:t>
      </w:r>
      <w:r>
        <w:rPr>
          <w:rFonts w:ascii="Arial" w:cs="Arial" w:eastAsia="Arial" w:hAnsi="Arial"/>
          <w:b/>
          <w:bCs/>
          <w:sz w:val="22"/>
          <w:szCs w:val="22"/>
        </w:rPr>
        <w:t xml:space="preserve">Consistent</w:t>
      </w:r>
      <w:r>
        <w:rPr>
          <w:rFonts w:ascii="Arial" w:cs="Arial" w:eastAsia="Arial" w:hAnsi="Arial"/>
          <w:sz w:val="22"/>
          <w:szCs w:val="22"/>
        </w:rPr>
        <w:t xml:space="preserve"> — multiple dying declarations should be consistent in material particulars; inconsistency requires the court to examine which is reliable. (4) </w:t>
      </w:r>
      <w:r>
        <w:rPr>
          <w:rFonts w:ascii="Arial" w:cs="Arial" w:eastAsia="Arial" w:hAnsi="Arial"/>
          <w:b/>
          <w:bCs/>
          <w:sz w:val="22"/>
          <w:szCs w:val="22"/>
        </w:rPr>
        <w:t xml:space="preserve">Recorded properly</w:t>
      </w:r>
      <w:r>
        <w:rPr>
          <w:rFonts w:ascii="Arial" w:cs="Arial" w:eastAsia="Arial" w:hAnsi="Arial"/>
          <w:sz w:val="22"/>
          <w:szCs w:val="22"/>
        </w:rPr>
        <w:t xml:space="preserve"> — ideally by a Magistrate in question-answer form, but a declaration to a doctor, police officer, or relative is admissible; the recorder's credibility matters. (5) </w:t>
      </w:r>
      <w:r>
        <w:rPr>
          <w:rFonts w:ascii="Arial" w:cs="Arial" w:eastAsia="Arial" w:hAnsi="Arial"/>
          <w:b/>
          <w:bCs/>
          <w:sz w:val="22"/>
          <w:szCs w:val="22"/>
        </w:rPr>
        <w:t xml:space="preserve">Complete</w:t>
      </w:r>
      <w:r>
        <w:rPr>
          <w:rFonts w:ascii="Arial" w:cs="Arial" w:eastAsia="Arial" w:hAnsi="Arial"/>
          <w:sz w:val="22"/>
          <w:szCs w:val="22"/>
        </w:rPr>
        <w:t xml:space="preserve"> — an incomplete declaration where the declarant could not finish may be rejected unless what is stated is itself sufficient. (6) 'Circumstances of the transaction' — proximate, not remote (Pakala Narayana Swami: the statement 'I am going to Berhampur to collect money from the accused' made days before was a circumstance of the transaction resulting in death).</w:t>
      </w:r>
    </w:p>
    <w:p>
      <w:pPr>
        <w:spacing w:after="120" w:before="240"/>
      </w:pPr>
      <w:r>
        <w:rPr>
          <w:rFonts w:ascii="Arial" w:cs="Arial" w:eastAsia="Arial" w:hAnsi="Arial"/>
          <w:b/>
          <w:bCs/>
          <w:color w:val="404040"/>
          <w:sz w:val="23"/>
          <w:szCs w:val="23"/>
        </w:rPr>
        <w:t xml:space="preserve">Sec 32(2)–(8) and Sec 33</w:t>
      </w:r>
    </w:p>
    <w:p>
      <w:pPr>
        <w:spacing w:after="60" w:before="60"/>
        <w:ind w:left="200"/>
      </w:pPr>
      <w:r>
        <w:rPr>
          <w:rFonts w:ascii="Arial" w:cs="Arial" w:eastAsia="Arial" w:hAnsi="Arial"/>
          <w:b/>
          <w:bCs/>
          <w:color w:val="1F4E79"/>
          <w:sz w:val="22"/>
          <w:szCs w:val="22"/>
        </w:rPr>
        <w:t xml:space="preserve">32(2): </w:t>
      </w:r>
      <w:r>
        <w:rPr>
          <w:rFonts w:ascii="Arial" w:cs="Arial" w:eastAsia="Arial" w:hAnsi="Arial"/>
          <w:sz w:val="22"/>
          <w:szCs w:val="22"/>
        </w:rPr>
        <w:t xml:space="preserve">Statements made in the ordinary course of business (entries in books, letters, receipts).</w:t>
      </w:r>
    </w:p>
    <w:p>
      <w:pPr>
        <w:spacing w:after="60" w:before="60"/>
        <w:ind w:left="200"/>
      </w:pPr>
      <w:r>
        <w:rPr>
          <w:rFonts w:ascii="Arial" w:cs="Arial" w:eastAsia="Arial" w:hAnsi="Arial"/>
          <w:b/>
          <w:bCs/>
          <w:color w:val="1F4E79"/>
          <w:sz w:val="22"/>
          <w:szCs w:val="22"/>
        </w:rPr>
        <w:t xml:space="preserve">32(3): </w:t>
      </w:r>
      <w:r>
        <w:rPr>
          <w:rFonts w:ascii="Arial" w:cs="Arial" w:eastAsia="Arial" w:hAnsi="Arial"/>
          <w:sz w:val="22"/>
          <w:szCs w:val="22"/>
        </w:rPr>
        <w:t xml:space="preserve">Statements against the pecuniary or proprietary interest of the maker.</w:t>
      </w:r>
    </w:p>
    <w:p>
      <w:pPr>
        <w:spacing w:after="60" w:before="60"/>
        <w:ind w:left="200"/>
      </w:pPr>
      <w:r>
        <w:rPr>
          <w:rFonts w:ascii="Arial" w:cs="Arial" w:eastAsia="Arial" w:hAnsi="Arial"/>
          <w:b/>
          <w:bCs/>
          <w:color w:val="1F4E79"/>
          <w:sz w:val="22"/>
          <w:szCs w:val="22"/>
        </w:rPr>
        <w:t xml:space="preserve">32(4): </w:t>
      </w:r>
      <w:r>
        <w:rPr>
          <w:rFonts w:ascii="Arial" w:cs="Arial" w:eastAsia="Arial" w:hAnsi="Arial"/>
          <w:sz w:val="22"/>
          <w:szCs w:val="22"/>
        </w:rPr>
        <w:t xml:space="preserve">Opinion as to public right or custom by a person who would have known.</w:t>
      </w:r>
    </w:p>
    <w:p>
      <w:pPr>
        <w:spacing w:after="60" w:before="60"/>
        <w:ind w:left="200"/>
      </w:pPr>
      <w:r>
        <w:rPr>
          <w:rFonts w:ascii="Arial" w:cs="Arial" w:eastAsia="Arial" w:hAnsi="Arial"/>
          <w:b/>
          <w:bCs/>
          <w:color w:val="1F4E79"/>
          <w:sz w:val="22"/>
          <w:szCs w:val="22"/>
        </w:rPr>
        <w:t xml:space="preserve">32(5)–(6): </w:t>
      </w:r>
      <w:r>
        <w:rPr>
          <w:rFonts w:ascii="Arial" w:cs="Arial" w:eastAsia="Arial" w:hAnsi="Arial"/>
          <w:sz w:val="22"/>
          <w:szCs w:val="22"/>
        </w:rPr>
        <w:t xml:space="preserve">Statements relating to relationship by blood/marriage/adoption; family pedigree in wills, family records.</w:t>
      </w:r>
    </w:p>
    <w:p>
      <w:pPr>
        <w:spacing w:after="60" w:before="60"/>
        <w:ind w:left="200"/>
      </w:pPr>
      <w:r>
        <w:rPr>
          <w:rFonts w:ascii="Arial" w:cs="Arial" w:eastAsia="Arial" w:hAnsi="Arial"/>
          <w:b/>
          <w:bCs/>
          <w:color w:val="1F4E79"/>
          <w:sz w:val="22"/>
          <w:szCs w:val="22"/>
        </w:rPr>
        <w:t xml:space="preserve">32(7)–(8): </w:t>
      </w:r>
      <w:r>
        <w:rPr>
          <w:rFonts w:ascii="Arial" w:cs="Arial" w:eastAsia="Arial" w:hAnsi="Arial"/>
          <w:sz w:val="22"/>
          <w:szCs w:val="22"/>
        </w:rPr>
        <w:t xml:space="preserve">Statements in documents relating to transactions under Sec 13; statements by several persons expressing feelings relevant to the matter.</w:t>
      </w:r>
    </w:p>
    <w:p>
      <w:pPr>
        <w:spacing w:after="60" w:before="60"/>
        <w:ind w:left="200"/>
      </w:pPr>
      <w:r>
        <w:rPr>
          <w:rFonts w:ascii="Arial" w:cs="Arial" w:eastAsia="Arial" w:hAnsi="Arial"/>
          <w:b/>
          <w:bCs/>
          <w:color w:val="1F4E79"/>
          <w:sz w:val="22"/>
          <w:szCs w:val="22"/>
        </w:rPr>
        <w:t xml:space="preserve">Sec 33 (BSA 27): </w:t>
      </w:r>
      <w:r>
        <w:rPr>
          <w:rFonts w:ascii="Arial" w:cs="Arial" w:eastAsia="Arial" w:hAnsi="Arial"/>
          <w:sz w:val="22"/>
          <w:szCs w:val="22"/>
        </w:rPr>
        <w:t xml:space="preserve">Evidence given by a witness in a previous judicial proceeding is relevant in a later proceeding if the witness is dead, cannot be found, is incapable, kept out of the way by the adverse party, or his presence cannot be obtained without unreasonable delay/expense — provided the proceeding was between the same parties, the adverse party had the right to cross-examine, and the questions in issue were substantially the same.</w:t>
      </w:r>
    </w:p>
    <w:p>
      <w:pPr>
        <w:pBdr>
          <w:left w:val="single" w:color="CC0000" w:sz="6" w:space="8"/>
        </w:pBdr>
        <w:spacing w:after="80" w:before="80"/>
        <w:ind w:left="300"/>
      </w:pPr>
      <w:r>
        <w:rPr>
          <w:rFonts w:ascii="Arial" w:cs="Arial" w:eastAsia="Arial" w:hAnsi="Arial"/>
          <w:b/>
          <w:bCs/>
          <w:color w:val="CC0000"/>
          <w:sz w:val="21"/>
          <w:szCs w:val="21"/>
        </w:rPr>
        <w:t xml:space="preserve">Laxman v. State of Maharashtra (2002, Constitution Bench) — </w:t>
      </w:r>
      <w:r>
        <w:rPr>
          <w:rFonts w:ascii="Arial" w:cs="Arial" w:eastAsia="Arial" w:hAnsi="Arial"/>
          <w:sz w:val="21"/>
          <w:szCs w:val="21"/>
        </w:rPr>
        <w:t xml:space="preserve">Doctor's certificate of fitness not mandatory; the court's satisfaction from circumstances is enough. Overruled contrary observations in Paparambaka Rosamma.</w:t>
      </w:r>
    </w:p>
    <w:p>
      <w:pPr>
        <w:pBdr>
          <w:left w:val="single" w:color="CC0000" w:sz="6" w:space="8"/>
        </w:pBdr>
        <w:spacing w:after="80" w:before="80"/>
        <w:ind w:left="300"/>
      </w:pPr>
      <w:r>
        <w:rPr>
          <w:rFonts w:ascii="Arial" w:cs="Arial" w:eastAsia="Arial" w:hAnsi="Arial"/>
          <w:b/>
          <w:bCs/>
          <w:color w:val="CC0000"/>
          <w:sz w:val="21"/>
          <w:szCs w:val="21"/>
        </w:rPr>
        <w:t xml:space="preserve">Khushal Rao v. State of Bombay (1958) — </w:t>
      </w:r>
      <w:r>
        <w:rPr>
          <w:rFonts w:ascii="Arial" w:cs="Arial" w:eastAsia="Arial" w:hAnsi="Arial"/>
          <w:sz w:val="21"/>
          <w:szCs w:val="21"/>
        </w:rPr>
        <w:t xml:space="preserve">A dying declaration can be the sole basis of conviction without corroboration if it is truthful and voluntary; no absolute rule requiring corroboration.</w:t>
      </w:r>
    </w:p>
    <w:p>
      <w:pPr>
        <w:pBdr>
          <w:left w:val="single" w:color="CC0000" w:sz="6" w:space="8"/>
        </w:pBdr>
        <w:spacing w:after="80" w:before="80"/>
        <w:ind w:left="300"/>
      </w:pPr>
      <w:r>
        <w:rPr>
          <w:rFonts w:ascii="Arial" w:cs="Arial" w:eastAsia="Arial" w:hAnsi="Arial"/>
          <w:b/>
          <w:bCs/>
          <w:color w:val="CC0000"/>
          <w:sz w:val="21"/>
          <w:szCs w:val="21"/>
        </w:rPr>
        <w:t xml:space="preserve">Kans Raj v. State of Punjab (2000) — </w:t>
      </w:r>
      <w:r>
        <w:rPr>
          <w:rFonts w:ascii="Arial" w:cs="Arial" w:eastAsia="Arial" w:hAnsi="Arial"/>
          <w:sz w:val="21"/>
          <w:szCs w:val="21"/>
        </w:rPr>
        <w:t xml:space="preserve">Dowry death; dying declaration to the doctor and relatives; the court examined consistency across multiple declarations.</w:t>
      </w:r>
    </w:p>
    <w:p>
      <w:pPr>
        <w:pBdr>
          <w:left w:val="single" w:color="CC0000" w:sz="6" w:space="8"/>
        </w:pBdr>
        <w:spacing w:after="80" w:before="80"/>
        <w:ind w:left="300"/>
      </w:pPr>
      <w:r>
        <w:rPr>
          <w:rFonts w:ascii="Arial" w:cs="Arial" w:eastAsia="Arial" w:hAnsi="Arial"/>
          <w:b/>
          <w:bCs/>
          <w:color w:val="CC0000"/>
          <w:sz w:val="21"/>
          <w:szCs w:val="21"/>
        </w:rPr>
        <w:t xml:space="preserve">Pakala Narayana Swami (1939) — </w:t>
      </w:r>
      <w:r>
        <w:rPr>
          <w:rFonts w:ascii="Arial" w:cs="Arial" w:eastAsia="Arial" w:hAnsi="Arial"/>
          <w:sz w:val="21"/>
          <w:szCs w:val="21"/>
        </w:rPr>
        <w:t xml:space="preserve">'Circumstances of the transaction' includes statements made before the death about the events leading to it, provided they are proximately connected.</w:t>
      </w:r>
    </w:p>
    <w:p>
      <w:pPr>
        <w:pBdr>
          <w:left w:val="single" w:color="CC0000" w:sz="6" w:space="8"/>
        </w:pBdr>
        <w:spacing w:after="80" w:before="80"/>
        <w:ind w:left="300"/>
      </w:pPr>
      <w:r>
        <w:rPr>
          <w:rFonts w:ascii="Arial" w:cs="Arial" w:eastAsia="Arial" w:hAnsi="Arial"/>
          <w:b/>
          <w:bCs/>
          <w:color w:val="CC0000"/>
          <w:sz w:val="21"/>
          <w:szCs w:val="21"/>
        </w:rPr>
        <w:t xml:space="preserve">Queen-Empress v. Abdullah (1885) — </w:t>
      </w:r>
      <w:r>
        <w:rPr>
          <w:rFonts w:ascii="Arial" w:cs="Arial" w:eastAsia="Arial" w:hAnsi="Arial"/>
          <w:sz w:val="21"/>
          <w:szCs w:val="21"/>
        </w:rPr>
        <w:t xml:space="preserve">A dying declaration by signs and gestures (the declarant's throat was cut; she nodded in answer to questions) is a 'verbal statement' and admissible.</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Dying declarations recorded on a mobile phone by a relative or police officer are increasingly common. The video is an electronic record: to prove it, the recorder testifies and a 65B certificate accompanies the file/printout. Courts weigh: was the declarant visibly coherent? Was there prompting off-camera? Metadata (timestamp, device) helps. A phone video can be stronger than a written note by a stranger because the court sees the declarant's condition.</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'Dying declaration — meaning and evidentiary value'. Part B: full treatment with Laxman, Khushal Rao, Abdullah (gestures), and the difference from English law. Part C: multiple inconsistent declarations, or a declaration without doctor's certificate — apply Laxman.</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06 — The Handwriting Man and the Examiner of Electronic Evidence</w:t>
      </w:r>
    </w:p>
    <w:p>
      <w:pPr>
        <w:pStyle w:val="Heading2"/>
        <w:spacing w:after="160" w:before="360"/>
      </w:pPr>
      <w:r>
        <w:rPr>
          <w:rFonts w:ascii="Arial" w:cs="Arial" w:eastAsia="Arial" w:hAnsi="Arial"/>
          <w:b/>
          <w:bCs/>
          <w:color w:val="2E75B6"/>
          <w:sz w:val="26"/>
          <w:szCs w:val="26"/>
        </w:rPr>
        <w:t xml:space="preserve">Covers: Expert opinion (Sec 45–51) · Sec 45A · Character evidence (Sec 52–55) · Relevancy of judgments (Sec 40–44)</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Murari Lal was accused of murder. The main evidence was a letter, allegedly in his handwriting, found near the body. A handwriting expert said it matched. The defence said: handwriting experts are notoriously fallible; a conviction cannot rest on that alone. The Supreme Court (1980) agreed that expert opinion is only an opinion — the court must examine the reasons, compare the handwriting itself under Sec 73, and be cautious — but refused to lay down a rule that expert evidence can never be acted on without corroboration. The court is not bound to be timid. It must be careful. Murari Lal's conviction stood. Forty years later, the 'expert' in most trials is not a handwriting analyst but a cyber-forensics examiner who imaged a phone; the same principle applies — the court wants the reasoning, the method, and the chance to test it.</w:t>
      </w:r>
    </w:p>
    <w:p>
      <w:pPr>
        <w:spacing w:after="120" w:before="240"/>
      </w:pPr>
      <w:r>
        <w:rPr>
          <w:rFonts w:ascii="Arial" w:cs="Arial" w:eastAsia="Arial" w:hAnsi="Arial"/>
          <w:b/>
          <w:bCs/>
          <w:color w:val="404040"/>
          <w:sz w:val="23"/>
          <w:szCs w:val="23"/>
        </w:rPr>
        <w:t xml:space="preserve">Expert opinion — Sec 45 (BSA Sec 39)</w:t>
      </w:r>
    </w:p>
    <w:p>
      <w:pPr>
        <w:spacing w:after="120" w:line="300"/>
        <w:jc w:val="both"/>
      </w:pPr>
      <w:r>
        <w:rPr>
          <w:rFonts w:ascii="Arial" w:cs="Arial" w:eastAsia="Arial" w:hAnsi="Arial"/>
          <w:sz w:val="22"/>
          <w:szCs w:val="22"/>
        </w:rPr>
        <w:t xml:space="preserve">When the court has to form an opinion on a point of </w:t>
      </w:r>
      <w:r>
        <w:rPr>
          <w:rFonts w:ascii="Arial" w:cs="Arial" w:eastAsia="Arial" w:hAnsi="Arial"/>
          <w:b/>
          <w:bCs/>
          <w:sz w:val="22"/>
          <w:szCs w:val="22"/>
        </w:rPr>
        <w:t xml:space="preserve">foreign law, science or art, identity of handwriting or finger impressions</w:t>
      </w:r>
      <w:r>
        <w:rPr>
          <w:rFonts w:ascii="Arial" w:cs="Arial" w:eastAsia="Arial" w:hAnsi="Arial"/>
          <w:sz w:val="22"/>
          <w:szCs w:val="22"/>
        </w:rPr>
        <w:t xml:space="preserve">, the opinions of persons specially skilled in those fields are relevant. Such persons are experts. Key features: (1) Expert evidence is </w:t>
      </w:r>
      <w:r>
        <w:rPr>
          <w:rFonts w:ascii="Arial" w:cs="Arial" w:eastAsia="Arial" w:hAnsi="Arial"/>
          <w:b/>
          <w:bCs/>
          <w:sz w:val="22"/>
          <w:szCs w:val="22"/>
        </w:rPr>
        <w:t xml:space="preserve">advisory</w:t>
      </w:r>
      <w:r>
        <w:rPr>
          <w:rFonts w:ascii="Arial" w:cs="Arial" w:eastAsia="Arial" w:hAnsi="Arial"/>
          <w:sz w:val="22"/>
          <w:szCs w:val="22"/>
        </w:rPr>
        <w:t xml:space="preserve"> — the court is the final judge. (2) The expert must state </w:t>
      </w:r>
      <w:r>
        <w:rPr>
          <w:rFonts w:ascii="Arial" w:cs="Arial" w:eastAsia="Arial" w:hAnsi="Arial"/>
          <w:b/>
          <w:bCs/>
          <w:sz w:val="22"/>
          <w:szCs w:val="22"/>
        </w:rPr>
        <w:t xml:space="preserve">reasons</w:t>
      </w:r>
      <w:r>
        <w:rPr>
          <w:rFonts w:ascii="Arial" w:cs="Arial" w:eastAsia="Arial" w:hAnsi="Arial"/>
          <w:sz w:val="22"/>
          <w:szCs w:val="22"/>
        </w:rPr>
        <w:t xml:space="preserve">; bare conclusions carry little weight. (3) Expert evidence is </w:t>
      </w:r>
      <w:r>
        <w:rPr>
          <w:rFonts w:ascii="Arial" w:cs="Arial" w:eastAsia="Arial" w:hAnsi="Arial"/>
          <w:b/>
          <w:bCs/>
          <w:sz w:val="22"/>
          <w:szCs w:val="22"/>
        </w:rPr>
        <w:t xml:space="preserve">weak evidence</w:t>
      </w:r>
      <w:r>
        <w:rPr>
          <w:rFonts w:ascii="Arial" w:cs="Arial" w:eastAsia="Arial" w:hAnsi="Arial"/>
          <w:sz w:val="22"/>
          <w:szCs w:val="22"/>
        </w:rPr>
        <w:t xml:space="preserve"> needing careful scrutiny, but not requiring corroboration as a rule of law. (4) The expert may be cross-examined on data, method, and qualifications.</w:t>
      </w:r>
    </w:p>
    <w:p>
      <w:pPr>
        <w:spacing w:after="60" w:before="60"/>
        <w:ind w:left="200"/>
      </w:pPr>
      <w:r>
        <w:rPr>
          <w:rFonts w:ascii="Arial" w:cs="Arial" w:eastAsia="Arial" w:hAnsi="Arial"/>
          <w:b/>
          <w:bCs/>
          <w:color w:val="1F4E79"/>
          <w:sz w:val="22"/>
          <w:szCs w:val="22"/>
        </w:rPr>
        <w:t xml:space="preserve">Sec 45A (BSA 39(2)): </w:t>
      </w:r>
      <w:r>
        <w:rPr>
          <w:rFonts w:ascii="Arial" w:cs="Arial" w:eastAsia="Arial" w:hAnsi="Arial"/>
          <w:sz w:val="22"/>
          <w:szCs w:val="22"/>
        </w:rPr>
        <w:t xml:space="preserve">Inserted by the IT Act 2000: opinion of the Examiner of Electronic Evidence (notified under Sec 79A IT Act) on any matter relating to information transmitted or stored in electronic form is relevant. This makes the forensic lab report a relevant expert opinion.</w:t>
      </w:r>
    </w:p>
    <w:p>
      <w:pPr>
        <w:spacing w:after="60" w:before="60"/>
        <w:ind w:left="200"/>
      </w:pPr>
      <w:r>
        <w:rPr>
          <w:rFonts w:ascii="Arial" w:cs="Arial" w:eastAsia="Arial" w:hAnsi="Arial"/>
          <w:b/>
          <w:bCs/>
          <w:color w:val="1F4E79"/>
          <w:sz w:val="22"/>
          <w:szCs w:val="22"/>
        </w:rPr>
        <w:t xml:space="preserve">Sec 46–47: </w:t>
      </w:r>
      <w:r>
        <w:rPr>
          <w:rFonts w:ascii="Arial" w:cs="Arial" w:eastAsia="Arial" w:hAnsi="Arial"/>
          <w:sz w:val="22"/>
          <w:szCs w:val="22"/>
        </w:rPr>
        <w:t xml:space="preserve">Facts bearing on an expert opinion are relevant; opinion as to handwriting by a person acquainted with the handwriting is relevant.</w:t>
      </w:r>
    </w:p>
    <w:p>
      <w:pPr>
        <w:spacing w:after="60" w:before="60"/>
        <w:ind w:left="200"/>
      </w:pPr>
      <w:r>
        <w:rPr>
          <w:rFonts w:ascii="Arial" w:cs="Arial" w:eastAsia="Arial" w:hAnsi="Arial"/>
          <w:b/>
          <w:bCs/>
          <w:color w:val="1F4E79"/>
          <w:sz w:val="22"/>
          <w:szCs w:val="22"/>
        </w:rPr>
        <w:t xml:space="preserve">Sec 47A: </w:t>
      </w:r>
      <w:r>
        <w:rPr>
          <w:rFonts w:ascii="Arial" w:cs="Arial" w:eastAsia="Arial" w:hAnsi="Arial"/>
          <w:sz w:val="22"/>
          <w:szCs w:val="22"/>
        </w:rPr>
        <w:t xml:space="preserve">Opinion as to electronic signature — of the Certifying Authority that issued the certificate.</w:t>
      </w:r>
    </w:p>
    <w:p>
      <w:pPr>
        <w:spacing w:after="60" w:before="60"/>
        <w:ind w:left="200"/>
      </w:pPr>
      <w:r>
        <w:rPr>
          <w:rFonts w:ascii="Arial" w:cs="Arial" w:eastAsia="Arial" w:hAnsi="Arial"/>
          <w:b/>
          <w:bCs/>
          <w:color w:val="1F4E79"/>
          <w:sz w:val="22"/>
          <w:szCs w:val="22"/>
        </w:rPr>
        <w:t xml:space="preserve">Sec 48–51: </w:t>
      </w:r>
      <w:r>
        <w:rPr>
          <w:rFonts w:ascii="Arial" w:cs="Arial" w:eastAsia="Arial" w:hAnsi="Arial"/>
          <w:sz w:val="22"/>
          <w:szCs w:val="22"/>
        </w:rPr>
        <w:t xml:space="preserve">Opinions on existence of right/custom, usages/tenets, relationship; grounds of opinion are relevant.</w:t>
      </w:r>
    </w:p>
    <w:p>
      <w:pPr>
        <w:spacing w:after="60" w:before="60"/>
        <w:ind w:left="200"/>
      </w:pPr>
      <w:r>
        <w:rPr>
          <w:rFonts w:ascii="Arial" w:cs="Arial" w:eastAsia="Arial" w:hAnsi="Arial"/>
          <w:b/>
          <w:bCs/>
          <w:color w:val="1F4E79"/>
          <w:sz w:val="22"/>
          <w:szCs w:val="22"/>
        </w:rPr>
        <w:t xml:space="preserve">Sec 73 / 73A: </w:t>
      </w:r>
      <w:r>
        <w:rPr>
          <w:rFonts w:ascii="Arial" w:cs="Arial" w:eastAsia="Arial" w:hAnsi="Arial"/>
          <w:sz w:val="22"/>
          <w:szCs w:val="22"/>
        </w:rPr>
        <w:t xml:space="preserve">The court may compare handwriting/signatures/seals itself with admitted or proved specimens; 73A extends to digital signatures via the Certifying Authority.</w:t>
      </w:r>
    </w:p>
    <w:p>
      <w:pPr>
        <w:spacing w:after="120" w:before="240"/>
      </w:pPr>
      <w:r>
        <w:rPr>
          <w:rFonts w:ascii="Arial" w:cs="Arial" w:eastAsia="Arial" w:hAnsi="Arial"/>
          <w:b/>
          <w:bCs/>
          <w:color w:val="404040"/>
          <w:sz w:val="23"/>
          <w:szCs w:val="23"/>
        </w:rPr>
        <w:t xml:space="preserve">Types of expert evidence in practice</w:t>
      </w:r>
    </w:p>
    <w:p>
      <w:pPr>
        <w:spacing w:after="120" w:line="300"/>
        <w:jc w:val="both"/>
      </w:pPr>
      <w:r>
        <w:rPr>
          <w:rFonts w:ascii="Arial" w:cs="Arial" w:eastAsia="Arial" w:hAnsi="Arial"/>
          <w:sz w:val="22"/>
          <w:szCs w:val="22"/>
        </w:rPr>
        <w:t xml:space="preserve">Medical (post-mortem, injuries, time of death); ballistics; fingerprints; handwriting and questioned documents; DNA; cyber-forensics (imaging, hash verification, recovery of deleted data, CDR analysis); narco/polygraph — inadmissible as evidence unless voluntary and even then only what is discovered thereafter (Selvi).</w:t>
      </w:r>
    </w:p>
    <w:p>
      <w:pPr>
        <w:spacing w:after="120" w:before="240"/>
      </w:pPr>
      <w:r>
        <w:rPr>
          <w:rFonts w:ascii="Arial" w:cs="Arial" w:eastAsia="Arial" w:hAnsi="Arial"/>
          <w:b/>
          <w:bCs/>
          <w:color w:val="404040"/>
          <w:sz w:val="23"/>
          <w:szCs w:val="23"/>
        </w:rPr>
        <w:t xml:space="preserve">Character evidence — Sec 52–55 (BSA 46–49)</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Civil cases (Sec 52):</w:t>
      </w:r>
      <w:r>
        <w:rPr>
          <w:rFonts w:ascii="Arial" w:cs="Arial" w:eastAsia="Arial" w:hAnsi="Arial"/>
          <w:sz w:val="22"/>
          <w:szCs w:val="22"/>
        </w:rPr>
        <w:t xml:space="preserve"> character is irrelevant to prove conduct, except where it appears from otherwise relevant facts, or affects the amount of damages (Sec 55). </w:t>
      </w:r>
      <w:r>
        <w:rPr>
          <w:rFonts w:ascii="Arial" w:cs="Arial" w:eastAsia="Arial" w:hAnsi="Arial"/>
          <w:b/>
          <w:bCs/>
          <w:sz w:val="22"/>
          <w:szCs w:val="22"/>
        </w:rPr>
        <w:t xml:space="preserve">Criminal cases (Sec 53):</w:t>
      </w:r>
      <w:r>
        <w:rPr>
          <w:rFonts w:ascii="Arial" w:cs="Arial" w:eastAsia="Arial" w:hAnsi="Arial"/>
          <w:sz w:val="22"/>
          <w:szCs w:val="22"/>
        </w:rPr>
        <w:t xml:space="preserve"> previous good character is relevant — the accused may lead evidence of good character. </w:t>
      </w:r>
      <w:r>
        <w:rPr>
          <w:rFonts w:ascii="Arial" w:cs="Arial" w:eastAsia="Arial" w:hAnsi="Arial"/>
          <w:b/>
          <w:bCs/>
          <w:sz w:val="22"/>
          <w:szCs w:val="22"/>
        </w:rPr>
        <w:t xml:space="preserve">Sec 54:</w:t>
      </w:r>
      <w:r>
        <w:rPr>
          <w:rFonts w:ascii="Arial" w:cs="Arial" w:eastAsia="Arial" w:hAnsi="Arial"/>
          <w:sz w:val="22"/>
          <w:szCs w:val="22"/>
        </w:rPr>
        <w:t xml:space="preserve"> bad character is irrelevant unless the accused has put his character in issue, or it is itself a fact in issue, or a previous conviction is relevant. 'Character' includes reputation and disposition, but only general reputation and disposition may be proved, not particular acts.</w:t>
      </w:r>
    </w:p>
    <w:p>
      <w:pPr>
        <w:spacing w:after="120" w:before="240"/>
      </w:pPr>
      <w:r>
        <w:rPr>
          <w:rFonts w:ascii="Arial" w:cs="Arial" w:eastAsia="Arial" w:hAnsi="Arial"/>
          <w:b/>
          <w:bCs/>
          <w:color w:val="404040"/>
          <w:sz w:val="23"/>
          <w:szCs w:val="23"/>
        </w:rPr>
        <w:t xml:space="preserve">Relevancy of judgments — Sec 40–44 (BSA 34–38)</w:t>
      </w:r>
    </w:p>
    <w:p>
      <w:pPr>
        <w:spacing w:after="60" w:before="60"/>
        <w:ind w:left="200"/>
      </w:pPr>
      <w:r>
        <w:rPr>
          <w:rFonts w:ascii="Arial" w:cs="Arial" w:eastAsia="Arial" w:hAnsi="Arial"/>
          <w:b/>
          <w:bCs/>
          <w:color w:val="1F4E79"/>
          <w:sz w:val="22"/>
          <w:szCs w:val="22"/>
        </w:rPr>
        <w:t xml:space="preserve">Sec 40: </w:t>
      </w:r>
      <w:r>
        <w:rPr>
          <w:rFonts w:ascii="Arial" w:cs="Arial" w:eastAsia="Arial" w:hAnsi="Arial"/>
          <w:sz w:val="22"/>
          <w:szCs w:val="22"/>
        </w:rPr>
        <w:t xml:space="preserve">A previous judgment is relevant to bar a second suit or trial (res judicata, autrefois acquit/convict).</w:t>
      </w:r>
    </w:p>
    <w:p>
      <w:pPr>
        <w:spacing w:after="60" w:before="60"/>
        <w:ind w:left="200"/>
      </w:pPr>
      <w:r>
        <w:rPr>
          <w:rFonts w:ascii="Arial" w:cs="Arial" w:eastAsia="Arial" w:hAnsi="Arial"/>
          <w:b/>
          <w:bCs/>
          <w:color w:val="1F4E79"/>
          <w:sz w:val="22"/>
          <w:szCs w:val="22"/>
        </w:rPr>
        <w:t xml:space="preserve">Sec 41: </w:t>
      </w:r>
      <w:r>
        <w:rPr>
          <w:rFonts w:ascii="Arial" w:cs="Arial" w:eastAsia="Arial" w:hAnsi="Arial"/>
          <w:sz w:val="22"/>
          <w:szCs w:val="22"/>
        </w:rPr>
        <w:t xml:space="preserve">Judgments in rem — probate, matrimonial, admiralty, insolvency — conclusive proof of the legal character conferred or taken away, against all the world.</w:t>
      </w:r>
    </w:p>
    <w:p>
      <w:pPr>
        <w:spacing w:after="60" w:before="60"/>
        <w:ind w:left="200"/>
      </w:pPr>
      <w:r>
        <w:rPr>
          <w:rFonts w:ascii="Arial" w:cs="Arial" w:eastAsia="Arial" w:hAnsi="Arial"/>
          <w:b/>
          <w:bCs/>
          <w:color w:val="1F4E79"/>
          <w:sz w:val="22"/>
          <w:szCs w:val="22"/>
        </w:rPr>
        <w:t xml:space="preserve">Sec 42: </w:t>
      </w:r>
      <w:r>
        <w:rPr>
          <w:rFonts w:ascii="Arial" w:cs="Arial" w:eastAsia="Arial" w:hAnsi="Arial"/>
          <w:sz w:val="22"/>
          <w:szCs w:val="22"/>
        </w:rPr>
        <w:t xml:space="preserve">Judgments on matters of public nature are relevant but not conclusive.</w:t>
      </w:r>
    </w:p>
    <w:p>
      <w:pPr>
        <w:spacing w:after="60" w:before="60"/>
        <w:ind w:left="200"/>
      </w:pPr>
      <w:r>
        <w:rPr>
          <w:rFonts w:ascii="Arial" w:cs="Arial" w:eastAsia="Arial" w:hAnsi="Arial"/>
          <w:b/>
          <w:bCs/>
          <w:color w:val="1F4E79"/>
          <w:sz w:val="22"/>
          <w:szCs w:val="22"/>
        </w:rPr>
        <w:t xml:space="preserve">Sec 43: </w:t>
      </w:r>
      <w:r>
        <w:rPr>
          <w:rFonts w:ascii="Arial" w:cs="Arial" w:eastAsia="Arial" w:hAnsi="Arial"/>
          <w:sz w:val="22"/>
          <w:szCs w:val="22"/>
        </w:rPr>
        <w:t xml:space="preserve">Other judgments are irrelevant unless the existence of the judgment is itself a fact in issue or relevant under some other section.</w:t>
      </w:r>
    </w:p>
    <w:p>
      <w:pPr>
        <w:spacing w:after="60" w:before="60"/>
        <w:ind w:left="200"/>
      </w:pPr>
      <w:r>
        <w:rPr>
          <w:rFonts w:ascii="Arial" w:cs="Arial" w:eastAsia="Arial" w:hAnsi="Arial"/>
          <w:b/>
          <w:bCs/>
          <w:color w:val="1F4E79"/>
          <w:sz w:val="22"/>
          <w:szCs w:val="22"/>
        </w:rPr>
        <w:t xml:space="preserve">Sec 44: </w:t>
      </w:r>
      <w:r>
        <w:rPr>
          <w:rFonts w:ascii="Arial" w:cs="Arial" w:eastAsia="Arial" w:hAnsi="Arial"/>
          <w:sz w:val="22"/>
          <w:szCs w:val="22"/>
        </w:rPr>
        <w:t xml:space="preserve">Any party may show that a judgment relevant under 40–42 was delivered by a court without jurisdiction, or was obtained by fraud or collusion.</w:t>
      </w:r>
    </w:p>
    <w:p>
      <w:pPr>
        <w:pBdr>
          <w:left w:val="single" w:color="CC0000" w:sz="6" w:space="8"/>
        </w:pBdr>
        <w:spacing w:after="80" w:before="80"/>
        <w:ind w:left="300"/>
      </w:pPr>
      <w:r>
        <w:rPr>
          <w:rFonts w:ascii="Arial" w:cs="Arial" w:eastAsia="Arial" w:hAnsi="Arial"/>
          <w:b/>
          <w:bCs/>
          <w:color w:val="CC0000"/>
          <w:sz w:val="21"/>
          <w:szCs w:val="21"/>
        </w:rPr>
        <w:t xml:space="preserve">Murari Lal v. State of MP (1980) — </w:t>
      </w:r>
      <w:r>
        <w:rPr>
          <w:rFonts w:ascii="Arial" w:cs="Arial" w:eastAsia="Arial" w:hAnsi="Arial"/>
          <w:sz w:val="21"/>
          <w:szCs w:val="21"/>
        </w:rPr>
        <w:t xml:space="preserve">Expert handwriting opinion can be acted upon without corroboration if the court is satisfied after scrutiny; the court should compare under Sec 73 and examine the reasons.</w:t>
      </w:r>
    </w:p>
    <w:p>
      <w:pPr>
        <w:pBdr>
          <w:left w:val="single" w:color="CC0000" w:sz="6" w:space="8"/>
        </w:pBdr>
        <w:spacing w:after="80" w:before="80"/>
        <w:ind w:left="300"/>
      </w:pPr>
      <w:r>
        <w:rPr>
          <w:rFonts w:ascii="Arial" w:cs="Arial" w:eastAsia="Arial" w:hAnsi="Arial"/>
          <w:b/>
          <w:bCs/>
          <w:color w:val="CC0000"/>
          <w:sz w:val="21"/>
          <w:szCs w:val="21"/>
        </w:rPr>
        <w:t xml:space="preserve">Ramesh Chandra Agrawal v. Regency Hospital (2009) — </w:t>
      </w:r>
      <w:r>
        <w:rPr>
          <w:rFonts w:ascii="Arial" w:cs="Arial" w:eastAsia="Arial" w:hAnsi="Arial"/>
          <w:sz w:val="21"/>
          <w:szCs w:val="21"/>
        </w:rPr>
        <w:t xml:space="preserve">An expert must state the reasoning; a report without reasons is of little value; expert evidence is data + inference, and the court tests both.</w:t>
      </w:r>
    </w:p>
    <w:p>
      <w:pPr>
        <w:pBdr>
          <w:left w:val="single" w:color="CC0000" w:sz="6" w:space="8"/>
        </w:pBdr>
        <w:spacing w:after="80" w:before="80"/>
        <w:ind w:left="300"/>
      </w:pPr>
      <w:r>
        <w:rPr>
          <w:rFonts w:ascii="Arial" w:cs="Arial" w:eastAsia="Arial" w:hAnsi="Arial"/>
          <w:b/>
          <w:bCs/>
          <w:color w:val="CC0000"/>
          <w:sz w:val="21"/>
          <w:szCs w:val="21"/>
        </w:rPr>
        <w:t xml:space="preserve">Selvi v. State of Karnataka (2010) — </w:t>
      </w:r>
      <w:r>
        <w:rPr>
          <w:rFonts w:ascii="Arial" w:cs="Arial" w:eastAsia="Arial" w:hAnsi="Arial"/>
          <w:sz w:val="21"/>
          <w:szCs w:val="21"/>
        </w:rPr>
        <w:t xml:space="preserve">Involuntary narco-analysis, polygraph, and brain-mapping violate Art 20(3) and Art 21; results are inadmissible; even with consent, only subsequently discovered material is admissible under Sec 27.</w:t>
      </w:r>
    </w:p>
    <w:p>
      <w:pPr>
        <w:pBdr>
          <w:left w:val="single" w:color="CC0000" w:sz="6" w:space="8"/>
        </w:pBdr>
        <w:spacing w:after="80" w:before="80"/>
        <w:ind w:left="300"/>
      </w:pPr>
      <w:r>
        <w:rPr>
          <w:rFonts w:ascii="Arial" w:cs="Arial" w:eastAsia="Arial" w:hAnsi="Arial"/>
          <w:b/>
          <w:bCs/>
          <w:color w:val="CC0000"/>
          <w:sz w:val="21"/>
          <w:szCs w:val="21"/>
        </w:rPr>
        <w:t xml:space="preserve">Bhagwan Swaroop v. State of Maharashtra (1965) — </w:t>
      </w:r>
      <w:r>
        <w:rPr>
          <w:rFonts w:ascii="Arial" w:cs="Arial" w:eastAsia="Arial" w:hAnsi="Arial"/>
          <w:sz w:val="21"/>
          <w:szCs w:val="21"/>
        </w:rPr>
        <w:t xml:space="preserve">Evidence of good character may tilt the balance in a doubtful case but cannot outweigh positive evidence of guilt.</w:t>
      </w:r>
    </w:p>
    <w:p>
      <w:pPr>
        <w:pBdr>
          <w:left w:val="single" w:color="CC0000" w:sz="6" w:space="8"/>
        </w:pBdr>
        <w:spacing w:after="80" w:before="80"/>
        <w:ind w:left="300"/>
      </w:pPr>
      <w:r>
        <w:rPr>
          <w:rFonts w:ascii="Arial" w:cs="Arial" w:eastAsia="Arial" w:hAnsi="Arial"/>
          <w:b/>
          <w:bCs/>
          <w:color w:val="CC0000"/>
          <w:sz w:val="21"/>
          <w:szCs w:val="21"/>
        </w:rPr>
        <w:t xml:space="preserve">Sheoparsan Singh v. Ramnandan (1916) — </w:t>
      </w:r>
      <w:r>
        <w:rPr>
          <w:rFonts w:ascii="Arial" w:cs="Arial" w:eastAsia="Arial" w:hAnsi="Arial"/>
          <w:sz w:val="21"/>
          <w:szCs w:val="21"/>
        </w:rPr>
        <w:t xml:space="preserve">A judgment obtained by fraud is a nullity and can be shown to be so under Sec 44.</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The forensic examiner's report should show: acquisition method (write-blocker, forensic image), hash values (MD5/SHA-256) at seizure and at analysis matching, tools used, and chain of custody. Cross-examine on each. Under Sec 79A IT Act, only a notified Examiner of Electronic Evidence's opinion carries the Sec 45A status; a private consultant's report is a Sec 45 expert opinion at best. Krishna — this is where your professional background becomes exam material: describe imaging and hashing in one crisp paragraph and examiners will remember your answer.</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'Who is an expert?' or 'Sec 45A'. Part B: 'Evidentiary value of expert opinion' — Murari Lal, Ramesh Chandra Agrawal, Selvi, and a paragraph on electronic evidence examiners. Part C: conviction based solely on handwriting expert — apply Murari Lal (not fatal, but scrutiny required).</w:t>
      </w:r>
    </w:p>
    <w:p>
      <w:pPr>
        <w:pBdr>
          <w:bottom w:val="single" w:color="CCCCCC" w:sz="1" w:space="4"/>
        </w:pBdr>
        <w:spacing w:after="160" w:before="160"/>
      </w:pPr>
      <w:r>
        <w:rPr>
          <w:sz w:val="4"/>
          <w:szCs w:val="4"/>
        </w:rPr>
        <w:t xml:space="preserve"> </w:t>
      </w:r>
    </w:p>
    <w:p>
      <w:r>
        <w:br w:type="page"/>
      </w:r>
    </w:p>
    <w:p>
      <w:pPr>
        <w:pStyle w:val="Heading1"/>
        <w:spacing w:after="200" w:before="480"/>
      </w:pPr>
      <w:r>
        <w:rPr>
          <w:rFonts w:ascii="Arial" w:cs="Arial" w:eastAsia="Arial" w:hAnsi="Arial"/>
          <w:b/>
          <w:bCs/>
          <w:color w:val="1F4E79"/>
          <w:sz w:val="32"/>
          <w:szCs w:val="32"/>
        </w:rPr>
        <w:t xml:space="preserve">Episode 07 — 'The Terrorists Threatened Me': Hearsay and the Best Evidence Rule</w:t>
      </w:r>
    </w:p>
    <w:p>
      <w:pPr>
        <w:pStyle w:val="Heading2"/>
        <w:spacing w:after="160" w:before="360"/>
      </w:pPr>
      <w:r>
        <w:rPr>
          <w:rFonts w:ascii="Arial" w:cs="Arial" w:eastAsia="Arial" w:hAnsi="Arial"/>
          <w:b/>
          <w:bCs/>
          <w:color w:val="2E75B6"/>
          <w:sz w:val="26"/>
          <w:szCs w:val="26"/>
        </w:rPr>
        <w:t xml:space="preserve">Covers: Oral evidence (Sec 59–60) · Hearsay and its exceptions · Documentary evidence, primary/secondary (Sec 61–66) · Exclusion of oral by documentary (Sec 91–92)</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Malaya, 1956. Subramaniam was found with ammunition and charged under emergency regulations; the penalty was death. His defence: terrorists had captured him and threatened to kill him unless he carried it — duress. He wanted to tell the court what the terrorists said to him. The trial judge refused: 'that's hearsay — the terrorists aren't here to be cross-examined.' The Privy Council reversed. Hearsay is a statement offered to prove **that what was said is true**. Subramaniam was not offering the threats to prove the terrorists meant to kill him; he was offering them to prove that threats were made and that he believed them — the fact of the statement, not its truth. That is not hearsay at all. The distinction is the whole law of hearsay in one sentence: ask what the statement is being used to prove.</w:t>
      </w:r>
    </w:p>
    <w:p>
      <w:pPr>
        <w:spacing w:after="120" w:before="240"/>
      </w:pPr>
      <w:r>
        <w:rPr>
          <w:rFonts w:ascii="Arial" w:cs="Arial" w:eastAsia="Arial" w:hAnsi="Arial"/>
          <w:b/>
          <w:bCs/>
          <w:color w:val="404040"/>
          <w:sz w:val="23"/>
          <w:szCs w:val="23"/>
        </w:rPr>
        <w:t xml:space="preserve">Oral evidence — Sec 59–60 (BSA 54–55)</w:t>
      </w:r>
    </w:p>
    <w:p>
      <w:pPr>
        <w:spacing w:after="120" w:line="300"/>
        <w:jc w:val="both"/>
      </w:pPr>
      <w:r>
        <w:rPr>
          <w:rFonts w:ascii="Arial" w:cs="Arial" w:eastAsia="Arial" w:hAnsi="Arial"/>
          <w:sz w:val="22"/>
          <w:szCs w:val="22"/>
        </w:rPr>
        <w:t xml:space="preserve">All facts, except the contents of documents or electronic records, may be proved by oral evidence (Sec 59). </w:t>
      </w:r>
      <w:r>
        <w:rPr>
          <w:rFonts w:ascii="Arial" w:cs="Arial" w:eastAsia="Arial" w:hAnsi="Arial"/>
          <w:b/>
          <w:bCs/>
          <w:sz w:val="22"/>
          <w:szCs w:val="22"/>
        </w:rPr>
        <w:t xml:space="preserve">Sec 60 — oral evidence must be direct</w:t>
      </w:r>
      <w:r>
        <w:rPr>
          <w:rFonts w:ascii="Arial" w:cs="Arial" w:eastAsia="Arial" w:hAnsi="Arial"/>
          <w:sz w:val="22"/>
          <w:szCs w:val="22"/>
        </w:rPr>
        <w:t xml:space="preserve">: if it refers to a fact seen, the witness must have seen it; heard, must have heard it; perceived by another sense, must have so perceived it; an opinion, the person who holds it. This is the statutory basis of the rule against hearsay. Why exclude hearsay? The original speaker was not on oath, is not cross-examined, and the risk of distortion multiplies with each retelling.</w:t>
      </w:r>
    </w:p>
    <w:p>
      <w:pPr>
        <w:spacing w:after="120" w:before="240"/>
      </w:pPr>
      <w:r>
        <w:rPr>
          <w:rFonts w:ascii="Arial" w:cs="Arial" w:eastAsia="Arial" w:hAnsi="Arial"/>
          <w:b/>
          <w:bCs/>
          <w:color w:val="404040"/>
          <w:sz w:val="23"/>
          <w:szCs w:val="23"/>
        </w:rPr>
        <w:t xml:space="preserve">Exceptions to hearsay (where the Act lets second-hand statements in)</w:t>
      </w:r>
    </w:p>
    <w:p>
      <w:pPr>
        <w:spacing w:after="120" w:line="300"/>
        <w:jc w:val="both"/>
      </w:pPr>
      <w:r>
        <w:rPr>
          <w:rFonts w:ascii="Arial" w:cs="Arial" w:eastAsia="Arial" w:hAnsi="Arial"/>
          <w:sz w:val="22"/>
          <w:szCs w:val="22"/>
        </w:rPr>
        <w:t xml:space="preserve">Res gestae (Sec 6); admissions and confessions (Sec 17–30); dying declarations and other Sec 32 statements; Sec 33 previous depositions; entries in public records and books of account (Sec 34–35); statements in maps, charts, official documents (Sec 36–38); expert treatises (Sec 60 proviso — the opinion of an expert in a treatise, if the author is dead or unavailable). Each exception is justified by necessity plus a circumstantial guarantee of trustworthiness.</w:t>
      </w:r>
    </w:p>
    <w:p>
      <w:pPr>
        <w:spacing w:after="120" w:before="240"/>
      </w:pPr>
      <w:r>
        <w:rPr>
          <w:rFonts w:ascii="Arial" w:cs="Arial" w:eastAsia="Arial" w:hAnsi="Arial"/>
          <w:b/>
          <w:bCs/>
          <w:color w:val="404040"/>
          <w:sz w:val="23"/>
          <w:szCs w:val="23"/>
        </w:rPr>
        <w:t xml:space="preserve">Documentary evidence — Sec 61–66 (BSA 56–60)</w:t>
      </w:r>
    </w:p>
    <w:p>
      <w:pPr>
        <w:spacing w:after="60" w:before="60"/>
        <w:ind w:left="200"/>
      </w:pPr>
      <w:r>
        <w:rPr>
          <w:rFonts w:ascii="Arial" w:cs="Arial" w:eastAsia="Arial" w:hAnsi="Arial"/>
          <w:b/>
          <w:bCs/>
          <w:color w:val="1F4E79"/>
          <w:sz w:val="22"/>
          <w:szCs w:val="22"/>
        </w:rPr>
        <w:t xml:space="preserve">Sec 61: </w:t>
      </w:r>
      <w:r>
        <w:rPr>
          <w:rFonts w:ascii="Arial" w:cs="Arial" w:eastAsia="Arial" w:hAnsi="Arial"/>
          <w:sz w:val="22"/>
          <w:szCs w:val="22"/>
        </w:rPr>
        <w:t xml:space="preserve">Contents of documents may be proved by primary or secondary evidence.</w:t>
      </w:r>
    </w:p>
    <w:p>
      <w:pPr>
        <w:spacing w:after="60" w:before="60"/>
        <w:ind w:left="200"/>
      </w:pPr>
      <w:r>
        <w:rPr>
          <w:rFonts w:ascii="Arial" w:cs="Arial" w:eastAsia="Arial" w:hAnsi="Arial"/>
          <w:b/>
          <w:bCs/>
          <w:color w:val="1F4E79"/>
          <w:sz w:val="22"/>
          <w:szCs w:val="22"/>
        </w:rPr>
        <w:t xml:space="preserve">Sec 62 — Primary evidence: </w:t>
      </w:r>
      <w:r>
        <w:rPr>
          <w:rFonts w:ascii="Arial" w:cs="Arial" w:eastAsia="Arial" w:hAnsi="Arial"/>
          <w:sz w:val="22"/>
          <w:szCs w:val="22"/>
        </w:rPr>
        <w:t xml:space="preserve">The document itself produced for the court's inspection. Counterparts executed by each party are primary against that party; copies made by a uniform process (printing, lithography) are primary of each other but not of the original.</w:t>
      </w:r>
    </w:p>
    <w:p>
      <w:pPr>
        <w:spacing w:after="60" w:before="60"/>
        <w:ind w:left="200"/>
      </w:pPr>
      <w:r>
        <w:rPr>
          <w:rFonts w:ascii="Arial" w:cs="Arial" w:eastAsia="Arial" w:hAnsi="Arial"/>
          <w:b/>
          <w:bCs/>
          <w:color w:val="1F4E79"/>
          <w:sz w:val="22"/>
          <w:szCs w:val="22"/>
        </w:rPr>
        <w:t xml:space="preserve">Sec 63 — Secondary evidence: </w:t>
      </w:r>
      <w:r>
        <w:rPr>
          <w:rFonts w:ascii="Arial" w:cs="Arial" w:eastAsia="Arial" w:hAnsi="Arial"/>
          <w:sz w:val="22"/>
          <w:szCs w:val="22"/>
        </w:rPr>
        <w:t xml:space="preserve">Certified copies; copies made by mechanical process ensuring accuracy; copies compared with the original; counterparts against non-executing parties; oral accounts by a person who has seen the document.</w:t>
      </w:r>
    </w:p>
    <w:p>
      <w:pPr>
        <w:spacing w:after="60" w:before="60"/>
        <w:ind w:left="200"/>
      </w:pPr>
      <w:r>
        <w:rPr>
          <w:rFonts w:ascii="Arial" w:cs="Arial" w:eastAsia="Arial" w:hAnsi="Arial"/>
          <w:b/>
          <w:bCs/>
          <w:color w:val="1F4E79"/>
          <w:sz w:val="22"/>
          <w:szCs w:val="22"/>
        </w:rPr>
        <w:t xml:space="preserve">Sec 64: </w:t>
      </w:r>
      <w:r>
        <w:rPr>
          <w:rFonts w:ascii="Arial" w:cs="Arial" w:eastAsia="Arial" w:hAnsi="Arial"/>
          <w:sz w:val="22"/>
          <w:szCs w:val="22"/>
        </w:rPr>
        <w:t xml:space="preserve">Documents must be proved by primary evidence except as provided — the **best evidence rule**.</w:t>
      </w:r>
    </w:p>
    <w:p>
      <w:pPr>
        <w:spacing w:after="60" w:before="60"/>
        <w:ind w:left="200"/>
      </w:pPr>
      <w:r>
        <w:rPr>
          <w:rFonts w:ascii="Arial" w:cs="Arial" w:eastAsia="Arial" w:hAnsi="Arial"/>
          <w:b/>
          <w:bCs/>
          <w:color w:val="1F4E79"/>
          <w:sz w:val="22"/>
          <w:szCs w:val="22"/>
        </w:rPr>
        <w:t xml:space="preserve">Sec 65 — when secondary evidence is allowed: </w:t>
      </w:r>
      <w:r>
        <w:rPr>
          <w:rFonts w:ascii="Arial" w:cs="Arial" w:eastAsia="Arial" w:hAnsi="Arial"/>
          <w:sz w:val="22"/>
          <w:szCs w:val="22"/>
        </w:rPr>
        <w:t xml:space="preserve">(a) original in possession of adverse party who fails to produce after notice, or of a person out of reach, or of a person legally bound to produce it who does not; (b) existence/contents admitted in writing by the adverse party; (c) original lost or destroyed without the party's default; (d) original not easily movable; (e) public document; (f) certified copy permitted by law; (g) numerous accounts summarised.</w:t>
      </w:r>
    </w:p>
    <w:p>
      <w:pPr>
        <w:spacing w:after="60" w:before="60"/>
        <w:ind w:left="200"/>
      </w:pPr>
      <w:r>
        <w:rPr>
          <w:rFonts w:ascii="Arial" w:cs="Arial" w:eastAsia="Arial" w:hAnsi="Arial"/>
          <w:b/>
          <w:bCs/>
          <w:color w:val="1F4E79"/>
          <w:sz w:val="22"/>
          <w:szCs w:val="22"/>
        </w:rPr>
        <w:t xml:space="preserve">Sec 66: </w:t>
      </w:r>
      <w:r>
        <w:rPr>
          <w:rFonts w:ascii="Arial" w:cs="Arial" w:eastAsia="Arial" w:hAnsi="Arial"/>
          <w:sz w:val="22"/>
          <w:szCs w:val="22"/>
        </w:rPr>
        <w:t xml:space="preserve">Rules as to notice to produce.</w:t>
      </w:r>
    </w:p>
    <w:p>
      <w:pPr>
        <w:spacing w:after="120" w:before="240"/>
      </w:pPr>
      <w:r>
        <w:rPr>
          <w:rFonts w:ascii="Arial" w:cs="Arial" w:eastAsia="Arial" w:hAnsi="Arial"/>
          <w:b/>
          <w:bCs/>
          <w:color w:val="404040"/>
          <w:sz w:val="23"/>
          <w:szCs w:val="23"/>
        </w:rPr>
        <w:t xml:space="preserve">Exclusion of oral by documentary — Sec 91–92 (BSA 94–95)</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Sec 91:</w:t>
      </w:r>
      <w:r>
        <w:rPr>
          <w:rFonts w:ascii="Arial" w:cs="Arial" w:eastAsia="Arial" w:hAnsi="Arial"/>
          <w:sz w:val="22"/>
          <w:szCs w:val="22"/>
        </w:rPr>
        <w:t xml:space="preserve"> when the terms of a contract, grant, or other disposition of property have been reduced to a document, or a matter is required by law to be in writing, no evidence except the document itself (or secondary evidence where allowed) can be given to prove its terms. </w:t>
      </w:r>
      <w:r>
        <w:rPr>
          <w:rFonts w:ascii="Arial" w:cs="Arial" w:eastAsia="Arial" w:hAnsi="Arial"/>
          <w:b/>
          <w:bCs/>
          <w:sz w:val="22"/>
          <w:szCs w:val="22"/>
        </w:rPr>
        <w:t xml:space="preserve">Sec 92:</w:t>
      </w:r>
      <w:r>
        <w:rPr>
          <w:rFonts w:ascii="Arial" w:cs="Arial" w:eastAsia="Arial" w:hAnsi="Arial"/>
          <w:sz w:val="22"/>
          <w:szCs w:val="22"/>
        </w:rPr>
        <w:t xml:space="preserve"> once the document is proved, no oral agreement or statement may be admitted between the parties to contradict, vary, add to, or subtract from its terms. </w:t>
      </w:r>
      <w:r>
        <w:rPr>
          <w:rFonts w:ascii="Arial" w:cs="Arial" w:eastAsia="Arial" w:hAnsi="Arial"/>
          <w:b/>
          <w:bCs/>
          <w:sz w:val="22"/>
          <w:szCs w:val="22"/>
        </w:rPr>
        <w:t xml:space="preserve">Six provisos</w:t>
      </w:r>
      <w:r>
        <w:rPr>
          <w:rFonts w:ascii="Arial" w:cs="Arial" w:eastAsia="Arial" w:hAnsi="Arial"/>
          <w:sz w:val="22"/>
          <w:szCs w:val="22"/>
        </w:rPr>
        <w:t xml:space="preserve"> to Sec 92 let oral evidence in to show: (1) fraud, intimidation, illegality, want of capacity or consideration, mistake — anything that invalidates the document; (2) a separate oral agreement on a matter the document is silent on; (3) a condition precedent to the document's operation; (4) a subsequent oral agreement to rescind or modify (unless registration required); (5) usage or custom incorporated; (6) facts showing how the language relates to existing facts.</w:t>
      </w:r>
    </w:p>
    <w:p>
      <w:pPr>
        <w:pBdr>
          <w:left w:val="single" w:color="CC0000" w:sz="6" w:space="8"/>
        </w:pBdr>
        <w:spacing w:after="80" w:before="80"/>
        <w:ind w:left="300"/>
      </w:pPr>
      <w:r>
        <w:rPr>
          <w:rFonts w:ascii="Arial" w:cs="Arial" w:eastAsia="Arial" w:hAnsi="Arial"/>
          <w:b/>
          <w:bCs/>
          <w:color w:val="CC0000"/>
          <w:sz w:val="21"/>
          <w:szCs w:val="21"/>
        </w:rPr>
        <w:t xml:space="preserve">Subramaniam v. Public Prosecutor (1956, PC) — </w:t>
      </w:r>
      <w:r>
        <w:rPr>
          <w:rFonts w:ascii="Arial" w:cs="Arial" w:eastAsia="Arial" w:hAnsi="Arial"/>
          <w:sz w:val="21"/>
          <w:szCs w:val="21"/>
        </w:rPr>
        <w:t xml:space="preserve">A statement is hearsay only when offered to prove the truth of its contents; when offered to prove the fact that it was made (e.g., a threat), it is original evidence.</w:t>
      </w:r>
    </w:p>
    <w:p>
      <w:pPr>
        <w:pBdr>
          <w:left w:val="single" w:color="CC0000" w:sz="6" w:space="8"/>
        </w:pBdr>
        <w:spacing w:after="80" w:before="80"/>
        <w:ind w:left="300"/>
      </w:pPr>
      <w:r>
        <w:rPr>
          <w:rFonts w:ascii="Arial" w:cs="Arial" w:eastAsia="Arial" w:hAnsi="Arial"/>
          <w:b/>
          <w:bCs/>
          <w:color w:val="CC0000"/>
          <w:sz w:val="21"/>
          <w:szCs w:val="21"/>
        </w:rPr>
        <w:t xml:space="preserve">Roop Kumar v. Mohan Thedani (2003) — </w:t>
      </w:r>
      <w:r>
        <w:rPr>
          <w:rFonts w:ascii="Arial" w:cs="Arial" w:eastAsia="Arial" w:hAnsi="Arial"/>
          <w:sz w:val="21"/>
          <w:szCs w:val="21"/>
        </w:rPr>
        <w:t xml:space="preserve">Sec 91 and 92 explained: Sec 91 is about the mode of proof; Sec 92 excludes oral evidence to vary the document; both are based on the presumption that parties intend the document to be the complete record.</w:t>
      </w:r>
    </w:p>
    <w:p>
      <w:pPr>
        <w:pBdr>
          <w:left w:val="single" w:color="CC0000" w:sz="6" w:space="8"/>
        </w:pBdr>
        <w:spacing w:after="80" w:before="80"/>
        <w:ind w:left="300"/>
      </w:pPr>
      <w:r>
        <w:rPr>
          <w:rFonts w:ascii="Arial" w:cs="Arial" w:eastAsia="Arial" w:hAnsi="Arial"/>
          <w:b/>
          <w:bCs/>
          <w:color w:val="CC0000"/>
          <w:sz w:val="21"/>
          <w:szCs w:val="21"/>
        </w:rPr>
        <w:t xml:space="preserve">Bai Hira Devi v. Official Assignee (1958) — </w:t>
      </w:r>
      <w:r>
        <w:rPr>
          <w:rFonts w:ascii="Arial" w:cs="Arial" w:eastAsia="Arial" w:hAnsi="Arial"/>
          <w:sz w:val="21"/>
          <w:szCs w:val="21"/>
        </w:rPr>
        <w:t xml:space="preserve">Sec 92 applies only between parties to the document and their representatives; strangers can lead oral evidence to contradict it.</w:t>
      </w:r>
    </w:p>
    <w:p>
      <w:pPr>
        <w:pBdr>
          <w:left w:val="single" w:color="CC0000" w:sz="6" w:space="8"/>
        </w:pBdr>
        <w:spacing w:after="80" w:before="80"/>
        <w:ind w:left="300"/>
      </w:pPr>
      <w:r>
        <w:rPr>
          <w:rFonts w:ascii="Arial" w:cs="Arial" w:eastAsia="Arial" w:hAnsi="Arial"/>
          <w:b/>
          <w:bCs/>
          <w:color w:val="CC0000"/>
          <w:sz w:val="21"/>
          <w:szCs w:val="21"/>
        </w:rPr>
        <w:t xml:space="preserve">Kalyan Kumar Gogoi v. Ashutosh Agnihotri (2011) — </w:t>
      </w:r>
      <w:r>
        <w:rPr>
          <w:rFonts w:ascii="Arial" w:cs="Arial" w:eastAsia="Arial" w:hAnsi="Arial"/>
          <w:sz w:val="21"/>
          <w:szCs w:val="21"/>
        </w:rPr>
        <w:t xml:space="preserve">Hearsay evidence is excluded on grounds of unreliability; the Act contains no definition but Sec 60 embodies the rule.</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What is the 'original' of a WhatsApp message? The data on the sender's/recipient's device and on the server. A screenshot is a copy — secondary evidence of an electronic record — and is admissible only through the Sec 65B route (Episode 08), which the legislature designed precisely because the old primary/secondary categories don't fit data. A witness saying 'he texted me that he did it' is offering the content for its truth — hearsay unless it qualifies as an admission (Sec 17–21).</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'Hearsay evidence' (define + Sec 60 + Subramaniam), 'Primary and secondary evidence'. Part B: 'When can secondary evidence be given?' — list the seven clauses of Sec 65. Part C: an oral promise contradicting a written sale deed — Sec 92 bars it unless a proviso applies.</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08 — The Six-Year Courtroom Drama: Anvar, Shafhi, and Arjun Panditrao (Section 65B)</w:t>
      </w:r>
    </w:p>
    <w:p>
      <w:pPr>
        <w:pStyle w:val="Heading2"/>
        <w:spacing w:after="160" w:before="360"/>
      </w:pPr>
      <w:r>
        <w:rPr>
          <w:rFonts w:ascii="Arial" w:cs="Arial" w:eastAsia="Arial" w:hAnsi="Arial"/>
          <w:b/>
          <w:bCs/>
          <w:color w:val="2E75B6"/>
          <w:sz w:val="26"/>
          <w:szCs w:val="26"/>
        </w:rPr>
        <w:t xml:space="preserve">Covers: Electronic records (Sec 65A, 65B) · The 65B certificate · Presumptions on electronic records (Sec 81A, 85A–C, 88A, 90A) · Public/private documents (Sec 74–78) · BSA Sec 61–63</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Act One — Kerala, 2014. An election petition. Anvar P.V. alleged that his rival P.K. Basheer had made defamatory speeches, and produced CDs of the speeches copied from a laptop. No certificate under Sec 65B(4). The High Court accepted them. A three-judge bench of the Supreme Court threw them out: for electronic records, Sec 65B is a complete code — a special provision that overrides the general rules in Sec 63 and 65. Without the certificate, no secondary evidence of an electronic record is admissible. Full stop. It overruled the earlier Navjot Sandhu view that ordinary secondary evidence rules could apply.</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Act Two — 2018. Shafhi Mohammad. A two-judge bench, faced with a party who could not possibly get a certificate because the device belonged to someone else, said the requirement is procedural and can be relaxed in the interest of justice where the party is not in possession of the device. Lawyers across India exhaled. But a two-judge bench cannot dilute a three-judge bench. Confusion reigned for two years.</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Act Three — 2020. Arjun Panditrao Khotkar v. Kailash Kushanrao Gorantyal. Another election petition, this time from Maharashtra; the evidence was CCTV footage and CDRs of the Returning Officer's office showing nomination papers filed after the deadline. The High Court had relied on the footage without a certificate. A three-judge bench led by Justice Nariman settled it: Anvar is correct; Shafhi is overruled. The certificate under 65B(4) is mandatory for secondary evidence of electronic records. But — and this is the humane part — where the party has done everything possible to obtain the certificate and the device-holder refuses, the court can summon the certificate under Sec 91 CrPC / Order XVI CPC, and the certificate can be produced at any stage before the trial concludes. The Court also directed cellular companies and ISPs to preserve CDRs and issued guidelines for their preservation. Six years, three cases, one rule: **no certificate, no electronic evidence — unless the original device itself is produced.**</w:t>
      </w:r>
    </w:p>
    <w:p>
      <w:pPr>
        <w:spacing w:after="120" w:before="240"/>
      </w:pPr>
      <w:r>
        <w:rPr>
          <w:rFonts w:ascii="Arial" w:cs="Arial" w:eastAsia="Arial" w:hAnsi="Arial"/>
          <w:b/>
          <w:bCs/>
          <w:color w:val="404040"/>
          <w:sz w:val="23"/>
          <w:szCs w:val="23"/>
        </w:rPr>
        <w:t xml:space="preserve">The provisions — Sec 65A, 65B (BSA 61, 62, 63)</w:t>
      </w:r>
    </w:p>
    <w:p>
      <w:pPr>
        <w:spacing w:after="60" w:before="60"/>
        <w:ind w:left="200"/>
      </w:pPr>
      <w:r>
        <w:rPr>
          <w:rFonts w:ascii="Arial" w:cs="Arial" w:eastAsia="Arial" w:hAnsi="Arial"/>
          <w:b/>
          <w:bCs/>
          <w:color w:val="1F4E79"/>
          <w:sz w:val="22"/>
          <w:szCs w:val="22"/>
        </w:rPr>
        <w:t xml:space="preserve">Sec 65A: </w:t>
      </w:r>
      <w:r>
        <w:rPr>
          <w:rFonts w:ascii="Arial" w:cs="Arial" w:eastAsia="Arial" w:hAnsi="Arial"/>
          <w:sz w:val="22"/>
          <w:szCs w:val="22"/>
        </w:rPr>
        <w:t xml:space="preserve">Contents of electronic records may be proved in accordance with Sec 65B — a gateway section.</w:t>
      </w:r>
    </w:p>
    <w:p>
      <w:pPr>
        <w:spacing w:after="60" w:before="60"/>
        <w:ind w:left="200"/>
      </w:pPr>
      <w:r>
        <w:rPr>
          <w:rFonts w:ascii="Arial" w:cs="Arial" w:eastAsia="Arial" w:hAnsi="Arial"/>
          <w:b/>
          <w:bCs/>
          <w:color w:val="1F4E79"/>
          <w:sz w:val="22"/>
          <w:szCs w:val="22"/>
        </w:rPr>
        <w:t xml:space="preserve">Sec 65B(1): </w:t>
      </w:r>
      <w:r>
        <w:rPr>
          <w:rFonts w:ascii="Arial" w:cs="Arial" w:eastAsia="Arial" w:hAnsi="Arial"/>
          <w:sz w:val="22"/>
          <w:szCs w:val="22"/>
        </w:rPr>
        <w:t xml:space="preserve">Any information in an electronic record which is printed on paper, or stored/recorded/copied in optical or magnetic media (the 'computer output') shall be deemed to be a **document** and admissible without production of the original, if the conditions in 65B(2) are satisfied.</w:t>
      </w:r>
    </w:p>
    <w:p>
      <w:pPr>
        <w:spacing w:after="60" w:before="60"/>
        <w:ind w:left="200"/>
      </w:pPr>
      <w:r>
        <w:rPr>
          <w:rFonts w:ascii="Arial" w:cs="Arial" w:eastAsia="Arial" w:hAnsi="Arial"/>
          <w:b/>
          <w:bCs/>
          <w:color w:val="1F4E79"/>
          <w:sz w:val="22"/>
          <w:szCs w:val="22"/>
        </w:rPr>
        <w:t xml:space="preserve">Sec 65B(2) — four conditions: </w:t>
      </w:r>
      <w:r>
        <w:rPr>
          <w:rFonts w:ascii="Arial" w:cs="Arial" w:eastAsia="Arial" w:hAnsi="Arial"/>
          <w:sz w:val="22"/>
          <w:szCs w:val="22"/>
        </w:rPr>
        <w:t xml:space="preserve">(a) the computer output was produced by a computer used regularly to store/process information for the activities regularly carried on by the person having lawful control; (b) information of that kind was regularly fed into the computer in the ordinary course; (c) the computer was operating properly throughout the material period (or any malfunction did not affect the record); (d) the information in the output is derived from information fed in the ordinary course.</w:t>
      </w:r>
    </w:p>
    <w:p>
      <w:pPr>
        <w:spacing w:after="60" w:before="60"/>
        <w:ind w:left="200"/>
      </w:pPr>
      <w:r>
        <w:rPr>
          <w:rFonts w:ascii="Arial" w:cs="Arial" w:eastAsia="Arial" w:hAnsi="Arial"/>
          <w:b/>
          <w:bCs/>
          <w:color w:val="1F4E79"/>
          <w:sz w:val="22"/>
          <w:szCs w:val="22"/>
        </w:rPr>
        <w:t xml:space="preserve">Sec 65B(4) — the certificate: </w:t>
      </w:r>
      <w:r>
        <w:rPr>
          <w:rFonts w:ascii="Arial" w:cs="Arial" w:eastAsia="Arial" w:hAnsi="Arial"/>
          <w:sz w:val="22"/>
          <w:szCs w:val="22"/>
        </w:rPr>
        <w:t xml:space="preserve">A certificate (i) identifying the electronic record and describing how it was produced, (ii) giving particulars of the device, (iii) dealing with the 65B(2) conditions — signed by a person occupying a responsible official position in relation to the operation of the device or management of the activities. It is sufficient if stated 'to the best of knowledge and belief'.</w:t>
      </w:r>
    </w:p>
    <w:p>
      <w:pPr>
        <w:spacing w:after="60" w:before="60"/>
        <w:ind w:left="200"/>
      </w:pPr>
      <w:r>
        <w:rPr>
          <w:rFonts w:ascii="Arial" w:cs="Arial" w:eastAsia="Arial" w:hAnsi="Arial"/>
          <w:b/>
          <w:bCs/>
          <w:color w:val="1F4E79"/>
          <w:sz w:val="22"/>
          <w:szCs w:val="22"/>
        </w:rPr>
        <w:t xml:space="preserve">BSA Sec 63 (2023): </w:t>
      </w:r>
      <w:r>
        <w:rPr>
          <w:rFonts w:ascii="Arial" w:cs="Arial" w:eastAsia="Arial" w:hAnsi="Arial"/>
          <w:sz w:val="22"/>
          <w:szCs w:val="22"/>
        </w:rPr>
        <w:t xml:space="preserve">Re-enacts 65B with changes: expressly covers records stored in **any communication device or otherwise**, including semiconductor memory; adds a **Schedule format** for the certificate; the certificate must be signed by the person in charge of the device **and an expert**; and the certificate accompanies the record 'wherever' it is submitted. Read BSA 63 alongside Arjun Panditrao — the case law survives.</w:t>
      </w:r>
    </w:p>
    <w:p>
      <w:pPr>
        <w:spacing w:after="120" w:before="240"/>
      </w:pPr>
      <w:r>
        <w:rPr>
          <w:rFonts w:ascii="Arial" w:cs="Arial" w:eastAsia="Arial" w:hAnsi="Arial"/>
          <w:b/>
          <w:bCs/>
          <w:color w:val="404040"/>
          <w:sz w:val="23"/>
          <w:szCs w:val="23"/>
        </w:rPr>
        <w:t xml:space="preserve">What the certificate does NOT do</w:t>
      </w:r>
    </w:p>
    <w:p>
      <w:pPr>
        <w:spacing w:after="120" w:line="300"/>
        <w:jc w:val="both"/>
      </w:pPr>
      <w:r>
        <w:rPr>
          <w:rFonts w:ascii="Arial" w:cs="Arial" w:eastAsia="Arial" w:hAnsi="Arial"/>
          <w:sz w:val="22"/>
          <w:szCs w:val="22"/>
        </w:rPr>
        <w:t xml:space="preserve">It makes the record </w:t>
      </w:r>
      <w:r>
        <w:rPr>
          <w:rFonts w:ascii="Arial" w:cs="Arial" w:eastAsia="Arial" w:hAnsi="Arial"/>
          <w:b/>
          <w:bCs/>
          <w:sz w:val="22"/>
          <w:szCs w:val="22"/>
        </w:rPr>
        <w:t xml:space="preserve">admissible</w:t>
      </w:r>
      <w:r>
        <w:rPr>
          <w:rFonts w:ascii="Arial" w:cs="Arial" w:eastAsia="Arial" w:hAnsi="Arial"/>
          <w:sz w:val="22"/>
          <w:szCs w:val="22"/>
        </w:rPr>
        <w:t xml:space="preserve">; it does not make it </w:t>
      </w:r>
      <w:r>
        <w:rPr>
          <w:rFonts w:ascii="Arial" w:cs="Arial" w:eastAsia="Arial" w:hAnsi="Arial"/>
          <w:b/>
          <w:bCs/>
          <w:sz w:val="22"/>
          <w:szCs w:val="22"/>
        </w:rPr>
        <w:t xml:space="preserve">true</w:t>
      </w:r>
      <w:r>
        <w:rPr>
          <w:rFonts w:ascii="Arial" w:cs="Arial" w:eastAsia="Arial" w:hAnsi="Arial"/>
          <w:sz w:val="22"/>
          <w:szCs w:val="22"/>
        </w:rPr>
        <w:t xml:space="preserve">. Weight is separate. The defence can still argue tampering, incomplete footage, wrong timestamp, or that the record does not show what is claimed. Also: if the </w:t>
      </w:r>
      <w:r>
        <w:rPr>
          <w:rFonts w:ascii="Arial" w:cs="Arial" w:eastAsia="Arial" w:hAnsi="Arial"/>
          <w:b/>
          <w:bCs/>
          <w:sz w:val="22"/>
          <w:szCs w:val="22"/>
        </w:rPr>
        <w:t xml:space="preserve">original device</w:t>
      </w:r>
      <w:r>
        <w:rPr>
          <w:rFonts w:ascii="Arial" w:cs="Arial" w:eastAsia="Arial" w:hAnsi="Arial"/>
          <w:sz w:val="22"/>
          <w:szCs w:val="22"/>
        </w:rPr>
        <w:t xml:space="preserve"> is produced and proved by its owner (e.g., the phone itself under Sec 62 as primary evidence), no certificate is needed — Arjun Panditrao said so explicitly.</w:t>
      </w:r>
    </w:p>
    <w:p>
      <w:pPr>
        <w:spacing w:after="120" w:before="240"/>
      </w:pPr>
      <w:r>
        <w:rPr>
          <w:rFonts w:ascii="Arial" w:cs="Arial" w:eastAsia="Arial" w:hAnsi="Arial"/>
          <w:b/>
          <w:bCs/>
          <w:color w:val="404040"/>
          <w:sz w:val="23"/>
          <w:szCs w:val="23"/>
        </w:rPr>
        <w:t xml:space="preserve">Presumptions on electronic records (BSA 81–93 approx.)</w:t>
      </w:r>
    </w:p>
    <w:p>
      <w:pPr>
        <w:spacing w:after="60" w:before="60"/>
        <w:ind w:left="200"/>
      </w:pPr>
      <w:r>
        <w:rPr>
          <w:rFonts w:ascii="Arial" w:cs="Arial" w:eastAsia="Arial" w:hAnsi="Arial"/>
          <w:b/>
          <w:bCs/>
          <w:color w:val="1F4E79"/>
          <w:sz w:val="22"/>
          <w:szCs w:val="22"/>
        </w:rPr>
        <w:t xml:space="preserve">Sec 81A: </w:t>
      </w:r>
      <w:r>
        <w:rPr>
          <w:rFonts w:ascii="Arial" w:cs="Arial" w:eastAsia="Arial" w:hAnsi="Arial"/>
          <w:sz w:val="22"/>
          <w:szCs w:val="22"/>
        </w:rPr>
        <w:t xml:space="preserve">Gazettes in electronic form — presumed genuine.</w:t>
      </w:r>
    </w:p>
    <w:p>
      <w:pPr>
        <w:spacing w:after="60" w:before="60"/>
        <w:ind w:left="200"/>
      </w:pPr>
      <w:r>
        <w:rPr>
          <w:rFonts w:ascii="Arial" w:cs="Arial" w:eastAsia="Arial" w:hAnsi="Arial"/>
          <w:b/>
          <w:bCs/>
          <w:color w:val="1F4E79"/>
          <w:sz w:val="22"/>
          <w:szCs w:val="22"/>
        </w:rPr>
        <w:t xml:space="preserve">Sec 85A: </w:t>
      </w:r>
      <w:r>
        <w:rPr>
          <w:rFonts w:ascii="Arial" w:cs="Arial" w:eastAsia="Arial" w:hAnsi="Arial"/>
          <w:sz w:val="22"/>
          <w:szCs w:val="22"/>
        </w:rPr>
        <w:t xml:space="preserve">Electronic agreements with electronic signatures — presumed concluded by affixing the signature.</w:t>
      </w:r>
    </w:p>
    <w:p>
      <w:pPr>
        <w:spacing w:after="60" w:before="60"/>
        <w:ind w:left="200"/>
      </w:pPr>
      <w:r>
        <w:rPr>
          <w:rFonts w:ascii="Arial" w:cs="Arial" w:eastAsia="Arial" w:hAnsi="Arial"/>
          <w:b/>
          <w:bCs/>
          <w:color w:val="1F4E79"/>
          <w:sz w:val="22"/>
          <w:szCs w:val="22"/>
        </w:rPr>
        <w:t xml:space="preserve">Sec 85B: </w:t>
      </w:r>
      <w:r>
        <w:rPr>
          <w:rFonts w:ascii="Arial" w:cs="Arial" w:eastAsia="Arial" w:hAnsi="Arial"/>
          <w:sz w:val="22"/>
          <w:szCs w:val="22"/>
        </w:rPr>
        <w:t xml:space="preserve">Secure electronic record — presumed unaltered since the point of time its secure status was obtained; secure electronic signature presumed affixed with intent to sign.</w:t>
      </w:r>
    </w:p>
    <w:p>
      <w:pPr>
        <w:spacing w:after="60" w:before="60"/>
        <w:ind w:left="200"/>
      </w:pPr>
      <w:r>
        <w:rPr>
          <w:rFonts w:ascii="Arial" w:cs="Arial" w:eastAsia="Arial" w:hAnsi="Arial"/>
          <w:b/>
          <w:bCs/>
          <w:color w:val="1F4E79"/>
          <w:sz w:val="22"/>
          <w:szCs w:val="22"/>
        </w:rPr>
        <w:t xml:space="preserve">Sec 85C: </w:t>
      </w:r>
      <w:r>
        <w:rPr>
          <w:rFonts w:ascii="Arial" w:cs="Arial" w:eastAsia="Arial" w:hAnsi="Arial"/>
          <w:sz w:val="22"/>
          <w:szCs w:val="22"/>
        </w:rPr>
        <w:t xml:space="preserve">Electronic Signature Certificate — information in it presumed correct.</w:t>
      </w:r>
    </w:p>
    <w:p>
      <w:pPr>
        <w:spacing w:after="60" w:before="60"/>
        <w:ind w:left="200"/>
      </w:pPr>
      <w:r>
        <w:rPr>
          <w:rFonts w:ascii="Arial" w:cs="Arial" w:eastAsia="Arial" w:hAnsi="Arial"/>
          <w:b/>
          <w:bCs/>
          <w:color w:val="1F4E79"/>
          <w:sz w:val="22"/>
          <w:szCs w:val="22"/>
        </w:rPr>
        <w:t xml:space="preserve">Sec 88A: </w:t>
      </w:r>
      <w:r>
        <w:rPr>
          <w:rFonts w:ascii="Arial" w:cs="Arial" w:eastAsia="Arial" w:hAnsi="Arial"/>
          <w:sz w:val="22"/>
          <w:szCs w:val="22"/>
        </w:rPr>
        <w:t xml:space="preserve">Electronic messages — presumed to correspond with the message fed into the sender's computer, but no presumption as to the person who sent it.</w:t>
      </w:r>
    </w:p>
    <w:p>
      <w:pPr>
        <w:spacing w:after="60" w:before="60"/>
        <w:ind w:left="200"/>
      </w:pPr>
      <w:r>
        <w:rPr>
          <w:rFonts w:ascii="Arial" w:cs="Arial" w:eastAsia="Arial" w:hAnsi="Arial"/>
          <w:b/>
          <w:bCs/>
          <w:color w:val="1F4E79"/>
          <w:sz w:val="22"/>
          <w:szCs w:val="22"/>
        </w:rPr>
        <w:t xml:space="preserve">Sec 90A: </w:t>
      </w:r>
      <w:r>
        <w:rPr>
          <w:rFonts w:ascii="Arial" w:cs="Arial" w:eastAsia="Arial" w:hAnsi="Arial"/>
          <w:sz w:val="22"/>
          <w:szCs w:val="22"/>
        </w:rPr>
        <w:t xml:space="preserve">Electronic records five years old from proper custody — signature presumed genuine.</w:t>
      </w:r>
    </w:p>
    <w:p>
      <w:pPr>
        <w:spacing w:after="120" w:before="240"/>
      </w:pPr>
      <w:r>
        <w:rPr>
          <w:rFonts w:ascii="Arial" w:cs="Arial" w:eastAsia="Arial" w:hAnsi="Arial"/>
          <w:b/>
          <w:bCs/>
          <w:color w:val="404040"/>
          <w:sz w:val="23"/>
          <w:szCs w:val="23"/>
        </w:rPr>
        <w:t xml:space="preserve">Public and private documents — Sec 74–78 (BSA 74–78)</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Public documents (Sec 74):</w:t>
      </w:r>
      <w:r>
        <w:rPr>
          <w:rFonts w:ascii="Arial" w:cs="Arial" w:eastAsia="Arial" w:hAnsi="Arial"/>
          <w:sz w:val="22"/>
          <w:szCs w:val="22"/>
        </w:rPr>
        <w:t xml:space="preserve"> documents forming the acts or records of acts of sovereign authority, official bodies, public officers (legislative, judicial, executive), and public records of private documents kept in any State. </w:t>
      </w:r>
      <w:r>
        <w:rPr>
          <w:rFonts w:ascii="Arial" w:cs="Arial" w:eastAsia="Arial" w:hAnsi="Arial"/>
          <w:b/>
          <w:bCs/>
          <w:sz w:val="22"/>
          <w:szCs w:val="22"/>
        </w:rPr>
        <w:t xml:space="preserve">Private documents (Sec 75):</w:t>
      </w:r>
      <w:r>
        <w:rPr>
          <w:rFonts w:ascii="Arial" w:cs="Arial" w:eastAsia="Arial" w:hAnsi="Arial"/>
          <w:sz w:val="22"/>
          <w:szCs w:val="22"/>
        </w:rPr>
        <w:t xml:space="preserve"> all others. </w:t>
      </w:r>
      <w:r>
        <w:rPr>
          <w:rFonts w:ascii="Arial" w:cs="Arial" w:eastAsia="Arial" w:hAnsi="Arial"/>
          <w:b/>
          <w:bCs/>
          <w:sz w:val="22"/>
          <w:szCs w:val="22"/>
        </w:rPr>
        <w:t xml:space="preserve">Sec 76:</w:t>
      </w:r>
      <w:r>
        <w:rPr>
          <w:rFonts w:ascii="Arial" w:cs="Arial" w:eastAsia="Arial" w:hAnsi="Arial"/>
          <w:sz w:val="22"/>
          <w:szCs w:val="22"/>
        </w:rPr>
        <w:t xml:space="preserve"> every public officer having custody must give a certified copy on demand. </w:t>
      </w:r>
      <w:r>
        <w:rPr>
          <w:rFonts w:ascii="Arial" w:cs="Arial" w:eastAsia="Arial" w:hAnsi="Arial"/>
          <w:b/>
          <w:bCs/>
          <w:sz w:val="22"/>
          <w:szCs w:val="22"/>
        </w:rPr>
        <w:t xml:space="preserve">Sec 77:</w:t>
      </w:r>
      <w:r>
        <w:rPr>
          <w:rFonts w:ascii="Arial" w:cs="Arial" w:eastAsia="Arial" w:hAnsi="Arial"/>
          <w:sz w:val="22"/>
          <w:szCs w:val="22"/>
        </w:rPr>
        <w:t xml:space="preserve"> certified copies may be produced in proof of contents. </w:t>
      </w:r>
      <w:r>
        <w:rPr>
          <w:rFonts w:ascii="Arial" w:cs="Arial" w:eastAsia="Arial" w:hAnsi="Arial"/>
          <w:b/>
          <w:bCs/>
          <w:sz w:val="22"/>
          <w:szCs w:val="22"/>
        </w:rPr>
        <w:t xml:space="preserve">Sec 78:</w:t>
      </w:r>
      <w:r>
        <w:rPr>
          <w:rFonts w:ascii="Arial" w:cs="Arial" w:eastAsia="Arial" w:hAnsi="Arial"/>
          <w:sz w:val="22"/>
          <w:szCs w:val="22"/>
        </w:rPr>
        <w:t xml:space="preserve"> mode of proving other official documents (Acts, proclamations, foreign public documents). Sec 79–90: presumptions as to genuineness of certified copies, official documents, gazettes, maps, powers of attorney, and documents 30 years old (Sec 90).</w:t>
      </w:r>
    </w:p>
    <w:p>
      <w:pPr>
        <w:pBdr>
          <w:left w:val="single" w:color="CC0000" w:sz="6" w:space="8"/>
        </w:pBdr>
        <w:spacing w:after="80" w:before="80"/>
        <w:ind w:left="300"/>
      </w:pPr>
      <w:r>
        <w:rPr>
          <w:rFonts w:ascii="Arial" w:cs="Arial" w:eastAsia="Arial" w:hAnsi="Arial"/>
          <w:b/>
          <w:bCs/>
          <w:color w:val="CC0000"/>
          <w:sz w:val="21"/>
          <w:szCs w:val="21"/>
        </w:rPr>
        <w:t xml:space="preserve">Anvar P.V. v. P.K. Basheer (2014, 3 judges) — </w:t>
      </w:r>
      <w:r>
        <w:rPr>
          <w:rFonts w:ascii="Arial" w:cs="Arial" w:eastAsia="Arial" w:hAnsi="Arial"/>
          <w:sz w:val="21"/>
          <w:szCs w:val="21"/>
        </w:rPr>
        <w:t xml:space="preserve">Sec 65B is a special complete code for electronic records; certificate mandatory for secondary evidence; overruled Navjot Sandhu on this point.</w:t>
      </w:r>
    </w:p>
    <w:p>
      <w:pPr>
        <w:pBdr>
          <w:left w:val="single" w:color="CC0000" w:sz="6" w:space="8"/>
        </w:pBdr>
        <w:spacing w:after="80" w:before="80"/>
        <w:ind w:left="300"/>
      </w:pPr>
      <w:r>
        <w:rPr>
          <w:rFonts w:ascii="Arial" w:cs="Arial" w:eastAsia="Arial" w:hAnsi="Arial"/>
          <w:b/>
          <w:bCs/>
          <w:color w:val="CC0000"/>
          <w:sz w:val="21"/>
          <w:szCs w:val="21"/>
        </w:rPr>
        <w:t xml:space="preserve">Shafhi Mohammad v. State of HP (2018, 2 judges) — </w:t>
      </w:r>
      <w:r>
        <w:rPr>
          <w:rFonts w:ascii="Arial" w:cs="Arial" w:eastAsia="Arial" w:hAnsi="Arial"/>
          <w:sz w:val="21"/>
          <w:szCs w:val="21"/>
        </w:rPr>
        <w:t xml:space="preserve">Held certificate requirement procedural and relaxable where the party does not possess the device — now overruled.</w:t>
      </w:r>
    </w:p>
    <w:p>
      <w:pPr>
        <w:pBdr>
          <w:left w:val="single" w:color="CC0000" w:sz="6" w:space="8"/>
        </w:pBdr>
        <w:spacing w:after="80" w:before="80"/>
        <w:ind w:left="300"/>
      </w:pPr>
      <w:r>
        <w:rPr>
          <w:rFonts w:ascii="Arial" w:cs="Arial" w:eastAsia="Arial" w:hAnsi="Arial"/>
          <w:b/>
          <w:bCs/>
          <w:color w:val="CC0000"/>
          <w:sz w:val="21"/>
          <w:szCs w:val="21"/>
        </w:rPr>
        <w:t xml:space="preserve">Arjun Panditrao Khotkar v. Kailash Kushanrao Gorantyal (2020, 3 judges) — </w:t>
      </w:r>
      <w:r>
        <w:rPr>
          <w:rFonts w:ascii="Arial" w:cs="Arial" w:eastAsia="Arial" w:hAnsi="Arial"/>
          <w:sz w:val="21"/>
          <w:szCs w:val="21"/>
        </w:rPr>
        <w:t xml:space="preserve">Reaffirmed Anvar; overruled Shafhi; certificate mandatory; can be produced at any stage before trial ends; courts can summon it; original device produced = no certificate needed; directions to preserve CDRs.</w:t>
      </w:r>
    </w:p>
    <w:p>
      <w:pPr>
        <w:pBdr>
          <w:left w:val="single" w:color="CC0000" w:sz="6" w:space="8"/>
        </w:pBdr>
        <w:spacing w:after="80" w:before="80"/>
        <w:ind w:left="300"/>
      </w:pPr>
      <w:r>
        <w:rPr>
          <w:rFonts w:ascii="Arial" w:cs="Arial" w:eastAsia="Arial" w:hAnsi="Arial"/>
          <w:b/>
          <w:bCs/>
          <w:color w:val="CC0000"/>
          <w:sz w:val="21"/>
          <w:szCs w:val="21"/>
        </w:rPr>
        <w:t xml:space="preserve">Tomaso Bruno v. State of UP (2015) — </w:t>
      </w:r>
      <w:r>
        <w:rPr>
          <w:rFonts w:ascii="Arial" w:cs="Arial" w:eastAsia="Arial" w:hAnsi="Arial"/>
          <w:sz w:val="21"/>
          <w:szCs w:val="21"/>
        </w:rPr>
        <w:t xml:space="preserve">Non-production of available CCTV footage by prosecution invites adverse inference under Sec 114(g); electronic evidence is a powerful tool of investigation and should be produced.</w:t>
      </w:r>
    </w:p>
    <w:p>
      <w:pPr>
        <w:pBdr>
          <w:left w:val="single" w:color="CC0000" w:sz="6" w:space="8"/>
        </w:pBdr>
        <w:spacing w:after="80" w:before="80"/>
        <w:ind w:left="300"/>
      </w:pPr>
      <w:r>
        <w:rPr>
          <w:rFonts w:ascii="Arial" w:cs="Arial" w:eastAsia="Arial" w:hAnsi="Arial"/>
          <w:b/>
          <w:bCs/>
          <w:color w:val="CC0000"/>
          <w:sz w:val="21"/>
          <w:szCs w:val="21"/>
        </w:rPr>
        <w:t xml:space="preserve">Sonu @ Amar v. State of Haryana (2017) — </w:t>
      </w:r>
      <w:r>
        <w:rPr>
          <w:rFonts w:ascii="Arial" w:cs="Arial" w:eastAsia="Arial" w:hAnsi="Arial"/>
          <w:sz w:val="21"/>
          <w:szCs w:val="21"/>
        </w:rPr>
        <w:t xml:space="preserve">Objection to absence of 65B certificate is a mode-of-proof objection; if not raised at trial when curable, it cannot be raised at appeal for the first time.</w:t>
      </w:r>
    </w:p>
    <w:p>
      <w:pPr>
        <w:pBdr>
          <w:left w:val="single" w:color="CC0000" w:sz="6" w:space="8"/>
        </w:pBdr>
        <w:spacing w:after="80" w:before="80"/>
        <w:ind w:left="300"/>
      </w:pPr>
      <w:r>
        <w:rPr>
          <w:rFonts w:ascii="Arial" w:cs="Arial" w:eastAsia="Arial" w:hAnsi="Arial"/>
          <w:b/>
          <w:bCs/>
          <w:color w:val="CC0000"/>
          <w:sz w:val="21"/>
          <w:szCs w:val="21"/>
        </w:rPr>
        <w:t xml:space="preserve">State of Maharashtra v. Praful Desai (2003) — </w:t>
      </w:r>
      <w:r>
        <w:rPr>
          <w:rFonts w:ascii="Arial" w:cs="Arial" w:eastAsia="Arial" w:hAnsi="Arial"/>
          <w:sz w:val="21"/>
          <w:szCs w:val="21"/>
        </w:rPr>
        <w:t xml:space="preserve">Evidence by video-conferencing is 'presence' for Sec 273 CrPC; technology-enabled testimony is valid.</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Certificate checklist for practice: identify the record (file name, hash), the device (make, model, IMEI/serial), who operated it, that it was working, how the copy/printout was made, date, signature and designation of the person in charge, plus (under BSA) the expert's signature. Chain of custody: seizure memo → sealed → hash at seizure → forensic image → hash verified → analysis → report. Any break is cross-examination gold. Deepfakes: no Supreme Court ruling yet; the tools are 65B (authenticity of the file as produced) plus Sec 45A expert opinion on manipulation — note this as a gap in the law when asked.</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This is the single most important modern Evidence question. Part A: 'Sec 65B certificate' — 3 marks, list the four conditions. Part B: 'Discuss the admissibility of electronic records with reference to case law' — Anvar → Shafhi → Arjun Panditrao as a narrative, then BSA 63. Part C: WhatsApp printouts without certificate; CCTV not produced (Tomaso Bruno); objection raised first time in appeal (Sonu).</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09 — Who May Speak: Witnesses and Privileges</w:t>
      </w:r>
    </w:p>
    <w:p>
      <w:pPr>
        <w:pStyle w:val="Heading2"/>
        <w:spacing w:after="160" w:before="360"/>
      </w:pPr>
      <w:r>
        <w:rPr>
          <w:rFonts w:ascii="Arial" w:cs="Arial" w:eastAsia="Arial" w:hAnsi="Arial"/>
          <w:b/>
          <w:bCs/>
          <w:color w:val="2E75B6"/>
          <w:sz w:val="26"/>
          <w:szCs w:val="26"/>
        </w:rPr>
        <w:t xml:space="preserve">Covers: Competency (Sec 118–121) · Child witness · Spousal privilege (Sec 122) · State privilege (Sec 123–124) · Professional privilege (Sec 126–129) · Accomplice (Sec 133, 114(b))</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Two stories. First: Rameshwar, 1951. A five-year-old girl was raped; her mother testified to what the child told her soon after; the child herself was examined without oath because the Magistrate thought she did not understand the nature of an oath. The Supreme Court held the child was a competent witness — the absence of an oath affects credibility, not competency — and her statement to her mother was admissible as corroboration under Sec 157. Second: S.P. Gupta, 1981 — the First Judges' Case. The government claimed privilege over correspondence between the Law Minister, the Chief Justice, and the Delhi High Court Chief Justice about judicial appointments. Sec 123: unpublished official records relating to affairs of State. The Supreme Court said the court, not the Minister, decides whether disclosure would injure public interest, and the court may inspect the document. The immunity is for the public, not for the government's embarrassment. Both stories are about the same thing: the law's presumption is that everyone may speak and everything may be shown, and exceptions must justify themselves.</w:t>
      </w:r>
    </w:p>
    <w:p>
      <w:pPr>
        <w:spacing w:after="120" w:before="240"/>
      </w:pPr>
      <w:r>
        <w:rPr>
          <w:rFonts w:ascii="Arial" w:cs="Arial" w:eastAsia="Arial" w:hAnsi="Arial"/>
          <w:b/>
          <w:bCs/>
          <w:color w:val="404040"/>
          <w:sz w:val="23"/>
          <w:szCs w:val="23"/>
        </w:rPr>
        <w:t xml:space="preserve">Competency — Sec 118 (BSA 124)</w:t>
      </w:r>
    </w:p>
    <w:p>
      <w:pPr>
        <w:spacing w:after="120" w:line="300"/>
        <w:jc w:val="both"/>
      </w:pPr>
      <w:r>
        <w:rPr>
          <w:rFonts w:ascii="Arial" w:cs="Arial" w:eastAsia="Arial" w:hAnsi="Arial"/>
          <w:sz w:val="22"/>
          <w:szCs w:val="22"/>
        </w:rPr>
        <w:t xml:space="preserve">All persons are competent to testify unless the court considers they are prevented from understanding the questions or giving rational answers by tender years, extreme old age, disease of body or mind, or similar cause. A lunatic is competent during lucid intervals. </w:t>
      </w:r>
      <w:r>
        <w:rPr>
          <w:rFonts w:ascii="Arial" w:cs="Arial" w:eastAsia="Arial" w:hAnsi="Arial"/>
          <w:b/>
          <w:bCs/>
          <w:sz w:val="22"/>
          <w:szCs w:val="22"/>
        </w:rPr>
        <w:t xml:space="preserve">Child witness:</w:t>
      </w:r>
      <w:r>
        <w:rPr>
          <w:rFonts w:ascii="Arial" w:cs="Arial" w:eastAsia="Arial" w:hAnsi="Arial"/>
          <w:sz w:val="22"/>
          <w:szCs w:val="22"/>
        </w:rPr>
        <w:t xml:space="preserve"> no minimum age; the court tests understanding (a voir dire). Oath: Oaths Act 1969, Sec 4 proviso — a child under 12 who does not understand the oath may testify without it; the evidence is still admissible. Rule of prudence: courts look for corroboration and guard against tutoring, but a child's evidence can be the sole basis of conviction if reliable.</w:t>
      </w:r>
    </w:p>
    <w:p>
      <w:pPr>
        <w:spacing w:after="60" w:before="60"/>
        <w:ind w:left="200"/>
      </w:pPr>
      <w:r>
        <w:rPr>
          <w:rFonts w:ascii="Arial" w:cs="Arial" w:eastAsia="Arial" w:hAnsi="Arial"/>
          <w:b/>
          <w:bCs/>
          <w:color w:val="1F4E79"/>
          <w:sz w:val="22"/>
          <w:szCs w:val="22"/>
        </w:rPr>
        <w:t xml:space="preserve">Sec 119: </w:t>
      </w:r>
      <w:r>
        <w:rPr>
          <w:rFonts w:ascii="Arial" w:cs="Arial" w:eastAsia="Arial" w:hAnsi="Arial"/>
          <w:sz w:val="22"/>
          <w:szCs w:val="22"/>
        </w:rPr>
        <w:t xml:space="preserve">A witness unable to speak may give evidence by writing or signs in open court — deemed oral evidence; BSA adds videography of such testimony.</w:t>
      </w:r>
    </w:p>
    <w:p>
      <w:pPr>
        <w:spacing w:after="60" w:before="60"/>
        <w:ind w:left="200"/>
      </w:pPr>
      <w:r>
        <w:rPr>
          <w:rFonts w:ascii="Arial" w:cs="Arial" w:eastAsia="Arial" w:hAnsi="Arial"/>
          <w:b/>
          <w:bCs/>
          <w:color w:val="1F4E79"/>
          <w:sz w:val="22"/>
          <w:szCs w:val="22"/>
        </w:rPr>
        <w:t xml:space="preserve">Sec 120: </w:t>
      </w:r>
      <w:r>
        <w:rPr>
          <w:rFonts w:ascii="Arial" w:cs="Arial" w:eastAsia="Arial" w:hAnsi="Arial"/>
          <w:sz w:val="22"/>
          <w:szCs w:val="22"/>
        </w:rPr>
        <w:t xml:space="preserve">Parties to a civil suit and their spouses are competent witnesses; in criminal proceedings the accused's spouse is competent.</w:t>
      </w:r>
    </w:p>
    <w:p>
      <w:pPr>
        <w:spacing w:after="60" w:before="60"/>
        <w:ind w:left="200"/>
      </w:pPr>
      <w:r>
        <w:rPr>
          <w:rFonts w:ascii="Arial" w:cs="Arial" w:eastAsia="Arial" w:hAnsi="Arial"/>
          <w:b/>
          <w:bCs/>
          <w:color w:val="1F4E79"/>
          <w:sz w:val="22"/>
          <w:szCs w:val="22"/>
        </w:rPr>
        <w:t xml:space="preserve">Sec 121: </w:t>
      </w:r>
      <w:r>
        <w:rPr>
          <w:rFonts w:ascii="Arial" w:cs="Arial" w:eastAsia="Arial" w:hAnsi="Arial"/>
          <w:sz w:val="22"/>
          <w:szCs w:val="22"/>
        </w:rPr>
        <w:t xml:space="preserve">Judges and Magistrates cannot be compelled to answer about their conduct in court, except on special order of a superior court.</w:t>
      </w:r>
    </w:p>
    <w:p>
      <w:pPr>
        <w:spacing w:after="120" w:before="240"/>
      </w:pPr>
      <w:r>
        <w:rPr>
          <w:rFonts w:ascii="Arial" w:cs="Arial" w:eastAsia="Arial" w:hAnsi="Arial"/>
          <w:b/>
          <w:bCs/>
          <w:color w:val="404040"/>
          <w:sz w:val="23"/>
          <w:szCs w:val="23"/>
        </w:rPr>
        <w:t xml:space="preserve">Privileges</w:t>
      </w:r>
    </w:p>
    <w:p>
      <w:pPr>
        <w:spacing w:after="60" w:before="60"/>
        <w:ind w:left="200"/>
      </w:pPr>
      <w:r>
        <w:rPr>
          <w:rFonts w:ascii="Arial" w:cs="Arial" w:eastAsia="Arial" w:hAnsi="Arial"/>
          <w:b/>
          <w:bCs/>
          <w:color w:val="1F4E79"/>
          <w:sz w:val="22"/>
          <w:szCs w:val="22"/>
        </w:rPr>
        <w:t xml:space="preserve">Sec 122 — Marital communications (BSA 128): </w:t>
      </w:r>
      <w:r>
        <w:rPr>
          <w:rFonts w:ascii="Arial" w:cs="Arial" w:eastAsia="Arial" w:hAnsi="Arial"/>
          <w:sz w:val="22"/>
          <w:szCs w:val="22"/>
        </w:rPr>
        <w:t xml:space="preserve">No person who is or has been married shall be compelled to disclose, nor permitted to disclose without the spouse's consent, any communication made during marriage by the spouse. Exceptions: suits between the spouses, or prosecutions of one spouse for a crime against the other. Note: the privilege covers **communications**, not acts observed (Ram Bharosey — wife saw husband come home with blood; that is not a communication, admissible).</w:t>
      </w:r>
    </w:p>
    <w:p>
      <w:pPr>
        <w:spacing w:after="60" w:before="60"/>
        <w:ind w:left="200"/>
      </w:pPr>
      <w:r>
        <w:rPr>
          <w:rFonts w:ascii="Arial" w:cs="Arial" w:eastAsia="Arial" w:hAnsi="Arial"/>
          <w:b/>
          <w:bCs/>
          <w:color w:val="1F4E79"/>
          <w:sz w:val="22"/>
          <w:szCs w:val="22"/>
        </w:rPr>
        <w:t xml:space="preserve">Sec 123 — Affairs of State (BSA 129): </w:t>
      </w:r>
      <w:r>
        <w:rPr>
          <w:rFonts w:ascii="Arial" w:cs="Arial" w:eastAsia="Arial" w:hAnsi="Arial"/>
          <w:sz w:val="22"/>
          <w:szCs w:val="22"/>
        </w:rPr>
        <w:t xml:space="preserve">No one may give evidence from unpublished official records relating to affairs of State except with permission of the head of the department. S.P. Gupta: the court decides; the department head's refusal is not final; the court may inspect in camera.</w:t>
      </w:r>
    </w:p>
    <w:p>
      <w:pPr>
        <w:spacing w:after="60" w:before="60"/>
        <w:ind w:left="200"/>
      </w:pPr>
      <w:r>
        <w:rPr>
          <w:rFonts w:ascii="Arial" w:cs="Arial" w:eastAsia="Arial" w:hAnsi="Arial"/>
          <w:b/>
          <w:bCs/>
          <w:color w:val="1F4E79"/>
          <w:sz w:val="22"/>
          <w:szCs w:val="22"/>
        </w:rPr>
        <w:t xml:space="preserve">Sec 124: </w:t>
      </w:r>
      <w:r>
        <w:rPr>
          <w:rFonts w:ascii="Arial" w:cs="Arial" w:eastAsia="Arial" w:hAnsi="Arial"/>
          <w:sz w:val="22"/>
          <w:szCs w:val="22"/>
        </w:rPr>
        <w:t xml:space="preserve">Official communications made in confidence — public officer not compelled to disclose if public interest would suffer.</w:t>
      </w:r>
    </w:p>
    <w:p>
      <w:pPr>
        <w:spacing w:after="60" w:before="60"/>
        <w:ind w:left="200"/>
      </w:pPr>
      <w:r>
        <w:rPr>
          <w:rFonts w:ascii="Arial" w:cs="Arial" w:eastAsia="Arial" w:hAnsi="Arial"/>
          <w:b/>
          <w:bCs/>
          <w:color w:val="1F4E79"/>
          <w:sz w:val="22"/>
          <w:szCs w:val="22"/>
        </w:rPr>
        <w:t xml:space="preserve">Sec 125: </w:t>
      </w:r>
      <w:r>
        <w:rPr>
          <w:rFonts w:ascii="Arial" w:cs="Arial" w:eastAsia="Arial" w:hAnsi="Arial"/>
          <w:sz w:val="22"/>
          <w:szCs w:val="22"/>
        </w:rPr>
        <w:t xml:space="preserve">Information as to commission of offences — Magistrates and police officers cannot be compelled to reveal the source.</w:t>
      </w:r>
    </w:p>
    <w:p>
      <w:pPr>
        <w:spacing w:after="60" w:before="60"/>
        <w:ind w:left="200"/>
      </w:pPr>
      <w:r>
        <w:rPr>
          <w:rFonts w:ascii="Arial" w:cs="Arial" w:eastAsia="Arial" w:hAnsi="Arial"/>
          <w:b/>
          <w:bCs/>
          <w:color w:val="1F4E79"/>
          <w:sz w:val="22"/>
          <w:szCs w:val="22"/>
        </w:rPr>
        <w:t xml:space="preserve">Sec 126–129 — Professional communications (BSA 132–134): </w:t>
      </w:r>
      <w:r>
        <w:rPr>
          <w:rFonts w:ascii="Arial" w:cs="Arial" w:eastAsia="Arial" w:hAnsi="Arial"/>
          <w:sz w:val="22"/>
          <w:szCs w:val="22"/>
        </w:rPr>
        <w:t xml:space="preserve">A barrister/attorney/pleader/vakil shall not, without client's express consent, disclose any communication made in the course and for the purpose of employment, the contents of documents seen, or advice given. Exceptions: communications in furtherance of an illegal purpose; facts observed showing a crime or fraud committed since the employment began. Sec 127 extends to interpreters and clerks. Sec 128: privilege not waived by the client volunteering evidence, unless the client calls the lawyer as a witness and questions on the matter. Sec 129: the client cannot be compelled to disclose confidential communications with the legal adviser unless he offers himself as a witness.</w:t>
      </w:r>
    </w:p>
    <w:p>
      <w:pPr>
        <w:spacing w:after="120" w:before="240"/>
      </w:pPr>
      <w:r>
        <w:rPr>
          <w:rFonts w:ascii="Arial" w:cs="Arial" w:eastAsia="Arial" w:hAnsi="Arial"/>
          <w:b/>
          <w:bCs/>
          <w:color w:val="404040"/>
          <w:sz w:val="23"/>
          <w:szCs w:val="23"/>
        </w:rPr>
        <w:t xml:space="preserve">Accomplice — Sec 133 and Sec 114(b)</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Sec 133:</w:t>
      </w:r>
      <w:r>
        <w:rPr>
          <w:rFonts w:ascii="Arial" w:cs="Arial" w:eastAsia="Arial" w:hAnsi="Arial"/>
          <w:sz w:val="22"/>
          <w:szCs w:val="22"/>
        </w:rPr>
        <w:t xml:space="preserve"> an accomplice is a competent witness against an accused, and a conviction is not illegal merely because it proceeds on the uncorroborated testimony of an accomplice. </w:t>
      </w:r>
      <w:r>
        <w:rPr>
          <w:rFonts w:ascii="Arial" w:cs="Arial" w:eastAsia="Arial" w:hAnsi="Arial"/>
          <w:b/>
          <w:bCs/>
          <w:sz w:val="22"/>
          <w:szCs w:val="22"/>
        </w:rPr>
        <w:t xml:space="preserve">Sec 114 illustration (b):</w:t>
      </w:r>
      <w:r>
        <w:rPr>
          <w:rFonts w:ascii="Arial" w:cs="Arial" w:eastAsia="Arial" w:hAnsi="Arial"/>
          <w:sz w:val="22"/>
          <w:szCs w:val="22"/>
        </w:rPr>
        <w:t xml:space="preserve"> the court may presume that an accomplice is unworthy of credit unless corroborated in material particulars. Read together: legally competent, prudentially suspect. The rule of practice, almost a rule of law, is to seek corroboration from independent evidence connecting the accused with the crime (R v. Baskerville; Rameshwar; Bhiva Doulu Patil). An </w:t>
      </w:r>
      <w:r>
        <w:rPr>
          <w:rFonts w:ascii="Arial" w:cs="Arial" w:eastAsia="Arial" w:hAnsi="Arial"/>
          <w:b/>
          <w:bCs/>
          <w:sz w:val="22"/>
          <w:szCs w:val="22"/>
        </w:rPr>
        <w:t xml:space="preserve">approver</w:t>
      </w:r>
      <w:r>
        <w:rPr>
          <w:rFonts w:ascii="Arial" w:cs="Arial" w:eastAsia="Arial" w:hAnsi="Arial"/>
          <w:sz w:val="22"/>
          <w:szCs w:val="22"/>
        </w:rPr>
        <w:t xml:space="preserve"> is an accomplice given pardon under Sec 306 CrPC (BNSS 343) on condition of full and true disclosure.</w:t>
      </w:r>
    </w:p>
    <w:p>
      <w:pPr>
        <w:pBdr>
          <w:left w:val="single" w:color="CC0000" w:sz="6" w:space="8"/>
        </w:pBdr>
        <w:spacing w:after="80" w:before="80"/>
        <w:ind w:left="300"/>
      </w:pPr>
      <w:r>
        <w:rPr>
          <w:rFonts w:ascii="Arial" w:cs="Arial" w:eastAsia="Arial" w:hAnsi="Arial"/>
          <w:b/>
          <w:bCs/>
          <w:color w:val="CC0000"/>
          <w:sz w:val="21"/>
          <w:szCs w:val="21"/>
        </w:rPr>
        <w:t xml:space="preserve">Rameshwar v. State of Rajasthan (1951) — </w:t>
      </w:r>
      <w:r>
        <w:rPr>
          <w:rFonts w:ascii="Arial" w:cs="Arial" w:eastAsia="Arial" w:hAnsi="Arial"/>
          <w:sz w:val="21"/>
          <w:szCs w:val="21"/>
        </w:rPr>
        <w:t xml:space="preserve">Child of five competent; omission of oath goes to credibility only; corroboration under Sec 157 through the mother; corroboration principles from Baskerville adopted.</w:t>
      </w:r>
    </w:p>
    <w:p>
      <w:pPr>
        <w:pBdr>
          <w:left w:val="single" w:color="CC0000" w:sz="6" w:space="8"/>
        </w:pBdr>
        <w:spacing w:after="80" w:before="80"/>
        <w:ind w:left="300"/>
      </w:pPr>
      <w:r>
        <w:rPr>
          <w:rFonts w:ascii="Arial" w:cs="Arial" w:eastAsia="Arial" w:hAnsi="Arial"/>
          <w:b/>
          <w:bCs/>
          <w:color w:val="CC0000"/>
          <w:sz w:val="21"/>
          <w:szCs w:val="21"/>
        </w:rPr>
        <w:t xml:space="preserve">S.P. Gupta v. Union of India (1981) — </w:t>
      </w:r>
      <w:r>
        <w:rPr>
          <w:rFonts w:ascii="Arial" w:cs="Arial" w:eastAsia="Arial" w:hAnsi="Arial"/>
          <w:sz w:val="21"/>
          <w:szCs w:val="21"/>
        </w:rPr>
        <w:t xml:space="preserve">Sec 123 privilege: court decides whether disclosure injures public interest; may inspect the documents; the immunity is for public interest, not government convenience.</w:t>
      </w:r>
    </w:p>
    <w:p>
      <w:pPr>
        <w:pBdr>
          <w:left w:val="single" w:color="CC0000" w:sz="6" w:space="8"/>
        </w:pBdr>
        <w:spacing w:after="80" w:before="80"/>
        <w:ind w:left="300"/>
      </w:pPr>
      <w:r>
        <w:rPr>
          <w:rFonts w:ascii="Arial" w:cs="Arial" w:eastAsia="Arial" w:hAnsi="Arial"/>
          <w:b/>
          <w:bCs/>
          <w:color w:val="CC0000"/>
          <w:sz w:val="21"/>
          <w:szCs w:val="21"/>
        </w:rPr>
        <w:t xml:space="preserve">State of UP v. Raj Narain (1975) — </w:t>
      </w:r>
      <w:r>
        <w:rPr>
          <w:rFonts w:ascii="Arial" w:cs="Arial" w:eastAsia="Arial" w:hAnsi="Arial"/>
          <w:sz w:val="21"/>
          <w:szCs w:val="21"/>
        </w:rPr>
        <w:t xml:space="preserve">Blue Book on PM's security — Sec 123 privilege claimed; SC held the court can examine whether the document is one relating to affairs of State and balance the public interests.</w:t>
      </w:r>
    </w:p>
    <w:p>
      <w:pPr>
        <w:pBdr>
          <w:left w:val="single" w:color="CC0000" w:sz="6" w:space="8"/>
        </w:pBdr>
        <w:spacing w:after="80" w:before="80"/>
        <w:ind w:left="300"/>
      </w:pPr>
      <w:r>
        <w:rPr>
          <w:rFonts w:ascii="Arial" w:cs="Arial" w:eastAsia="Arial" w:hAnsi="Arial"/>
          <w:b/>
          <w:bCs/>
          <w:color w:val="CC0000"/>
          <w:sz w:val="21"/>
          <w:szCs w:val="21"/>
        </w:rPr>
        <w:t xml:space="preserve">M.C. Verghese v. T.J. Ponnan (1970) — </w:t>
      </w:r>
      <w:r>
        <w:rPr>
          <w:rFonts w:ascii="Arial" w:cs="Arial" w:eastAsia="Arial" w:hAnsi="Arial"/>
          <w:sz w:val="21"/>
          <w:szCs w:val="21"/>
        </w:rPr>
        <w:t xml:space="preserve">Sec 122 bars the spouse from proving the communication, but a letter that reached a third party (the wife's father) can be proved by that third party — the privilege is against the spouse testifying, not against the document.</w:t>
      </w:r>
    </w:p>
    <w:p>
      <w:pPr>
        <w:pBdr>
          <w:left w:val="single" w:color="CC0000" w:sz="6" w:space="8"/>
        </w:pBdr>
        <w:spacing w:after="80" w:before="80"/>
        <w:ind w:left="300"/>
      </w:pPr>
      <w:r>
        <w:rPr>
          <w:rFonts w:ascii="Arial" w:cs="Arial" w:eastAsia="Arial" w:hAnsi="Arial"/>
          <w:b/>
          <w:bCs/>
          <w:color w:val="CC0000"/>
          <w:sz w:val="21"/>
          <w:szCs w:val="21"/>
        </w:rPr>
        <w:t xml:space="preserve">Ram Bharosey v. State of UP (1954) — </w:t>
      </w:r>
      <w:r>
        <w:rPr>
          <w:rFonts w:ascii="Arial" w:cs="Arial" w:eastAsia="Arial" w:hAnsi="Arial"/>
          <w:sz w:val="21"/>
          <w:szCs w:val="21"/>
        </w:rPr>
        <w:t xml:space="preserve">Wife's testimony that she saw the husband return with blood-stained clothes and wash them is admissible — conduct, not communication.</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Journalists' source protection is not in the Evidence Act (no Sec 125-type shield); the Press Council has recommended it; courts have occasionally protected sources on Art 19(1)(a) reasoning. Encrypted chats between lawyer and client: still privileged under Sec 126; the privilege attaches to the communication, not the medium. A spouse forwarding a WhatsApp message from the other spouse to a third party: Verghese logic — the third party may prove it.</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'Competency of a child witness', 'Privileged communications', 'Accomplice'. Part B: 'Explain the privileges under Sec 122–129' — structure as marital, state, official, professional, with one case each. Part C: wife's evidence of husband's confession to her (barred, Sec 122) vs wife's evidence of his blood-stained clothes (allowed, Ram Bharosey).</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10 — The Witness Who Turned: Best Bakery and the Art of Examination</w:t>
      </w:r>
    </w:p>
    <w:p>
      <w:pPr>
        <w:pStyle w:val="Heading2"/>
        <w:spacing w:after="160" w:before="360"/>
      </w:pPr>
      <w:r>
        <w:rPr>
          <w:rFonts w:ascii="Arial" w:cs="Arial" w:eastAsia="Arial" w:hAnsi="Arial"/>
          <w:b/>
          <w:bCs/>
          <w:color w:val="2E75B6"/>
          <w:sz w:val="26"/>
          <w:szCs w:val="26"/>
        </w:rPr>
        <w:t xml:space="preserve">Covers: Examination-in-chief, cross, re-examination (Sec 135–166) · Leading questions (Sec 141–143) · Lawful questions in cross (Sec 146–153) · Hostile witness (Sec 154) · Impeaching credit (Sec 155) · Corroboration (Sec 156–157) · Refreshing memory (Sec 159–161)</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Vadodara, 1 March 2002. A mob attacked the Best Bakery; fourteen people were burnt alive. Zahira Sheikh, nineteen, watched her family die from the terrace and named the attackers to the police. At trial in 2003, she and thirty-six other witnesses turned hostile — retracted everything. The trial court acquitted all twenty-one accused in a judgment the Supreme Court later called a 'farce'. Zahira then told the NHRC she had been threatened. The Supreme Court, in Zahira Habibullah Sheikh v. State of Gujarat (2004), did something rare: it ordered a retrial outside Gujarat, in Mumbai, with witness protection. It said the criminal trial is a search for truth; when witnesses are terrorised and the prosecution is indifferent, the court cannot be a silent spectator. At the Mumbai retrial Zahira turned hostile again — and was later convicted of perjury. Nine accused were convicted on the evidence of other witnesses who did not turn. The case is the law's honest admission that examination of witnesses is not a mechanical procedure; it is where truth is won or lost.</w:t>
      </w:r>
    </w:p>
    <w:p>
      <w:pPr>
        <w:spacing w:after="120" w:before="240"/>
      </w:pPr>
      <w:r>
        <w:rPr>
          <w:rFonts w:ascii="Arial" w:cs="Arial" w:eastAsia="Arial" w:hAnsi="Arial"/>
          <w:b/>
          <w:bCs/>
          <w:color w:val="404040"/>
          <w:sz w:val="23"/>
          <w:szCs w:val="23"/>
        </w:rPr>
        <w:t xml:space="preserve">The order of examination — Sec 137–138</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Examination-in-chief</w:t>
      </w:r>
      <w:r>
        <w:rPr>
          <w:rFonts w:ascii="Arial" w:cs="Arial" w:eastAsia="Arial" w:hAnsi="Arial"/>
          <w:sz w:val="22"/>
          <w:szCs w:val="22"/>
        </w:rPr>
        <w:t xml:space="preserve"> by the party calling the witness — no leading questions on material points without permission (Sec 142). </w:t>
      </w:r>
      <w:r>
        <w:rPr>
          <w:rFonts w:ascii="Arial" w:cs="Arial" w:eastAsia="Arial" w:hAnsi="Arial"/>
          <w:b/>
          <w:bCs/>
          <w:sz w:val="22"/>
          <w:szCs w:val="22"/>
        </w:rPr>
        <w:t xml:space="preserve">Cross-examination</w:t>
      </w:r>
      <w:r>
        <w:rPr>
          <w:rFonts w:ascii="Arial" w:cs="Arial" w:eastAsia="Arial" w:hAnsi="Arial"/>
          <w:sz w:val="22"/>
          <w:szCs w:val="22"/>
        </w:rPr>
        <w:t xml:space="preserve"> by the adverse party — leading questions allowed (Sec 143); may go beyond the facts stated in chief, to test veracity, discover identity and position in life, shake credit (Sec 146). </w:t>
      </w:r>
      <w:r>
        <w:rPr>
          <w:rFonts w:ascii="Arial" w:cs="Arial" w:eastAsia="Arial" w:hAnsi="Arial"/>
          <w:b/>
          <w:bCs/>
          <w:sz w:val="22"/>
          <w:szCs w:val="22"/>
        </w:rPr>
        <w:t xml:space="preserve">Re-examination</w:t>
      </w:r>
      <w:r>
        <w:rPr>
          <w:rFonts w:ascii="Arial" w:cs="Arial" w:eastAsia="Arial" w:hAnsi="Arial"/>
          <w:sz w:val="22"/>
          <w:szCs w:val="22"/>
        </w:rPr>
        <w:t xml:space="preserve"> — confined to explaining matters raised in cross; new matter only with the court's permission, and then further cross is allowed. Sec 135: order regulated by the CPC/CrPC. Sec 136: the judge decides admissibility. Sec 139: a person summoned merely to produce a document is not a witness. Sec 140: witnesses to character may be cross-examined.</w:t>
      </w:r>
    </w:p>
    <w:p>
      <w:pPr>
        <w:spacing w:after="120" w:before="240"/>
      </w:pPr>
      <w:r>
        <w:rPr>
          <w:rFonts w:ascii="Arial" w:cs="Arial" w:eastAsia="Arial" w:hAnsi="Arial"/>
          <w:b/>
          <w:bCs/>
          <w:color w:val="404040"/>
          <w:sz w:val="23"/>
          <w:szCs w:val="23"/>
        </w:rPr>
        <w:t xml:space="preserve">Leading questions — Sec 141–143 (BSA 146–148)</w:t>
      </w:r>
    </w:p>
    <w:p>
      <w:pPr>
        <w:spacing w:after="120" w:line="300"/>
        <w:jc w:val="both"/>
      </w:pPr>
      <w:r>
        <w:rPr>
          <w:rFonts w:ascii="Arial" w:cs="Arial" w:eastAsia="Arial" w:hAnsi="Arial"/>
          <w:sz w:val="22"/>
          <w:szCs w:val="22"/>
        </w:rPr>
        <w:t xml:space="preserve">A leading question is one suggesting the answer the questioner wishes to receive. Not to be asked in chief or re-examination if objected to, except with the court's permission — the court permits them on introductory or undisputed matters, or matters already sufficiently proved. Always allowed in cross-examination.</w:t>
      </w:r>
    </w:p>
    <w:p>
      <w:pPr>
        <w:spacing w:after="120" w:before="240"/>
      </w:pPr>
      <w:r>
        <w:rPr>
          <w:rFonts w:ascii="Arial" w:cs="Arial" w:eastAsia="Arial" w:hAnsi="Arial"/>
          <w:b/>
          <w:bCs/>
          <w:color w:val="404040"/>
          <w:sz w:val="23"/>
          <w:szCs w:val="23"/>
        </w:rPr>
        <w:t xml:space="preserve">Lawful questions in cross — Sec 146–153</w:t>
      </w:r>
    </w:p>
    <w:p>
      <w:pPr>
        <w:spacing w:after="120" w:line="300"/>
        <w:jc w:val="both"/>
      </w:pPr>
      <w:r>
        <w:rPr>
          <w:rFonts w:ascii="Arial" w:cs="Arial" w:eastAsia="Arial" w:hAnsi="Arial"/>
          <w:sz w:val="22"/>
          <w:szCs w:val="22"/>
        </w:rPr>
        <w:t xml:space="preserve">Sec 146: questions to test veracity, discover who the witness is, shake credit by injuring character. </w:t>
      </w:r>
      <w:r>
        <w:rPr>
          <w:rFonts w:ascii="Arial" w:cs="Arial" w:eastAsia="Arial" w:hAnsi="Arial"/>
          <w:b/>
          <w:bCs/>
          <w:sz w:val="22"/>
          <w:szCs w:val="22"/>
        </w:rPr>
        <w:t xml:space="preserve">Sec 146 proviso (2013 amendment):</w:t>
      </w:r>
      <w:r>
        <w:rPr>
          <w:rFonts w:ascii="Arial" w:cs="Arial" w:eastAsia="Arial" w:hAnsi="Arial"/>
          <w:sz w:val="22"/>
          <w:szCs w:val="22"/>
        </w:rPr>
        <w:t xml:space="preserve"> in prosecutions for rape/sexual assault, it is not permissible to put questions about the victim's general immoral character or previous sexual experience for consent. Sec 147: the court decides when a witness must answer. Sec 148: the court decides whether a question injuring character is proper — improper if the imputation is remote in time or so trivial it would not affect credit. Sec 149: no such question without reasonable grounds. Sec 150: the court may report an advocate who asks such questions without grounds. Sec 151–152: indecent, scandalous, insulting questions forbidden. Sec 153: answers to questions on credit are final — no contradiction by other evidence, except (1) previous conviction denied, (2) impartiality denied.</w:t>
      </w:r>
    </w:p>
    <w:p>
      <w:pPr>
        <w:spacing w:after="120" w:before="240"/>
      </w:pPr>
      <w:r>
        <w:rPr>
          <w:rFonts w:ascii="Arial" w:cs="Arial" w:eastAsia="Arial" w:hAnsi="Arial"/>
          <w:b/>
          <w:bCs/>
          <w:color w:val="404040"/>
          <w:sz w:val="23"/>
          <w:szCs w:val="23"/>
        </w:rPr>
        <w:t xml:space="preserve">Hostile witness — Sec 154 (BSA 157)</w:t>
      </w:r>
    </w:p>
    <w:p>
      <w:pPr>
        <w:spacing w:after="120" w:line="300"/>
        <w:jc w:val="both"/>
      </w:pPr>
      <w:r>
        <w:rPr>
          <w:rFonts w:ascii="Arial" w:cs="Arial" w:eastAsia="Arial" w:hAnsi="Arial"/>
          <w:sz w:val="22"/>
          <w:szCs w:val="22"/>
        </w:rPr>
        <w:t xml:space="preserve">The court may, in its discretion, permit the party calling a witness to put questions that might be put in cross-examination — i.e., to treat the witness as hostile. The Act does not use the word 'hostile'; it is 'adverse' in practice. Key points: (1) permission is discretionary; (2) the evidence of a hostile witness is </w:t>
      </w:r>
      <w:r>
        <w:rPr>
          <w:rFonts w:ascii="Arial" w:cs="Arial" w:eastAsia="Arial" w:hAnsi="Arial"/>
          <w:b/>
          <w:bCs/>
          <w:sz w:val="22"/>
          <w:szCs w:val="22"/>
        </w:rPr>
        <w:t xml:space="preserve">not wiped out</w:t>
      </w:r>
      <w:r>
        <w:rPr>
          <w:rFonts w:ascii="Arial" w:cs="Arial" w:eastAsia="Arial" w:hAnsi="Arial"/>
          <w:sz w:val="22"/>
          <w:szCs w:val="22"/>
        </w:rPr>
        <w:t xml:space="preserve"> — the court may rely on the parts that inspire confidence (Sat Paul v. Delhi Administration); (3) the previous statement under Sec 161/164 can be used to contradict (Sec 145), but it does not become substantive evidence; (4) BSA 157(2) now expressly says the evidence may be relied upon by either party.</w:t>
      </w:r>
    </w:p>
    <w:p>
      <w:pPr>
        <w:spacing w:after="120" w:before="240"/>
      </w:pPr>
      <w:r>
        <w:rPr>
          <w:rFonts w:ascii="Arial" w:cs="Arial" w:eastAsia="Arial" w:hAnsi="Arial"/>
          <w:b/>
          <w:bCs/>
          <w:color w:val="404040"/>
          <w:sz w:val="23"/>
          <w:szCs w:val="23"/>
        </w:rPr>
        <w:t xml:space="preserve">Impeaching credit — Sec 155 (BSA 158)</w:t>
      </w:r>
    </w:p>
    <w:p>
      <w:pPr>
        <w:spacing w:after="120" w:line="300"/>
        <w:jc w:val="both"/>
      </w:pPr>
      <w:r>
        <w:rPr>
          <w:rFonts w:ascii="Arial" w:cs="Arial" w:eastAsia="Arial" w:hAnsi="Arial"/>
          <w:sz w:val="22"/>
          <w:szCs w:val="22"/>
        </w:rPr>
        <w:t xml:space="preserve">The credit of a witness may be impeached by the adverse party (or, with leave, by the party calling him) by: (1) evidence of persons who testify from their knowledge that the witness is unworthy of credit; (2) proof that the witness has been bribed or has accepted an offer of a bribe; (3) proof of former statements inconsistent with the present evidence (contradiction under Sec 145). Clause (4) — on the victim's immoral character in rape cases — was </w:t>
      </w:r>
      <w:r>
        <w:rPr>
          <w:rFonts w:ascii="Arial" w:cs="Arial" w:eastAsia="Arial" w:hAnsi="Arial"/>
          <w:b/>
          <w:bCs/>
          <w:sz w:val="22"/>
          <w:szCs w:val="22"/>
        </w:rPr>
        <w:t xml:space="preserve">deleted</w:t>
      </w:r>
      <w:r>
        <w:rPr>
          <w:rFonts w:ascii="Arial" w:cs="Arial" w:eastAsia="Arial" w:hAnsi="Arial"/>
          <w:sz w:val="22"/>
          <w:szCs w:val="22"/>
        </w:rPr>
        <w:t xml:space="preserve"> by the 2003 amendment.</w:t>
      </w:r>
    </w:p>
    <w:p>
      <w:pPr>
        <w:spacing w:after="120" w:before="240"/>
      </w:pPr>
      <w:r>
        <w:rPr>
          <w:rFonts w:ascii="Arial" w:cs="Arial" w:eastAsia="Arial" w:hAnsi="Arial"/>
          <w:b/>
          <w:bCs/>
          <w:color w:val="404040"/>
          <w:sz w:val="23"/>
          <w:szCs w:val="23"/>
        </w:rPr>
        <w:t xml:space="preserve">Corroboration and memory — Sec 156–161</w:t>
      </w:r>
    </w:p>
    <w:p>
      <w:pPr>
        <w:spacing w:after="60" w:before="60"/>
        <w:ind w:left="200"/>
      </w:pPr>
      <w:r>
        <w:rPr>
          <w:rFonts w:ascii="Arial" w:cs="Arial" w:eastAsia="Arial" w:hAnsi="Arial"/>
          <w:b/>
          <w:bCs/>
          <w:color w:val="1F4E79"/>
          <w:sz w:val="22"/>
          <w:szCs w:val="22"/>
        </w:rPr>
        <w:t xml:space="preserve">Sec 156: </w:t>
      </w:r>
      <w:r>
        <w:rPr>
          <w:rFonts w:ascii="Arial" w:cs="Arial" w:eastAsia="Arial" w:hAnsi="Arial"/>
          <w:sz w:val="22"/>
          <w:szCs w:val="22"/>
        </w:rPr>
        <w:t xml:space="preserve">Questions tending to corroborate evidence of a relevant fact are admissible.</w:t>
      </w:r>
    </w:p>
    <w:p>
      <w:pPr>
        <w:spacing w:after="60" w:before="60"/>
        <w:ind w:left="200"/>
      </w:pPr>
      <w:r>
        <w:rPr>
          <w:rFonts w:ascii="Arial" w:cs="Arial" w:eastAsia="Arial" w:hAnsi="Arial"/>
          <w:b/>
          <w:bCs/>
          <w:color w:val="1F4E79"/>
          <w:sz w:val="22"/>
          <w:szCs w:val="22"/>
        </w:rPr>
        <w:t xml:space="preserve">Sec 157: </w:t>
      </w:r>
      <w:r>
        <w:rPr>
          <w:rFonts w:ascii="Arial" w:cs="Arial" w:eastAsia="Arial" w:hAnsi="Arial"/>
          <w:sz w:val="22"/>
          <w:szCs w:val="22"/>
        </w:rPr>
        <w:t xml:space="preserve">Former statements of a witness (at or about the time of the fact, or to an authority legally competent to investigate) may be proved to corroborate later testimony.</w:t>
      </w:r>
    </w:p>
    <w:p>
      <w:pPr>
        <w:spacing w:after="60" w:before="60"/>
        <w:ind w:left="200"/>
      </w:pPr>
      <w:r>
        <w:rPr>
          <w:rFonts w:ascii="Arial" w:cs="Arial" w:eastAsia="Arial" w:hAnsi="Arial"/>
          <w:b/>
          <w:bCs/>
          <w:color w:val="1F4E79"/>
          <w:sz w:val="22"/>
          <w:szCs w:val="22"/>
        </w:rPr>
        <w:t xml:space="preserve">Sec 159–161: </w:t>
      </w:r>
      <w:r>
        <w:rPr>
          <w:rFonts w:ascii="Arial" w:cs="Arial" w:eastAsia="Arial" w:hAnsi="Arial"/>
          <w:sz w:val="22"/>
          <w:szCs w:val="22"/>
        </w:rPr>
        <w:t xml:space="preserve">A witness may refresh memory from a writing made at the time or soon after, or a copy of it, or a document he read at the time; an expert may refresh memory from treatises. Sec 160: may testify to facts in the document even without specific recollection if sure the document was correct. Sec 161: the adverse party may see the writing and cross-examine on it.</w:t>
      </w:r>
    </w:p>
    <w:p>
      <w:pPr>
        <w:spacing w:after="60" w:before="60"/>
        <w:ind w:left="200"/>
      </w:pPr>
      <w:r>
        <w:rPr>
          <w:rFonts w:ascii="Arial" w:cs="Arial" w:eastAsia="Arial" w:hAnsi="Arial"/>
          <w:b/>
          <w:bCs/>
          <w:color w:val="1F4E79"/>
          <w:sz w:val="22"/>
          <w:szCs w:val="22"/>
        </w:rPr>
        <w:t xml:space="preserve">Sec 162–166: </w:t>
      </w:r>
      <w:r>
        <w:rPr>
          <w:rFonts w:ascii="Arial" w:cs="Arial" w:eastAsia="Arial" w:hAnsi="Arial"/>
          <w:sz w:val="22"/>
          <w:szCs w:val="22"/>
        </w:rPr>
        <w:t xml:space="preserve">Production of documents; judge's power to put questions (Sec 165 — the judge may ask any question, in any form, at any time, of any witness, about any fact relevant or irrelevant); jury/assessor questions.</w:t>
      </w:r>
    </w:p>
    <w:p>
      <w:pPr>
        <w:pBdr>
          <w:left w:val="single" w:color="CC0000" w:sz="6" w:space="8"/>
        </w:pBdr>
        <w:spacing w:after="80" w:before="80"/>
        <w:ind w:left="300"/>
      </w:pPr>
      <w:r>
        <w:rPr>
          <w:rFonts w:ascii="Arial" w:cs="Arial" w:eastAsia="Arial" w:hAnsi="Arial"/>
          <w:b/>
          <w:bCs/>
          <w:color w:val="CC0000"/>
          <w:sz w:val="21"/>
          <w:szCs w:val="21"/>
        </w:rPr>
        <w:t xml:space="preserve">Zahira Habibullah Sheikh v. State of Gujarat (2004, 2006) — </w:t>
      </w:r>
      <w:r>
        <w:rPr>
          <w:rFonts w:ascii="Arial" w:cs="Arial" w:eastAsia="Arial" w:hAnsi="Arial"/>
          <w:sz w:val="21"/>
          <w:szCs w:val="21"/>
        </w:rPr>
        <w:t xml:space="preserve">Retrial ordered outside the State; witness protection; criminal trial as search for truth; later perjury conviction of the star witness.</w:t>
      </w:r>
    </w:p>
    <w:p>
      <w:pPr>
        <w:pBdr>
          <w:left w:val="single" w:color="CC0000" w:sz="6" w:space="8"/>
        </w:pBdr>
        <w:spacing w:after="80" w:before="80"/>
        <w:ind w:left="300"/>
      </w:pPr>
      <w:r>
        <w:rPr>
          <w:rFonts w:ascii="Arial" w:cs="Arial" w:eastAsia="Arial" w:hAnsi="Arial"/>
          <w:b/>
          <w:bCs/>
          <w:color w:val="CC0000"/>
          <w:sz w:val="21"/>
          <w:szCs w:val="21"/>
        </w:rPr>
        <w:t xml:space="preserve">Sat Paul v. Delhi Administration (1976) — </w:t>
      </w:r>
      <w:r>
        <w:rPr>
          <w:rFonts w:ascii="Arial" w:cs="Arial" w:eastAsia="Arial" w:hAnsi="Arial"/>
          <w:sz w:val="21"/>
          <w:szCs w:val="21"/>
        </w:rPr>
        <w:t xml:space="preserve">Evidence of a hostile witness is not to be rejected in toto; the court may accept the part it finds credible; declaring hostile removes the presumption of truthfulness but not the evidence.</w:t>
      </w:r>
    </w:p>
    <w:p>
      <w:pPr>
        <w:pBdr>
          <w:left w:val="single" w:color="CC0000" w:sz="6" w:space="8"/>
        </w:pBdr>
        <w:spacing w:after="80" w:before="80"/>
        <w:ind w:left="300"/>
      </w:pPr>
      <w:r>
        <w:rPr>
          <w:rFonts w:ascii="Arial" w:cs="Arial" w:eastAsia="Arial" w:hAnsi="Arial"/>
          <w:b/>
          <w:bCs/>
          <w:color w:val="CC0000"/>
          <w:sz w:val="21"/>
          <w:szCs w:val="21"/>
        </w:rPr>
        <w:t xml:space="preserve">Tahsildar Singh v. State of UP (1959) — </w:t>
      </w:r>
      <w:r>
        <w:rPr>
          <w:rFonts w:ascii="Arial" w:cs="Arial" w:eastAsia="Arial" w:hAnsi="Arial"/>
          <w:sz w:val="21"/>
          <w:szCs w:val="21"/>
        </w:rPr>
        <w:t xml:space="preserve">Sec 145 contradiction with a Sec 161 statement: only omissions amounting to contradictions (where the earlier statement necessarily implies the contrary) can be used; minor omissions are not contradictions.</w:t>
      </w:r>
    </w:p>
    <w:p>
      <w:pPr>
        <w:pBdr>
          <w:left w:val="single" w:color="CC0000" w:sz="6" w:space="8"/>
        </w:pBdr>
        <w:spacing w:after="80" w:before="80"/>
        <w:ind w:left="300"/>
      </w:pPr>
      <w:r>
        <w:rPr>
          <w:rFonts w:ascii="Arial" w:cs="Arial" w:eastAsia="Arial" w:hAnsi="Arial"/>
          <w:b/>
          <w:bCs/>
          <w:color w:val="CC0000"/>
          <w:sz w:val="21"/>
          <w:szCs w:val="21"/>
        </w:rPr>
        <w:t xml:space="preserve">State of Maharashtra v. Praful Desai (2003) — </w:t>
      </w:r>
      <w:r>
        <w:rPr>
          <w:rFonts w:ascii="Arial" w:cs="Arial" w:eastAsia="Arial" w:hAnsi="Arial"/>
          <w:sz w:val="21"/>
          <w:szCs w:val="21"/>
        </w:rPr>
        <w:t xml:space="preserve">Video-conference testimony satisfies Sec 273 CrPC; 'presence' need not be physical; cross-examination through video is effective.</w:t>
      </w:r>
    </w:p>
    <w:p>
      <w:pPr>
        <w:pBdr>
          <w:left w:val="single" w:color="CC0000" w:sz="6" w:space="8"/>
        </w:pBdr>
        <w:spacing w:after="80" w:before="80"/>
        <w:ind w:left="300"/>
      </w:pPr>
      <w:r>
        <w:rPr>
          <w:rFonts w:ascii="Arial" w:cs="Arial" w:eastAsia="Arial" w:hAnsi="Arial"/>
          <w:b/>
          <w:bCs/>
          <w:color w:val="CC0000"/>
          <w:sz w:val="21"/>
          <w:szCs w:val="21"/>
        </w:rPr>
        <w:t xml:space="preserve">Sakshi v. Union of India (2004) — </w:t>
      </w:r>
      <w:r>
        <w:rPr>
          <w:rFonts w:ascii="Arial" w:cs="Arial" w:eastAsia="Arial" w:hAnsi="Arial"/>
          <w:sz w:val="21"/>
          <w:szCs w:val="21"/>
        </w:rPr>
        <w:t xml:space="preserve">Directions for examining child victims of sexual offences — screens, written questions through the judge, breaks — protecting the witness while preserving cross-examination.</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Witness examination now routinely uses video-conferencing (Praful Desai; the 2020 e-Courts rules), and BSA/BNSS expressly permit electronic examination. Cross-examining on electronic evidence: confront the witness with metadata, timestamps, and the 65B certificate's contents; a witness who signed a certificate can be cross-examined on whether the device was 'operating properly'. Refreshing memory from a phone note or an email — Sec 159 applies equally to electronic writings.</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'Leading questions', 'Hostile witness', 'Refreshing memory'. Part B: 'Explain examination-in-chief, cross-examination and re-examination' — with Sec 137–143, 146–153. Part C: a prosecution witness resiles from his police statement — Sec 154 + Sat Paul + Sec 145 contradiction; the court can still rely on the credible parts.</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11 — The Golden Thread and the Kitchen Fire: Burden of Proof and Presumptions</w:t>
      </w:r>
    </w:p>
    <w:p>
      <w:pPr>
        <w:pStyle w:val="Heading2"/>
        <w:spacing w:after="160" w:before="360"/>
      </w:pPr>
      <w:r>
        <w:rPr>
          <w:rFonts w:ascii="Arial" w:cs="Arial" w:eastAsia="Arial" w:hAnsi="Arial"/>
          <w:b/>
          <w:bCs/>
          <w:color w:val="2E75B6"/>
          <w:sz w:val="26"/>
          <w:szCs w:val="26"/>
        </w:rPr>
        <w:t xml:space="preserve">Covers: Burden of proof (Sec 101–104) · Sec 105 exceptions · Sec 106 special knowledge · Presumptions of fact (Sec 114) · Dowry death (Sec 113B), abetment of suicide (Sec 113A), rape (Sec 114A) · Judicial notice (Sec 56–58)</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Two households. England, 1935: Reginald Woolmington, a young farmhand, shot his estranged wife; he said the gun went off accidentally while he was threatening suicide. The trial judge told the jury that once the killing was proved, it was for Woolmington to prove accident. The House of Lords quashed the conviction with Viscount Sankey's immortal line: 'Throughout the web of the English criminal law one golden thread is always to be seen — that it is the duty of the prosecution to prove the prisoner's guilt.' India, 2000: Sunita, married seven months, died of burns in her in-laws' kitchen. Her family said dowry harassment; the in-laws said accident. No one outside the house saw anything. Here Indian law reverses the golden thread: Sec 113B says that where a woman dies an unnatural death within seven years of marriage and it is shown that she was subjected to cruelty or harassment for dowry soon before her death, the court **shall presume** the husband or relative caused the dowry death. Kans Raj v. State of Punjab upheld the conviction of the husband on that presumption. The two stories are not in conflict: the presumption is triggered only after the prosecution proves the foundational facts — unnatural death, seven years, cruelty soon before. The golden thread still runs; the legislature has simply decided that in the closed kitchen, the burden of explanation shifts to those who were inside.</w:t>
      </w:r>
    </w:p>
    <w:p>
      <w:pPr>
        <w:spacing w:after="120" w:before="240"/>
      </w:pPr>
      <w:r>
        <w:rPr>
          <w:rFonts w:ascii="Arial" w:cs="Arial" w:eastAsia="Arial" w:hAnsi="Arial"/>
          <w:b/>
          <w:bCs/>
          <w:color w:val="404040"/>
          <w:sz w:val="23"/>
          <w:szCs w:val="23"/>
        </w:rPr>
        <w:t xml:space="preserve">Burden of proof — Sec 101–104 (BSA 104–107)</w:t>
      </w:r>
    </w:p>
    <w:p>
      <w:pPr>
        <w:spacing w:after="60" w:before="60"/>
        <w:ind w:left="200"/>
      </w:pPr>
      <w:r>
        <w:rPr>
          <w:rFonts w:ascii="Arial" w:cs="Arial" w:eastAsia="Arial" w:hAnsi="Arial"/>
          <w:b/>
          <w:bCs/>
          <w:color w:val="1F4E79"/>
          <w:sz w:val="22"/>
          <w:szCs w:val="22"/>
        </w:rPr>
        <w:t xml:space="preserve">Sec 101: </w:t>
      </w:r>
      <w:r>
        <w:rPr>
          <w:rFonts w:ascii="Arial" w:cs="Arial" w:eastAsia="Arial" w:hAnsi="Arial"/>
          <w:sz w:val="22"/>
          <w:szCs w:val="22"/>
        </w:rPr>
        <w:t xml:space="preserve">Whoever desires the court to give judgment on a right or liability dependent on facts he asserts must prove those facts. 'He who asserts must prove.' This is the **legal burden** — it never shifts.</w:t>
      </w:r>
    </w:p>
    <w:p>
      <w:pPr>
        <w:spacing w:after="60" w:before="60"/>
        <w:ind w:left="200"/>
      </w:pPr>
      <w:r>
        <w:rPr>
          <w:rFonts w:ascii="Arial" w:cs="Arial" w:eastAsia="Arial" w:hAnsi="Arial"/>
          <w:b/>
          <w:bCs/>
          <w:color w:val="1F4E79"/>
          <w:sz w:val="22"/>
          <w:szCs w:val="22"/>
        </w:rPr>
        <w:t xml:space="preserve">Sec 102: </w:t>
      </w:r>
      <w:r>
        <w:rPr>
          <w:rFonts w:ascii="Arial" w:cs="Arial" w:eastAsia="Arial" w:hAnsi="Arial"/>
          <w:sz w:val="22"/>
          <w:szCs w:val="22"/>
        </w:rPr>
        <w:t xml:space="preserve">The burden lies on the person who would fail if no evidence at all were given on either side. This identifies the party with the legal burden.</w:t>
      </w:r>
    </w:p>
    <w:p>
      <w:pPr>
        <w:spacing w:after="60" w:before="60"/>
        <w:ind w:left="200"/>
      </w:pPr>
      <w:r>
        <w:rPr>
          <w:rFonts w:ascii="Arial" w:cs="Arial" w:eastAsia="Arial" w:hAnsi="Arial"/>
          <w:b/>
          <w:bCs/>
          <w:color w:val="1F4E79"/>
          <w:sz w:val="22"/>
          <w:szCs w:val="22"/>
        </w:rPr>
        <w:t xml:space="preserve">Sec 103: </w:t>
      </w:r>
      <w:r>
        <w:rPr>
          <w:rFonts w:ascii="Arial" w:cs="Arial" w:eastAsia="Arial" w:hAnsi="Arial"/>
          <w:sz w:val="22"/>
          <w:szCs w:val="22"/>
        </w:rPr>
        <w:t xml:space="preserve">The burden as to any particular fact lies on the person who wishes the court to believe in its existence — e.g., alibi: the accused who pleads it must prove it (though the standard is preponderance, and failure of alibi does not itself prove guilt).</w:t>
      </w:r>
    </w:p>
    <w:p>
      <w:pPr>
        <w:spacing w:after="60" w:before="60"/>
        <w:ind w:left="200"/>
      </w:pPr>
      <w:r>
        <w:rPr>
          <w:rFonts w:ascii="Arial" w:cs="Arial" w:eastAsia="Arial" w:hAnsi="Arial"/>
          <w:b/>
          <w:bCs/>
          <w:color w:val="1F4E79"/>
          <w:sz w:val="22"/>
          <w:szCs w:val="22"/>
        </w:rPr>
        <w:t xml:space="preserve">Sec 104: </w:t>
      </w:r>
      <w:r>
        <w:rPr>
          <w:rFonts w:ascii="Arial" w:cs="Arial" w:eastAsia="Arial" w:hAnsi="Arial"/>
          <w:sz w:val="22"/>
          <w:szCs w:val="22"/>
        </w:rPr>
        <w:t xml:space="preserve">The burden of proving a fact necessary to make other evidence admissible lies on the person who wishes to give that evidence — e.g., the death of the declarant before a dying declaration is admitted.</w:t>
      </w:r>
    </w:p>
    <w:p>
      <w:pPr>
        <w:spacing w:after="60" w:before="60"/>
        <w:ind w:left="200"/>
      </w:pPr>
      <w:r>
        <w:rPr>
          <w:rFonts w:ascii="Arial" w:cs="Arial" w:eastAsia="Arial" w:hAnsi="Arial"/>
          <w:b/>
          <w:bCs/>
          <w:color w:val="1F4E79"/>
          <w:sz w:val="22"/>
          <w:szCs w:val="22"/>
        </w:rPr>
        <w:t xml:space="preserve">Sec 105: </w:t>
      </w:r>
      <w:r>
        <w:rPr>
          <w:rFonts w:ascii="Arial" w:cs="Arial" w:eastAsia="Arial" w:hAnsi="Arial"/>
          <w:sz w:val="22"/>
          <w:szCs w:val="22"/>
        </w:rPr>
        <w:t xml:space="preserve">In criminal cases, the burden of proving that the case falls within any general or special exception (IPC/BNS) is on the accused, and the court presumes the absence of such circumstances. The accused need only establish the exception on preponderance of probability, or raise a reasonable doubt (K.M. Nanavati; Rishi Kesh Singh).</w:t>
      </w:r>
    </w:p>
    <w:p>
      <w:pPr>
        <w:spacing w:after="60" w:before="60"/>
        <w:ind w:left="200"/>
      </w:pPr>
      <w:r>
        <w:rPr>
          <w:rFonts w:ascii="Arial" w:cs="Arial" w:eastAsia="Arial" w:hAnsi="Arial"/>
          <w:b/>
          <w:bCs/>
          <w:color w:val="1F4E79"/>
          <w:sz w:val="22"/>
          <w:szCs w:val="22"/>
        </w:rPr>
        <w:t xml:space="preserve">Sec 106: </w:t>
      </w:r>
      <w:r>
        <w:rPr>
          <w:rFonts w:ascii="Arial" w:cs="Arial" w:eastAsia="Arial" w:hAnsi="Arial"/>
          <w:sz w:val="22"/>
          <w:szCs w:val="22"/>
        </w:rPr>
        <w:t xml:space="preserve">When any fact is especially within the knowledge of any person, the burden of proving it is on him. This does not relieve the prosecution of its primary burden; it operates once the prosecution has proved facts from which an inference arises and the accused alone can explain (Shambhu Nath Mehra: the section is designed to meet cases where it would be impossible for the prosecution to prove facts within the accused's special knowledge; it does not shift the burden of proving guilt). Classic use: the wife dies inside the house at night; the husband, present, offers no explanation.</w:t>
      </w:r>
    </w:p>
    <w:p>
      <w:pPr>
        <w:spacing w:after="120" w:before="240"/>
      </w:pPr>
      <w:r>
        <w:rPr>
          <w:rFonts w:ascii="Arial" w:cs="Arial" w:eastAsia="Arial" w:hAnsi="Arial"/>
          <w:b/>
          <w:bCs/>
          <w:color w:val="404040"/>
          <w:sz w:val="23"/>
          <w:szCs w:val="23"/>
        </w:rPr>
        <w:t xml:space="preserve">Presumptions of fact — Sec 114 (BSA 119)</w:t>
      </w:r>
    </w:p>
    <w:p>
      <w:pPr>
        <w:spacing w:after="120" w:line="300"/>
        <w:jc w:val="both"/>
      </w:pPr>
      <w:r>
        <w:rPr>
          <w:rFonts w:ascii="Arial" w:cs="Arial" w:eastAsia="Arial" w:hAnsi="Arial"/>
          <w:sz w:val="22"/>
          <w:szCs w:val="22"/>
        </w:rPr>
        <w:t xml:space="preserve">The court may presume the existence of any fact it thinks likely to have happened, regard being had to the common course of natural events, human conduct, and public and private business. The nine illustrations include: (a) possession of stolen goods soon after theft → thief or receiver; (b) accomplice unworthy of credit unless corroborated; (e) judicial and official acts regularly performed; (g) evidence which could be and is not produced would, if produced, be unfavourable to the person withholding it (the adverse inference — Tomaso Bruno used this for CCTV).</w:t>
      </w:r>
    </w:p>
    <w:p>
      <w:pPr>
        <w:spacing w:after="120" w:before="240"/>
      </w:pPr>
      <w:r>
        <w:rPr>
          <w:rFonts w:ascii="Arial" w:cs="Arial" w:eastAsia="Arial" w:hAnsi="Arial"/>
          <w:b/>
          <w:bCs/>
          <w:color w:val="404040"/>
          <w:sz w:val="23"/>
          <w:szCs w:val="23"/>
        </w:rPr>
        <w:t xml:space="preserve">Statutory 'shall presume' provisions</w:t>
      </w:r>
    </w:p>
    <w:p>
      <w:pPr>
        <w:spacing w:after="60" w:before="60"/>
        <w:ind w:left="200"/>
      </w:pPr>
      <w:r>
        <w:rPr>
          <w:rFonts w:ascii="Arial" w:cs="Arial" w:eastAsia="Arial" w:hAnsi="Arial"/>
          <w:b/>
          <w:bCs/>
          <w:color w:val="1F4E79"/>
          <w:sz w:val="22"/>
          <w:szCs w:val="22"/>
        </w:rPr>
        <w:t xml:space="preserve">Sec 113A (BSA 117): </w:t>
      </w:r>
      <w:r>
        <w:rPr>
          <w:rFonts w:ascii="Arial" w:cs="Arial" w:eastAsia="Arial" w:hAnsi="Arial"/>
          <w:sz w:val="22"/>
          <w:szCs w:val="22"/>
        </w:rPr>
        <w:t xml:space="preserve">Abetment of suicide by a married woman within seven years of marriage, where the husband/relatives subjected her to cruelty — the court **may** presume abetment. Note: 'may', not 'shall'.</w:t>
      </w:r>
    </w:p>
    <w:p>
      <w:pPr>
        <w:spacing w:after="60" w:before="60"/>
        <w:ind w:left="200"/>
      </w:pPr>
      <w:r>
        <w:rPr>
          <w:rFonts w:ascii="Arial" w:cs="Arial" w:eastAsia="Arial" w:hAnsi="Arial"/>
          <w:b/>
          <w:bCs/>
          <w:color w:val="1F4E79"/>
          <w:sz w:val="22"/>
          <w:szCs w:val="22"/>
        </w:rPr>
        <w:t xml:space="preserve">Sec 113B (BSA 118): </w:t>
      </w:r>
      <w:r>
        <w:rPr>
          <w:rFonts w:ascii="Arial" w:cs="Arial" w:eastAsia="Arial" w:hAnsi="Arial"/>
          <w:sz w:val="22"/>
          <w:szCs w:val="22"/>
        </w:rPr>
        <w:t xml:space="preserve">Dowry death (Sec 304B IPC / BNS 80): unnatural death within seven years + cruelty/harassment for dowry **soon before** death → court **shall** presume the husband/relative caused the dowry death. 'Soon before' is a relative term — proximate and live link (Kans Raj; Sher Singh v. Haryana: the accused must then prove innocence on preponderance, not merely raise doubt).</w:t>
      </w:r>
    </w:p>
    <w:p>
      <w:pPr>
        <w:spacing w:after="60" w:before="60"/>
        <w:ind w:left="200"/>
      </w:pPr>
      <w:r>
        <w:rPr>
          <w:rFonts w:ascii="Arial" w:cs="Arial" w:eastAsia="Arial" w:hAnsi="Arial"/>
          <w:b/>
          <w:bCs/>
          <w:color w:val="1F4E79"/>
          <w:sz w:val="22"/>
          <w:szCs w:val="22"/>
        </w:rPr>
        <w:t xml:space="preserve">Sec 114A (BSA 120): </w:t>
      </w:r>
      <w:r>
        <w:rPr>
          <w:rFonts w:ascii="Arial" w:cs="Arial" w:eastAsia="Arial" w:hAnsi="Arial"/>
          <w:sz w:val="22"/>
          <w:szCs w:val="22"/>
        </w:rPr>
        <w:t xml:space="preserve">In rape prosecutions under specified aggravated categories, where sexual intercourse is proved and the woman states she did not consent, the court **shall presume** absence of consent.</w:t>
      </w:r>
    </w:p>
    <w:p>
      <w:pPr>
        <w:spacing w:after="60" w:before="60"/>
        <w:ind w:left="200"/>
      </w:pPr>
      <w:r>
        <w:rPr>
          <w:rFonts w:ascii="Arial" w:cs="Arial" w:eastAsia="Arial" w:hAnsi="Arial"/>
          <w:b/>
          <w:bCs/>
          <w:color w:val="1F4E79"/>
          <w:sz w:val="22"/>
          <w:szCs w:val="22"/>
        </w:rPr>
        <w:t xml:space="preserve">Sec 111A / 112: </w:t>
      </w:r>
      <w:r>
        <w:rPr>
          <w:rFonts w:ascii="Arial" w:cs="Arial" w:eastAsia="Arial" w:hAnsi="Arial"/>
          <w:sz w:val="22"/>
          <w:szCs w:val="22"/>
        </w:rPr>
        <w:t xml:space="preserve">111A: presumption as to certain offences in disturbed areas. 112: birth during marriage is conclusive proof of legitimacy unless non-access is shown — the classic conclusive presumption (Goutam Kundu on DNA: courts cannot order blood tests as a matter of course to dislodge Sec 112).</w:t>
      </w:r>
    </w:p>
    <w:p>
      <w:pPr>
        <w:spacing w:after="120" w:before="240"/>
      </w:pPr>
      <w:r>
        <w:rPr>
          <w:rFonts w:ascii="Arial" w:cs="Arial" w:eastAsia="Arial" w:hAnsi="Arial"/>
          <w:b/>
          <w:bCs/>
          <w:color w:val="404040"/>
          <w:sz w:val="23"/>
          <w:szCs w:val="23"/>
        </w:rPr>
        <w:t xml:space="preserve">Judicial notice — Sec 56–58 (BSA 51–53)</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Sec 56:</w:t>
      </w:r>
      <w:r>
        <w:rPr>
          <w:rFonts w:ascii="Arial" w:cs="Arial" w:eastAsia="Arial" w:hAnsi="Arial"/>
          <w:sz w:val="22"/>
          <w:szCs w:val="22"/>
        </w:rPr>
        <w:t xml:space="preserve"> no fact of which the court will take judicial notice need be proved. </w:t>
      </w:r>
      <w:r>
        <w:rPr>
          <w:rFonts w:ascii="Arial" w:cs="Arial" w:eastAsia="Arial" w:hAnsi="Arial"/>
          <w:b/>
          <w:bCs/>
          <w:sz w:val="22"/>
          <w:szCs w:val="22"/>
        </w:rPr>
        <w:t xml:space="preserve">Sec 57:</w:t>
      </w:r>
      <w:r>
        <w:rPr>
          <w:rFonts w:ascii="Arial" w:cs="Arial" w:eastAsia="Arial" w:hAnsi="Arial"/>
          <w:sz w:val="22"/>
          <w:szCs w:val="22"/>
        </w:rPr>
        <w:t xml:space="preserve"> the list — laws in force, Acts of Parliament, the course of proceedings of Parliament, seals of courts, accession and sign manual of the sovereign, existence and titles of recognised states, divisions of time, geographical divisions, public festivals, the rule of the road, and so on; the court may refer to appropriate books for assistance. </w:t>
      </w:r>
      <w:r>
        <w:rPr>
          <w:rFonts w:ascii="Arial" w:cs="Arial" w:eastAsia="Arial" w:hAnsi="Arial"/>
          <w:b/>
          <w:bCs/>
          <w:sz w:val="22"/>
          <w:szCs w:val="22"/>
        </w:rPr>
        <w:t xml:space="preserve">Sec 58:</w:t>
      </w:r>
      <w:r>
        <w:rPr>
          <w:rFonts w:ascii="Arial" w:cs="Arial" w:eastAsia="Arial" w:hAnsi="Arial"/>
          <w:sz w:val="22"/>
          <w:szCs w:val="22"/>
        </w:rPr>
        <w:t xml:space="preserve"> facts admitted by the parties in pleadings or at the hearing need not be proved (the court may still require proof).</w:t>
      </w:r>
    </w:p>
    <w:p>
      <w:pPr>
        <w:pBdr>
          <w:left w:val="single" w:color="CC0000" w:sz="6" w:space="8"/>
        </w:pBdr>
        <w:spacing w:after="80" w:before="80"/>
        <w:ind w:left="300"/>
      </w:pPr>
      <w:r>
        <w:rPr>
          <w:rFonts w:ascii="Arial" w:cs="Arial" w:eastAsia="Arial" w:hAnsi="Arial"/>
          <w:b/>
          <w:bCs/>
          <w:color w:val="CC0000"/>
          <w:sz w:val="21"/>
          <w:szCs w:val="21"/>
        </w:rPr>
        <w:t xml:space="preserve">Woolmington v. DPP (1935, HL) — </w:t>
      </w:r>
      <w:r>
        <w:rPr>
          <w:rFonts w:ascii="Arial" w:cs="Arial" w:eastAsia="Arial" w:hAnsi="Arial"/>
          <w:sz w:val="21"/>
          <w:szCs w:val="21"/>
        </w:rPr>
        <w:t xml:space="preserve">The golden thread — prosecution must prove guilt beyond reasonable doubt; no burden on the accused to prove innocence, subject to insanity and statutory exceptions.</w:t>
      </w:r>
    </w:p>
    <w:p>
      <w:pPr>
        <w:pBdr>
          <w:left w:val="single" w:color="CC0000" w:sz="6" w:space="8"/>
        </w:pBdr>
        <w:spacing w:after="80" w:before="80"/>
        <w:ind w:left="300"/>
      </w:pPr>
      <w:r>
        <w:rPr>
          <w:rFonts w:ascii="Arial" w:cs="Arial" w:eastAsia="Arial" w:hAnsi="Arial"/>
          <w:b/>
          <w:bCs/>
          <w:color w:val="CC0000"/>
          <w:sz w:val="21"/>
          <w:szCs w:val="21"/>
        </w:rPr>
        <w:t xml:space="preserve">K.M. Nanavati v. State of Maharashtra (1962) — </w:t>
      </w:r>
      <w:r>
        <w:rPr>
          <w:rFonts w:ascii="Arial" w:cs="Arial" w:eastAsia="Arial" w:hAnsi="Arial"/>
          <w:sz w:val="21"/>
          <w:szCs w:val="21"/>
        </w:rPr>
        <w:t xml:space="preserve">Sec 105: the accused pleading an exception (grave and sudden provocation) bears the burden, but on preponderance; if the evidence creates a reasonable doubt about the prosecution case, the benefit goes to the accused.</w:t>
      </w:r>
    </w:p>
    <w:p>
      <w:pPr>
        <w:pBdr>
          <w:left w:val="single" w:color="CC0000" w:sz="6" w:space="8"/>
        </w:pBdr>
        <w:spacing w:after="80" w:before="80"/>
        <w:ind w:left="300"/>
      </w:pPr>
      <w:r>
        <w:rPr>
          <w:rFonts w:ascii="Arial" w:cs="Arial" w:eastAsia="Arial" w:hAnsi="Arial"/>
          <w:b/>
          <w:bCs/>
          <w:color w:val="CC0000"/>
          <w:sz w:val="21"/>
          <w:szCs w:val="21"/>
        </w:rPr>
        <w:t xml:space="preserve">Shambhu Nath Mehra v. State of Ajmer (1956) — </w:t>
      </w:r>
      <w:r>
        <w:rPr>
          <w:rFonts w:ascii="Arial" w:cs="Arial" w:eastAsia="Arial" w:hAnsi="Arial"/>
          <w:sz w:val="21"/>
          <w:szCs w:val="21"/>
        </w:rPr>
        <w:t xml:space="preserve">Sec 106 does not shift the primary burden; it applies only to facts especially within the knowledge of the accused and cannot be used to fill prosecution gaps.</w:t>
      </w:r>
    </w:p>
    <w:p>
      <w:pPr>
        <w:pBdr>
          <w:left w:val="single" w:color="CC0000" w:sz="6" w:space="8"/>
        </w:pBdr>
        <w:spacing w:after="80" w:before="80"/>
        <w:ind w:left="300"/>
      </w:pPr>
      <w:r>
        <w:rPr>
          <w:rFonts w:ascii="Arial" w:cs="Arial" w:eastAsia="Arial" w:hAnsi="Arial"/>
          <w:b/>
          <w:bCs/>
          <w:color w:val="CC0000"/>
          <w:sz w:val="21"/>
          <w:szCs w:val="21"/>
        </w:rPr>
        <w:t xml:space="preserve">Kans Raj v. State of Punjab (2000) — </w:t>
      </w:r>
      <w:r>
        <w:rPr>
          <w:rFonts w:ascii="Arial" w:cs="Arial" w:eastAsia="Arial" w:hAnsi="Arial"/>
          <w:sz w:val="21"/>
          <w:szCs w:val="21"/>
        </w:rPr>
        <w:t xml:space="preserve">Sec 113B — 'soon before' requires a proximate and live link between cruelty and death; presumption applied; relatives acquitted for want of specific evidence.</w:t>
      </w:r>
    </w:p>
    <w:p>
      <w:pPr>
        <w:pBdr>
          <w:left w:val="single" w:color="CC0000" w:sz="6" w:space="8"/>
        </w:pBdr>
        <w:spacing w:after="80" w:before="80"/>
        <w:ind w:left="300"/>
      </w:pPr>
      <w:r>
        <w:rPr>
          <w:rFonts w:ascii="Arial" w:cs="Arial" w:eastAsia="Arial" w:hAnsi="Arial"/>
          <w:b/>
          <w:bCs/>
          <w:color w:val="CC0000"/>
          <w:sz w:val="21"/>
          <w:szCs w:val="21"/>
        </w:rPr>
        <w:t xml:space="preserve">Sher Singh v. State of Haryana (2015) — </w:t>
      </w:r>
      <w:r>
        <w:rPr>
          <w:rFonts w:ascii="Arial" w:cs="Arial" w:eastAsia="Arial" w:hAnsi="Arial"/>
          <w:sz w:val="21"/>
          <w:szCs w:val="21"/>
        </w:rPr>
        <w:t xml:space="preserve">Under 304B/113B the prosecution proves foundational facts on preponderance; the presumption then requires the accused to prove innocence (not merely raise doubt).</w:t>
      </w:r>
    </w:p>
    <w:p>
      <w:pPr>
        <w:pBdr>
          <w:left w:val="single" w:color="CC0000" w:sz="6" w:space="8"/>
        </w:pBdr>
        <w:spacing w:after="80" w:before="80"/>
        <w:ind w:left="300"/>
      </w:pPr>
      <w:r>
        <w:rPr>
          <w:rFonts w:ascii="Arial" w:cs="Arial" w:eastAsia="Arial" w:hAnsi="Arial"/>
          <w:b/>
          <w:bCs/>
          <w:color w:val="CC0000"/>
          <w:sz w:val="21"/>
          <w:szCs w:val="21"/>
        </w:rPr>
        <w:t xml:space="preserve">Onkar Nath v. Delhi Administration (1977) — </w:t>
      </w:r>
      <w:r>
        <w:rPr>
          <w:rFonts w:ascii="Arial" w:cs="Arial" w:eastAsia="Arial" w:hAnsi="Arial"/>
          <w:sz w:val="21"/>
          <w:szCs w:val="21"/>
        </w:rPr>
        <w:t xml:space="preserve">Judicial notice of a railway strike; Sec 57 list is not exhaustive; courts take notice of notorious facts.</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Sec 106 is regularly applied to devices: if a phone was in the accused's exclusive possession and control, the burden of explaining incriminating data on it lies on him once the prosecution proves possession and content (via 65B). Judicial notice of Google Maps distances / Wikipedia: courts have used Google Maps for distances (some HC decisions) but remain cautious — treat as 'the court may refer to appropriate sources' under Sec 57, and prove contested facts properly.</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'Burden of proof and onus of proof', 'Sec 106', 'Presumption under 113B'. Part B: 'Explain the general rules of burden of proof with reference to Sec 101–106' — Woolmington, Nanavati, Shambhu Nath. Part C: dowry-death facts within seven years — walk through the foundational facts, then the presumption, then what the accused must show (Sher Singh).</w:t>
      </w:r>
    </w:p>
    <w:p>
      <w:pPr>
        <w:pBdr>
          <w:bottom w:val="single" w:color="CCCCCC" w:sz="1" w:space="4"/>
        </w:pBdr>
        <w:spacing w:after="160" w:before="160"/>
      </w:pPr>
      <w:r>
        <w:rPr>
          <w:sz w:val="4"/>
          <w:szCs w:val="4"/>
        </w:rPr>
        <w:t xml:space="preserve"> </w:t>
      </w:r>
    </w:p>
    <w:p>
      <w:pPr>
        <w:pStyle w:val="Heading1"/>
        <w:spacing w:after="200" w:before="480"/>
      </w:pPr>
      <w:r>
        <w:rPr>
          <w:rFonts w:ascii="Arial" w:cs="Arial" w:eastAsia="Arial" w:hAnsi="Arial"/>
          <w:b/>
          <w:bCs/>
          <w:color w:val="1F4E79"/>
          <w:sz w:val="32"/>
          <w:szCs w:val="32"/>
        </w:rPr>
        <w:t xml:space="preserve">Episode 12 — The Sugar Mill's Promise: Estoppel, Reform, and the New Sakshya Adhiniyam</w:t>
      </w:r>
    </w:p>
    <w:p>
      <w:pPr>
        <w:pStyle w:val="Heading2"/>
        <w:spacing w:after="160" w:before="360"/>
      </w:pPr>
      <w:r>
        <w:rPr>
          <w:rFonts w:ascii="Arial" w:cs="Arial" w:eastAsia="Arial" w:hAnsi="Arial"/>
          <w:b/>
          <w:bCs/>
          <w:color w:val="2E75B6"/>
          <w:sz w:val="26"/>
          <w:szCs w:val="26"/>
        </w:rPr>
        <w:t xml:space="preserve">Covers: Estoppel (Sec 115–117) · Promissory estoppel · Estoppel vs res judicata vs waiver · Improper admission/rejection (Sec 167) · IT Act 2000 amendments · BSA 2023 overview</w:t>
      </w:r>
    </w:p>
    <w:p>
      <w:pPr>
        <w:pBdr>
          <w:left w:val="single" w:color="8E44AD" w:sz="8" w:space="10"/>
        </w:pBdr>
        <w:spacing w:after="120" w:line="300"/>
        <w:ind w:left="240" w:right="240"/>
        <w:jc w:val="both"/>
      </w:pPr>
      <w:r>
        <w:rPr>
          <w:rFonts w:ascii="Arial" w:cs="Arial" w:eastAsia="Arial" w:hAnsi="Arial"/>
          <w:i/>
          <w:iCs/>
          <w:color w:val="2C2C2C"/>
          <w:sz w:val="22"/>
          <w:szCs w:val="22"/>
        </w:rPr>
        <w:t xml:space="preserve">Uttar Pradesh, 1968. The State government announced that new industrial units would be exempt from sales tax for three years. Motilal Padampat Sugar Mills, relying on that, borrowed heavily and set up a vanaspati factory. Then the government changed its mind — first offering a partial concession, then withdrawing even that. The mill sued. The State said: there was no contract, no consideration, and the government cannot be bound by a policy statement. Justice Bhagwati in Motilal Padampat Sugar Mills v. State of UP (1979) said the doctrine of promissory estoppel binds the government too: where one party by words or conduct makes a clear promise intending it to be acted upon, and the other party acts on it and alters its position, the promisor is bound — even without consideration, even if the promisor is the State — unless overriding public interest requires otherwise. The mill got its exemption. Estoppel is not a cause of action, the textbooks say; it is a shield. Motilal made it a very large shield.</w:t>
      </w:r>
    </w:p>
    <w:p>
      <w:pPr>
        <w:spacing w:after="120" w:before="240"/>
      </w:pPr>
      <w:r>
        <w:rPr>
          <w:rFonts w:ascii="Arial" w:cs="Arial" w:eastAsia="Arial" w:hAnsi="Arial"/>
          <w:b/>
          <w:bCs/>
          <w:color w:val="404040"/>
          <w:sz w:val="23"/>
          <w:szCs w:val="23"/>
        </w:rPr>
        <w:t xml:space="preserve">Estoppel — Sec 115 (BSA 121)</w:t>
      </w:r>
    </w:p>
    <w:p>
      <w:pPr>
        <w:spacing w:after="120" w:line="300"/>
        <w:jc w:val="both"/>
      </w:pPr>
      <w:r>
        <w:rPr>
          <w:rFonts w:ascii="Arial" w:cs="Arial" w:eastAsia="Arial" w:hAnsi="Arial"/>
          <w:sz w:val="22"/>
          <w:szCs w:val="22"/>
        </w:rPr>
        <w:t xml:space="preserve">When one person has, by his declaration, act, or omission, intentionally caused or permitted another person to believe a thing to be true and to act upon such belief, neither he nor his representative shall be allowed, in any suit or proceeding between them, to deny the truth of that thing. </w:t>
      </w:r>
      <w:r>
        <w:rPr>
          <w:rFonts w:ascii="Arial" w:cs="Arial" w:eastAsia="Arial" w:hAnsi="Arial"/>
          <w:b/>
          <w:bCs/>
          <w:sz w:val="22"/>
          <w:szCs w:val="22"/>
        </w:rPr>
        <w:t xml:space="preserve">Essentials:</w:t>
      </w:r>
      <w:r>
        <w:rPr>
          <w:rFonts w:ascii="Arial" w:cs="Arial" w:eastAsia="Arial" w:hAnsi="Arial"/>
          <w:sz w:val="22"/>
          <w:szCs w:val="22"/>
        </w:rPr>
        <w:t xml:space="preserve"> (1) a representation by words or conduct; (2) intended to be acted upon (or so acted upon reasonably); (3) actually acted upon by the other party; (4) to the other party's detriment. </w:t>
      </w:r>
      <w:r>
        <w:rPr>
          <w:rFonts w:ascii="Arial" w:cs="Arial" w:eastAsia="Arial" w:hAnsi="Arial"/>
          <w:b/>
          <w:bCs/>
          <w:sz w:val="22"/>
          <w:szCs w:val="22"/>
        </w:rPr>
        <w:t xml:space="preserve">Kinds:</w:t>
      </w:r>
      <w:r>
        <w:rPr>
          <w:rFonts w:ascii="Arial" w:cs="Arial" w:eastAsia="Arial" w:hAnsi="Arial"/>
          <w:sz w:val="22"/>
          <w:szCs w:val="22"/>
        </w:rPr>
        <w:t xml:space="preserve"> estoppel by record (judgments), by deed, by conduct (in pais). Estoppel is a </w:t>
      </w:r>
      <w:r>
        <w:rPr>
          <w:rFonts w:ascii="Arial" w:cs="Arial" w:eastAsia="Arial" w:hAnsi="Arial"/>
          <w:b/>
          <w:bCs/>
          <w:sz w:val="22"/>
          <w:szCs w:val="22"/>
        </w:rPr>
        <w:t xml:space="preserve">rule of evidence</w:t>
      </w:r>
      <w:r>
        <w:rPr>
          <w:rFonts w:ascii="Arial" w:cs="Arial" w:eastAsia="Arial" w:hAnsi="Arial"/>
          <w:sz w:val="22"/>
          <w:szCs w:val="22"/>
        </w:rPr>
        <w:t xml:space="preserve">, not of substantive law; it cannot override a statute (no estoppel against a statute — e.g., a minor cannot be estopped from pleading minority even if he misrepresented his age: Mohori Bibee).</w:t>
      </w:r>
    </w:p>
    <w:p>
      <w:pPr>
        <w:spacing w:after="60" w:before="60"/>
        <w:ind w:left="200"/>
      </w:pPr>
      <w:r>
        <w:rPr>
          <w:rFonts w:ascii="Arial" w:cs="Arial" w:eastAsia="Arial" w:hAnsi="Arial"/>
          <w:b/>
          <w:bCs/>
          <w:color w:val="1F4E79"/>
          <w:sz w:val="22"/>
          <w:szCs w:val="22"/>
        </w:rPr>
        <w:t xml:space="preserve">Sec 116: </w:t>
      </w:r>
      <w:r>
        <w:rPr>
          <w:rFonts w:ascii="Arial" w:cs="Arial" w:eastAsia="Arial" w:hAnsi="Arial"/>
          <w:sz w:val="22"/>
          <w:szCs w:val="22"/>
        </w:rPr>
        <w:t xml:space="preserve">Tenant estopped from denying the landlord's title at the beginning of the tenancy; licensee likewise as to the licensor's possession.</w:t>
      </w:r>
    </w:p>
    <w:p>
      <w:pPr>
        <w:spacing w:after="60" w:before="60"/>
        <w:ind w:left="200"/>
      </w:pPr>
      <w:r>
        <w:rPr>
          <w:rFonts w:ascii="Arial" w:cs="Arial" w:eastAsia="Arial" w:hAnsi="Arial"/>
          <w:b/>
          <w:bCs/>
          <w:color w:val="1F4E79"/>
          <w:sz w:val="22"/>
          <w:szCs w:val="22"/>
        </w:rPr>
        <w:t xml:space="preserve">Sec 117: </w:t>
      </w:r>
      <w:r>
        <w:rPr>
          <w:rFonts w:ascii="Arial" w:cs="Arial" w:eastAsia="Arial" w:hAnsi="Arial"/>
          <w:sz w:val="22"/>
          <w:szCs w:val="22"/>
        </w:rPr>
        <w:t xml:space="preserve">Acceptor of a bill of exchange cannot deny the drawer's authority to draw or endorse; bailee/licensee cannot deny the bailor's/licensor's authority at the time of bailment/licence.</w:t>
      </w:r>
    </w:p>
    <w:p>
      <w:pPr>
        <w:spacing w:after="120" w:before="240"/>
      </w:pPr>
      <w:r>
        <w:rPr>
          <w:rFonts w:ascii="Arial" w:cs="Arial" w:eastAsia="Arial" w:hAnsi="Arial"/>
          <w:b/>
          <w:bCs/>
          <w:color w:val="404040"/>
          <w:sz w:val="23"/>
          <w:szCs w:val="23"/>
        </w:rPr>
        <w:t xml:space="preserve">Estoppel vs res judicata vs waiver</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Res judicata</w:t>
      </w:r>
      <w:r>
        <w:rPr>
          <w:rFonts w:ascii="Arial" w:cs="Arial" w:eastAsia="Arial" w:hAnsi="Arial"/>
          <w:sz w:val="22"/>
          <w:szCs w:val="22"/>
        </w:rPr>
        <w:t xml:space="preserve"> (Sec 11 CPC) is a rule of procedure barring a second suit on a matter already decided — it is estoppel by record, based on public policy of finality; it ousts jurisdiction. </w:t>
      </w:r>
      <w:r>
        <w:rPr>
          <w:rFonts w:ascii="Arial" w:cs="Arial" w:eastAsia="Arial" w:hAnsi="Arial"/>
          <w:b/>
          <w:bCs/>
          <w:sz w:val="22"/>
          <w:szCs w:val="22"/>
        </w:rPr>
        <w:t xml:space="preserve">Estoppel</w:t>
      </w:r>
      <w:r>
        <w:rPr>
          <w:rFonts w:ascii="Arial" w:cs="Arial" w:eastAsia="Arial" w:hAnsi="Arial"/>
          <w:sz w:val="22"/>
          <w:szCs w:val="22"/>
        </w:rPr>
        <w:t xml:space="preserve"> (Sec 115) is a rule of evidence between parties based on representation; it shuts the mouth of a party, not the court. </w:t>
      </w:r>
      <w:r>
        <w:rPr>
          <w:rFonts w:ascii="Arial" w:cs="Arial" w:eastAsia="Arial" w:hAnsi="Arial"/>
          <w:b/>
          <w:bCs/>
          <w:sz w:val="22"/>
          <w:szCs w:val="22"/>
        </w:rPr>
        <w:t xml:space="preserve">Waiver</w:t>
      </w:r>
      <w:r>
        <w:rPr>
          <w:rFonts w:ascii="Arial" w:cs="Arial" w:eastAsia="Arial" w:hAnsi="Arial"/>
          <w:sz w:val="22"/>
          <w:szCs w:val="22"/>
        </w:rPr>
        <w:t xml:space="preserve"> is the intentional relinquishment of a known right — contractual in nature, based on agreement, not on representation and detriment. Estoppel binds only the representor; waiver is the abandonment of a right by its holder.</w:t>
      </w:r>
    </w:p>
    <w:p>
      <w:pPr>
        <w:spacing w:after="120" w:before="240"/>
      </w:pPr>
      <w:r>
        <w:rPr>
          <w:rFonts w:ascii="Arial" w:cs="Arial" w:eastAsia="Arial" w:hAnsi="Arial"/>
          <w:b/>
          <w:bCs/>
          <w:color w:val="404040"/>
          <w:sz w:val="23"/>
          <w:szCs w:val="23"/>
        </w:rPr>
        <w:t xml:space="preserve">Promissory estoppel</w:t>
      </w:r>
    </w:p>
    <w:p>
      <w:pPr>
        <w:spacing w:after="120" w:line="300"/>
        <w:jc w:val="both"/>
      </w:pPr>
      <w:r>
        <w:rPr>
          <w:rFonts w:ascii="Arial" w:cs="Arial" w:eastAsia="Arial" w:hAnsi="Arial"/>
          <w:sz w:val="22"/>
          <w:szCs w:val="22"/>
        </w:rPr>
        <w:t xml:space="preserve">An equitable doctrine developed outside Sec 115 (which requires representation of existing fact; promissory estoppel concerns a promise as to the future). Elements: clear and unequivocal promise; intended to create legal relations or affect them; the promisee acted on it; inequitable to allow the promisor to go back. In India it can found a cause of action (Motilal) and binds the government — subject to: overriding public interest, no estoppel against statute, no estoppel to compel an ultra vires act, and no estoppel where the promisee has not altered position.</w:t>
      </w:r>
    </w:p>
    <w:p>
      <w:pPr>
        <w:spacing w:after="60" w:before="60"/>
        <w:ind w:left="200"/>
      </w:pPr>
      <w:r>
        <w:rPr>
          <w:rFonts w:ascii="Arial" w:cs="Arial" w:eastAsia="Arial" w:hAnsi="Arial"/>
          <w:b/>
          <w:bCs/>
          <w:color w:val="1F4E79"/>
          <w:sz w:val="22"/>
          <w:szCs w:val="22"/>
        </w:rPr>
        <w:t xml:space="preserve">Sec 167: </w:t>
      </w:r>
      <w:r>
        <w:rPr>
          <w:rFonts w:ascii="Arial" w:cs="Arial" w:eastAsia="Arial" w:hAnsi="Arial"/>
          <w:sz w:val="22"/>
          <w:szCs w:val="22"/>
        </w:rPr>
        <w:t xml:space="preserve">No new trial or reversal of a decision merely for improper admission or rejection of evidence, if there was sufficient other evidence to justify the decision, or if the rejected evidence would not have varied it.</w:t>
      </w:r>
    </w:p>
    <w:p>
      <w:pPr>
        <w:spacing w:after="120" w:before="240"/>
      </w:pPr>
      <w:r>
        <w:rPr>
          <w:rFonts w:ascii="Arial" w:cs="Arial" w:eastAsia="Arial" w:hAnsi="Arial"/>
          <w:b/>
          <w:bCs/>
          <w:color w:val="404040"/>
          <w:sz w:val="23"/>
          <w:szCs w:val="23"/>
        </w:rPr>
        <w:t xml:space="preserve">Law reform: IT Act 2000 amendments to the Evidence Act</w:t>
      </w:r>
    </w:p>
    <w:p>
      <w:pPr>
        <w:spacing w:after="120" w:line="300"/>
        <w:jc w:val="both"/>
      </w:pPr>
      <w:r>
        <w:rPr>
          <w:rFonts w:ascii="Arial" w:cs="Arial" w:eastAsia="Arial" w:hAnsi="Arial"/>
          <w:sz w:val="22"/>
          <w:szCs w:val="22"/>
        </w:rPr>
        <w:t xml:space="preserve">The Information Technology Act 2000 (Second Schedule) amended the IEA to bring electronic records within it: definitions of 'document' and 'evidence' expanded (Sec 3); Sec 17 admissions include electronic form; Sec 22A oral admissions as to contents of electronic records; Sec 34–35 electronic entries; </w:t>
      </w:r>
      <w:r>
        <w:rPr>
          <w:rFonts w:ascii="Arial" w:cs="Arial" w:eastAsia="Arial" w:hAnsi="Arial"/>
          <w:b/>
          <w:bCs/>
          <w:sz w:val="22"/>
          <w:szCs w:val="22"/>
        </w:rPr>
        <w:t xml:space="preserve">Sec 45A</w:t>
      </w:r>
      <w:r>
        <w:rPr>
          <w:rFonts w:ascii="Arial" w:cs="Arial" w:eastAsia="Arial" w:hAnsi="Arial"/>
          <w:sz w:val="22"/>
          <w:szCs w:val="22"/>
        </w:rPr>
        <w:t xml:space="preserve"> examiner of electronic evidence; Sec 47A opinion on digital signature; </w:t>
      </w:r>
      <w:r>
        <w:rPr>
          <w:rFonts w:ascii="Arial" w:cs="Arial" w:eastAsia="Arial" w:hAnsi="Arial"/>
          <w:b/>
          <w:bCs/>
          <w:sz w:val="22"/>
          <w:szCs w:val="22"/>
        </w:rPr>
        <w:t xml:space="preserve">Sec 65A–65B</w:t>
      </w:r>
      <w:r>
        <w:rPr>
          <w:rFonts w:ascii="Arial" w:cs="Arial" w:eastAsia="Arial" w:hAnsi="Arial"/>
          <w:sz w:val="22"/>
          <w:szCs w:val="22"/>
        </w:rPr>
        <w:t xml:space="preserve"> proof of electronic records; Sec 67A proof of digital signature; Sec 73A; Sec 81A, 85A, 85B, 85C, 88A, 90A presumptions; Sec 131 production of electronic records. The 2008 IT amendment replaced 'digital signature' with 'electronic signature'.</w:t>
      </w:r>
    </w:p>
    <w:p>
      <w:pPr>
        <w:spacing w:after="120" w:before="240"/>
      </w:pPr>
      <w:r>
        <w:rPr>
          <w:rFonts w:ascii="Arial" w:cs="Arial" w:eastAsia="Arial" w:hAnsi="Arial"/>
          <w:b/>
          <w:bCs/>
          <w:color w:val="404040"/>
          <w:sz w:val="23"/>
          <w:szCs w:val="23"/>
        </w:rPr>
        <w:t xml:space="preserve">Bharatiya Sakshya Adhiniyam 2023 — what changed</w:t>
      </w:r>
    </w:p>
    <w:p>
      <w:pPr>
        <w:spacing w:after="120" w:line="300"/>
        <w:jc w:val="both"/>
      </w:pPr>
      <w:r>
        <w:rPr>
          <w:rFonts w:ascii="Arial" w:cs="Arial" w:eastAsia="Arial" w:hAnsi="Arial"/>
          <w:sz w:val="22"/>
          <w:szCs w:val="22"/>
        </w:rPr>
        <w:t xml:space="preserve">In force from 1 July 2024, replacing the IEA 1872. </w:t>
      </w:r>
      <w:r>
        <w:rPr>
          <w:rFonts w:ascii="Arial" w:cs="Arial" w:eastAsia="Arial" w:hAnsi="Arial"/>
          <w:b/>
          <w:bCs/>
          <w:sz w:val="22"/>
          <w:szCs w:val="22"/>
        </w:rPr>
        <w:t xml:space="preserve">170 sections</w:t>
      </w:r>
      <w:r>
        <w:rPr>
          <w:rFonts w:ascii="Arial" w:cs="Arial" w:eastAsia="Arial" w:hAnsi="Arial"/>
          <w:sz w:val="22"/>
          <w:szCs w:val="22"/>
        </w:rPr>
        <w:t xml:space="preserve"> (from 167). Key changes: (1) 'document' expressly includes electronic and digital records, including messages, server logs, emails, and data on devices (Sec 2(1)(d)); (2) electronic records are </w:t>
      </w:r>
      <w:r>
        <w:rPr>
          <w:rFonts w:ascii="Arial" w:cs="Arial" w:eastAsia="Arial" w:hAnsi="Arial"/>
          <w:b/>
          <w:bCs/>
          <w:sz w:val="22"/>
          <w:szCs w:val="22"/>
        </w:rPr>
        <w:t xml:space="preserve">primary evidence</w:t>
      </w:r>
      <w:r>
        <w:rPr>
          <w:rFonts w:ascii="Arial" w:cs="Arial" w:eastAsia="Arial" w:hAnsi="Arial"/>
          <w:sz w:val="22"/>
          <w:szCs w:val="22"/>
        </w:rPr>
        <w:t xml:space="preserve"> where produced from proper custody (Sec 57 explanations) — a shift from the IEA's secondary-evidence framing; (3) Sec 63 re-enacts 65B with a Schedule certificate format and expert co-signature; (4) Sec 23 merges 25, 26, 27 on confessions; (5) Sec 24 co-accused confession; (6) joint trial in absentia now counts as joint trial for Sec 24; (7) Sec 157(2) hostile witness evidence usable by either party; (8) videography of statements and testimony expressly recognised; (9) secondary evidence expanded to include oral admissions, written admissions, and evidence of a person who has examined a document that cannot conveniently be examined in court (Sec 58). The </w:t>
      </w:r>
      <w:r>
        <w:rPr>
          <w:rFonts w:ascii="Arial" w:cs="Arial" w:eastAsia="Arial" w:hAnsi="Arial"/>
          <w:b/>
          <w:bCs/>
          <w:sz w:val="22"/>
          <w:szCs w:val="22"/>
        </w:rPr>
        <w:t xml:space="preserve">concepts and case law carry over</w:t>
      </w:r>
      <w:r>
        <w:rPr>
          <w:rFonts w:ascii="Arial" w:cs="Arial" w:eastAsia="Arial" w:hAnsi="Arial"/>
          <w:sz w:val="22"/>
          <w:szCs w:val="22"/>
        </w:rPr>
        <w:t xml:space="preserve">; learn both numberings.</w:t>
      </w:r>
    </w:p>
    <w:p>
      <w:pPr>
        <w:pBdr>
          <w:left w:val="single" w:color="CC0000" w:sz="6" w:space="8"/>
        </w:pBdr>
        <w:spacing w:after="80" w:before="80"/>
        <w:ind w:left="300"/>
      </w:pPr>
      <w:r>
        <w:rPr>
          <w:rFonts w:ascii="Arial" w:cs="Arial" w:eastAsia="Arial" w:hAnsi="Arial"/>
          <w:b/>
          <w:bCs/>
          <w:color w:val="CC0000"/>
          <w:sz w:val="21"/>
          <w:szCs w:val="21"/>
        </w:rPr>
        <w:t xml:space="preserve">Motilal Padampat Sugar Mills v. State of UP (1979) — </w:t>
      </w:r>
      <w:r>
        <w:rPr>
          <w:rFonts w:ascii="Arial" w:cs="Arial" w:eastAsia="Arial" w:hAnsi="Arial"/>
          <w:sz w:val="21"/>
          <w:szCs w:val="21"/>
        </w:rPr>
        <w:t xml:space="preserve">Promissory estoppel binds the government; no consideration needed; can found a cause of action; exceptions for overriding public interest.</w:t>
      </w:r>
    </w:p>
    <w:p>
      <w:pPr>
        <w:pBdr>
          <w:left w:val="single" w:color="CC0000" w:sz="6" w:space="8"/>
        </w:pBdr>
        <w:spacing w:after="80" w:before="80"/>
        <w:ind w:left="300"/>
      </w:pPr>
      <w:r>
        <w:rPr>
          <w:rFonts w:ascii="Arial" w:cs="Arial" w:eastAsia="Arial" w:hAnsi="Arial"/>
          <w:b/>
          <w:bCs/>
          <w:color w:val="CC0000"/>
          <w:sz w:val="21"/>
          <w:szCs w:val="21"/>
        </w:rPr>
        <w:t xml:space="preserve">Union of India v. Anglo-Afghan Agencies (1968) — </w:t>
      </w:r>
      <w:r>
        <w:rPr>
          <w:rFonts w:ascii="Arial" w:cs="Arial" w:eastAsia="Arial" w:hAnsi="Arial"/>
          <w:sz w:val="21"/>
          <w:szCs w:val="21"/>
        </w:rPr>
        <w:t xml:space="preserve">The earlier foundation: government bound by its export promotion scheme representation; executive necessity is no defence.</w:t>
      </w:r>
    </w:p>
    <w:p>
      <w:pPr>
        <w:pBdr>
          <w:left w:val="single" w:color="CC0000" w:sz="6" w:space="8"/>
        </w:pBdr>
        <w:spacing w:after="80" w:before="80"/>
        <w:ind w:left="300"/>
      </w:pPr>
      <w:r>
        <w:rPr>
          <w:rFonts w:ascii="Arial" w:cs="Arial" w:eastAsia="Arial" w:hAnsi="Arial"/>
          <w:b/>
          <w:bCs/>
          <w:color w:val="CC0000"/>
          <w:sz w:val="21"/>
          <w:szCs w:val="21"/>
        </w:rPr>
        <w:t xml:space="preserve">Mohori Bibee v. Dharmodas Ghose (1903) — </w:t>
      </w:r>
      <w:r>
        <w:rPr>
          <w:rFonts w:ascii="Arial" w:cs="Arial" w:eastAsia="Arial" w:hAnsi="Arial"/>
          <w:sz w:val="21"/>
          <w:szCs w:val="21"/>
        </w:rPr>
        <w:t xml:space="preserve">No estoppel against a statute; a minor who misrepresents his age is not estopped from pleading minority.</w:t>
      </w:r>
    </w:p>
    <w:p>
      <w:pPr>
        <w:pBdr>
          <w:left w:val="single" w:color="CC0000" w:sz="6" w:space="8"/>
        </w:pBdr>
        <w:spacing w:after="80" w:before="80"/>
        <w:ind w:left="300"/>
      </w:pPr>
      <w:r>
        <w:rPr>
          <w:rFonts w:ascii="Arial" w:cs="Arial" w:eastAsia="Arial" w:hAnsi="Arial"/>
          <w:b/>
          <w:bCs/>
          <w:color w:val="CC0000"/>
          <w:sz w:val="21"/>
          <w:szCs w:val="21"/>
        </w:rPr>
        <w:t xml:space="preserve">Pickard v. Sears (1837) — </w:t>
      </w:r>
      <w:r>
        <w:rPr>
          <w:rFonts w:ascii="Arial" w:cs="Arial" w:eastAsia="Arial" w:hAnsi="Arial"/>
          <w:sz w:val="21"/>
          <w:szCs w:val="21"/>
        </w:rPr>
        <w:t xml:space="preserve">English origin of Sec 115: a party who by conduct induces another to act cannot afterwards deny the state of things so represented.</w:t>
      </w:r>
    </w:p>
    <w:p>
      <w:pPr>
        <w:pBdr>
          <w:left w:val="single" w:color="1D9E75" w:sz="6" w:space="8"/>
        </w:pBdr>
        <w:spacing w:after="80" w:before="80"/>
        <w:ind w:left="300"/>
      </w:pPr>
      <w:r>
        <w:rPr>
          <w:rFonts w:ascii="Arial" w:cs="Arial" w:eastAsia="Arial" w:hAnsi="Arial"/>
          <w:b/>
          <w:bCs/>
          <w:color w:val="1D9E75"/>
          <w:sz w:val="21"/>
          <w:szCs w:val="21"/>
        </w:rPr>
        <w:t xml:space="preserve">DIGITAL: </w:t>
      </w:r>
      <w:r>
        <w:rPr>
          <w:rFonts w:ascii="Arial" w:cs="Arial" w:eastAsia="Arial" w:hAnsi="Arial"/>
          <w:sz w:val="21"/>
          <w:szCs w:val="21"/>
        </w:rPr>
        <w:t xml:space="preserve">Estoppel in digital contracts: click-wrap acceptance is conduct; a party who accepted terms electronically is estopped from denying the agreement (Sec 85A presumption reinforces). Also note BSA 2023 explicitly aligns with the IT Act's electronic signature framework — the two Acts now speak the same language.</w:t>
      </w:r>
    </w:p>
    <w:p>
      <w:pPr>
        <w:pBdr>
          <w:left w:val="single" w:color="0066CC" w:sz="6" w:space="8"/>
        </w:pBdr>
        <w:spacing w:after="80" w:before="80"/>
        <w:ind w:left="300"/>
      </w:pPr>
      <w:r>
        <w:rPr>
          <w:rFonts w:ascii="Arial" w:cs="Arial" w:eastAsia="Arial" w:hAnsi="Arial"/>
          <w:b/>
          <w:bCs/>
          <w:color w:val="0066CC"/>
          <w:sz w:val="21"/>
          <w:szCs w:val="21"/>
        </w:rPr>
        <w:t xml:space="preserve">EXAM: </w:t>
      </w:r>
      <w:r>
        <w:rPr>
          <w:rFonts w:ascii="Arial" w:cs="Arial" w:eastAsia="Arial" w:hAnsi="Arial"/>
          <w:sz w:val="21"/>
          <w:szCs w:val="21"/>
        </w:rPr>
        <w:t xml:space="preserve">Part A: 'Estoppel', 'Promissory estoppel', 'Distinguish estoppel from res judicata'. Part B: 'Explain the doctrine of estoppel with its essentials and exceptions' — Sec 115–117, Motilal, Mohori Bibee, then the comparison table. Part C: government withdraws a tax holiday after industries set up — Motilal Padampat squarely.</w:t>
      </w:r>
    </w:p>
    <w:p>
      <w:pPr>
        <w:pBdr>
          <w:bottom w:val="single" w:color="CCCCCC" w:sz="1" w:space="4"/>
        </w:pBdr>
        <w:spacing w:after="160" w:before="160"/>
      </w:pPr>
      <w:r>
        <w:rPr>
          <w:sz w:val="4"/>
          <w:szCs w:val="4"/>
        </w:rPr>
        <w:t xml:space="preserve"> </w:t>
      </w:r>
    </w:p>
    <w:p>
      <w:r>
        <w:br w:type="page"/>
      </w:r>
    </w:p>
    <w:p>
      <w:pPr>
        <w:pStyle w:val="Heading1"/>
        <w:spacing w:after="200" w:before="480"/>
      </w:pPr>
      <w:r>
        <w:rPr>
          <w:rFonts w:ascii="Arial" w:cs="Arial" w:eastAsia="Arial" w:hAnsi="Arial"/>
          <w:b/>
          <w:bCs/>
          <w:color w:val="1F4E79"/>
          <w:sz w:val="32"/>
          <w:szCs w:val="32"/>
        </w:rPr>
        <w:t xml:space="preserve">Part C Drill Bank — 10 Problems with IRAC Answers</w:t>
      </w:r>
    </w:p>
    <w:p>
      <w:pPr>
        <w:spacing w:after="120" w:before="240"/>
      </w:pPr>
      <w:r>
        <w:rPr>
          <w:rFonts w:ascii="Arial" w:cs="Arial" w:eastAsia="Arial" w:hAnsi="Arial"/>
          <w:b/>
          <w:bCs/>
          <w:color w:val="404040"/>
          <w:sz w:val="23"/>
          <w:szCs w:val="23"/>
        </w:rPr>
        <w:t xml:space="preserve">1. WhatsApp without certificate</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Prosecution produces printouts of WhatsApp chats between accused and victim. No 65B certificate; the accused's phone is not produced. Defence objects at trial.</w:t>
      </w:r>
    </w:p>
    <w:p>
      <w:pPr>
        <w:spacing w:after="120" w:line="300"/>
        <w:jc w:val="both"/>
      </w:pPr>
      <w:r>
        <w:rPr>
          <w:rFonts w:ascii="Arial" w:cs="Arial" w:eastAsia="Arial" w:hAnsi="Arial"/>
          <w:sz w:val="22"/>
          <w:szCs w:val="22"/>
        </w:rPr>
        <w:t xml:space="preserve">Issue: admissibility of electronic record without 65B(4) certificate. Rule: Anvar; Arjun Panditrao — certificate mandatory for secondary evidence unless original device produced. Application: printouts are secondary evidence; no device, no certificate. Court may allow prosecution to obtain and file the certificate before trial ends (Arjun Panditrao), or summon it. Conclusion: inadmissible as it stands; curable if certificate produced before trial concludes.</w:t>
      </w:r>
    </w:p>
    <w:p>
      <w:pPr>
        <w:spacing w:after="120" w:before="240"/>
      </w:pPr>
      <w:r>
        <w:rPr>
          <w:rFonts w:ascii="Arial" w:cs="Arial" w:eastAsia="Arial" w:hAnsi="Arial"/>
          <w:b/>
          <w:bCs/>
          <w:color w:val="404040"/>
          <w:sz w:val="23"/>
          <w:szCs w:val="23"/>
        </w:rPr>
        <w:t xml:space="preserve">2. Objection first raised in appeal</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Same facts, but the defence did not object at trial and raises the point for the first time in appeal.</w:t>
      </w:r>
    </w:p>
    <w:p>
      <w:pPr>
        <w:spacing w:after="120" w:line="300"/>
        <w:jc w:val="both"/>
      </w:pPr>
      <w:r>
        <w:rPr>
          <w:rFonts w:ascii="Arial" w:cs="Arial" w:eastAsia="Arial" w:hAnsi="Arial"/>
          <w:sz w:val="22"/>
          <w:szCs w:val="22"/>
        </w:rPr>
        <w:t xml:space="preserve">Rule: Sonu @ Amar — absence of 65B certificate is a mode-of-proof objection; if curable at trial and not raised, it cannot be raised in appeal. Conclusion: objection fails; evidence stands (subject to weight).</w:t>
      </w:r>
    </w:p>
    <w:p>
      <w:pPr>
        <w:spacing w:after="120" w:before="240"/>
      </w:pPr>
      <w:r>
        <w:rPr>
          <w:rFonts w:ascii="Arial" w:cs="Arial" w:eastAsia="Arial" w:hAnsi="Arial"/>
          <w:b/>
          <w:bCs/>
          <w:color w:val="404040"/>
          <w:sz w:val="23"/>
          <w:szCs w:val="23"/>
        </w:rPr>
        <w:t xml:space="preserve">3. Confession + recovery</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In custody, A tells police: 'I strangled her with my belt and threw the belt in the well behind the temple.' The belt is recovered from the well.</w:t>
      </w:r>
    </w:p>
    <w:p>
      <w:pPr>
        <w:spacing w:after="120" w:line="300"/>
        <w:jc w:val="both"/>
      </w:pPr>
      <w:r>
        <w:rPr>
          <w:rFonts w:ascii="Arial" w:cs="Arial" w:eastAsia="Arial" w:hAnsi="Arial"/>
          <w:sz w:val="22"/>
          <w:szCs w:val="22"/>
        </w:rPr>
        <w:t xml:space="preserve">Rule: Sec 25 bars the confession; Sec 27 admits only the part distinctly relating to the discovery (Kottaya). Application: 'I threw the belt in the well behind the temple' admissible + the recovery + A's knowledge of the place; 'I strangled her' inadmissible. Conclusion: recovery evidence goes in as a circumstance; conviction needs other links (Sharad Sarda).</w:t>
      </w:r>
    </w:p>
    <w:p>
      <w:pPr>
        <w:spacing w:after="120" w:before="240"/>
      </w:pPr>
      <w:r>
        <w:rPr>
          <w:rFonts w:ascii="Arial" w:cs="Arial" w:eastAsia="Arial" w:hAnsi="Arial"/>
          <w:b/>
          <w:bCs/>
          <w:color w:val="404040"/>
          <w:sz w:val="23"/>
          <w:szCs w:val="23"/>
        </w:rPr>
        <w:t xml:space="preserve">4. Dying declaration without doctor</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A burn victim tells the Magistrate her husband set her alight. No doctor certified fitness; she died two hours later. Sole evidence.</w:t>
      </w:r>
    </w:p>
    <w:p>
      <w:pPr>
        <w:spacing w:after="120" w:line="300"/>
        <w:jc w:val="both"/>
      </w:pPr>
      <w:r>
        <w:rPr>
          <w:rFonts w:ascii="Arial" w:cs="Arial" w:eastAsia="Arial" w:hAnsi="Arial"/>
          <w:sz w:val="22"/>
          <w:szCs w:val="22"/>
        </w:rPr>
        <w:t xml:space="preserve">Rule: Laxman (Constitution Bench) — certificate not mandatory; court satisfaction from circumstances suffices; Khushal Rao — can be sole basis. Application: examine the Magistrate's evidence on her coherence, absence of tutoring, consistency. Conclusion: conviction sustainable if the court is satisfied on voluntariness and fitness.</w:t>
      </w:r>
    </w:p>
    <w:p>
      <w:pPr>
        <w:spacing w:after="120" w:before="240"/>
      </w:pPr>
      <w:r>
        <w:rPr>
          <w:rFonts w:ascii="Arial" w:cs="Arial" w:eastAsia="Arial" w:hAnsi="Arial"/>
          <w:b/>
          <w:bCs/>
          <w:color w:val="404040"/>
          <w:sz w:val="23"/>
          <w:szCs w:val="23"/>
        </w:rPr>
        <w:t xml:space="preserve">5. Circumstantial chain with a gap</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Motive, last seen together at 9 pm, body found at 6 am, accused absconded for two days. No recovery, no injury on the accused, time of death uncertain.</w:t>
      </w:r>
    </w:p>
    <w:p>
      <w:pPr>
        <w:spacing w:after="120" w:line="300"/>
        <w:jc w:val="both"/>
      </w:pPr>
      <w:r>
        <w:rPr>
          <w:rFonts w:ascii="Arial" w:cs="Arial" w:eastAsia="Arial" w:hAnsi="Arial"/>
          <w:sz w:val="22"/>
          <w:szCs w:val="22"/>
        </w:rPr>
        <w:t xml:space="preserve">Rule: Sharad Sarda five rules; last-seen must be proximate to time of death; absconding is weak; false explanation is a link but cannot fill gaps. Application: nine-hour gap with uncertain time of death breaks proximity; absconding alone insufficient. Conclusion: chain incomplete — acquittal.</w:t>
      </w:r>
    </w:p>
    <w:p>
      <w:pPr>
        <w:spacing w:after="120" w:before="240"/>
      </w:pPr>
      <w:r>
        <w:rPr>
          <w:rFonts w:ascii="Arial" w:cs="Arial" w:eastAsia="Arial" w:hAnsi="Arial"/>
          <w:b/>
          <w:bCs/>
          <w:color w:val="404040"/>
          <w:sz w:val="23"/>
          <w:szCs w:val="23"/>
        </w:rPr>
        <w:t xml:space="preserve">6. Hostile witness</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The eyewitness who named the accused in his Sec 161 statement denies everything in court and is declared hostile. Two other witnesses corroborate the original version.</w:t>
      </w:r>
    </w:p>
    <w:p>
      <w:pPr>
        <w:spacing w:after="120" w:line="300"/>
        <w:jc w:val="both"/>
      </w:pPr>
      <w:r>
        <w:rPr>
          <w:rFonts w:ascii="Arial" w:cs="Arial" w:eastAsia="Arial" w:hAnsi="Arial"/>
          <w:sz w:val="22"/>
          <w:szCs w:val="22"/>
        </w:rPr>
        <w:t xml:space="preserve">Rule: Sec 154; Sat Paul — evidence not wiped out; Sec 145 contradiction; Sec 161 statement not substantive. Application: court may rely on the credible parts and on the other two witnesses. Conclusion: conviction can stand on the other witnesses; the hostile witness's earlier statement is only for contradiction.</w:t>
      </w:r>
    </w:p>
    <w:p>
      <w:pPr>
        <w:spacing w:after="120" w:before="240"/>
      </w:pPr>
      <w:r>
        <w:rPr>
          <w:rFonts w:ascii="Arial" w:cs="Arial" w:eastAsia="Arial" w:hAnsi="Arial"/>
          <w:b/>
          <w:bCs/>
          <w:color w:val="404040"/>
          <w:sz w:val="23"/>
          <w:szCs w:val="23"/>
        </w:rPr>
        <w:t xml:space="preserve">7. Wife's evidence</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W testifies that H told her at night 'I finished him off,' and that she saw him wash blood off his shirt.</w:t>
      </w:r>
    </w:p>
    <w:p>
      <w:pPr>
        <w:spacing w:after="120" w:line="300"/>
        <w:jc w:val="both"/>
      </w:pPr>
      <w:r>
        <w:rPr>
          <w:rFonts w:ascii="Arial" w:cs="Arial" w:eastAsia="Arial" w:hAnsi="Arial"/>
          <w:sz w:val="22"/>
          <w:szCs w:val="22"/>
        </w:rPr>
        <w:t xml:space="preserve">Rule: Sec 122 bars the communication; Ram Bharosey — conduct observed is admissible. Application: the words are barred without H's consent; the washing of blood is admissible. Conclusion: admit the conduct, exclude the words.</w:t>
      </w:r>
    </w:p>
    <w:p>
      <w:pPr>
        <w:spacing w:after="120" w:before="240"/>
      </w:pPr>
      <w:r>
        <w:rPr>
          <w:rFonts w:ascii="Arial" w:cs="Arial" w:eastAsia="Arial" w:hAnsi="Arial"/>
          <w:b/>
          <w:bCs/>
          <w:color w:val="404040"/>
          <w:sz w:val="23"/>
          <w:szCs w:val="23"/>
        </w:rPr>
        <w:t xml:space="preserve">8. Dowry death presumption</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Woman dies of poisoning eight months after marriage; brother testifies to demands for a car two weeks earlier and beatings; in-laws say suicide.</w:t>
      </w:r>
    </w:p>
    <w:p>
      <w:pPr>
        <w:spacing w:after="120" w:line="300"/>
        <w:jc w:val="both"/>
      </w:pPr>
      <w:r>
        <w:rPr>
          <w:rFonts w:ascii="Arial" w:cs="Arial" w:eastAsia="Arial" w:hAnsi="Arial"/>
          <w:sz w:val="22"/>
          <w:szCs w:val="22"/>
        </w:rPr>
        <w:t xml:space="preserve">Rule: Sec 304B IPC + Sec 113B; Kans Raj (soon before); Sher Singh (accused must prove innocence once foundational facts proved). Application: unnatural death within seven years + cruelty for dowry soon before → shall presume. Conclusion: presumption operates; in-laws must rebut on preponderance.</w:t>
      </w:r>
    </w:p>
    <w:p>
      <w:pPr>
        <w:spacing w:after="120" w:before="240"/>
      </w:pPr>
      <w:r>
        <w:rPr>
          <w:rFonts w:ascii="Arial" w:cs="Arial" w:eastAsia="Arial" w:hAnsi="Arial"/>
          <w:b/>
          <w:bCs/>
          <w:color w:val="404040"/>
          <w:sz w:val="23"/>
          <w:szCs w:val="23"/>
        </w:rPr>
        <w:t xml:space="preserve">9. Government goes back on promise</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State announces 5-year electricity subsidy for new units; X sets up a unit borrowing Rs 20 crore; State withdraws the subsidy after one year citing revenue loss.</w:t>
      </w:r>
    </w:p>
    <w:p>
      <w:pPr>
        <w:spacing w:after="120" w:line="300"/>
        <w:jc w:val="both"/>
      </w:pPr>
      <w:r>
        <w:rPr>
          <w:rFonts w:ascii="Arial" w:cs="Arial" w:eastAsia="Arial" w:hAnsi="Arial"/>
          <w:sz w:val="22"/>
          <w:szCs w:val="22"/>
        </w:rPr>
        <w:t xml:space="preserve">Rule: Motilal Padampat — promissory estoppel binds the State; exception only for overriding public interest shown by evidence, not mere revenue considerations. Application: clear promise, reliance, detriment. Conclusion: State estopped; subsidy enforceable for the promised period.</w:t>
      </w:r>
    </w:p>
    <w:p>
      <w:pPr>
        <w:spacing w:after="120" w:before="240"/>
      </w:pPr>
      <w:r>
        <w:rPr>
          <w:rFonts w:ascii="Arial" w:cs="Arial" w:eastAsia="Arial" w:hAnsi="Arial"/>
          <w:b/>
          <w:bCs/>
          <w:color w:val="404040"/>
          <w:sz w:val="23"/>
          <w:szCs w:val="23"/>
        </w:rPr>
        <w:t xml:space="preserve">10. Handwriting expert alone</w:t>
      </w:r>
    </w:p>
    <w:p>
      <w:pPr>
        <w:spacing w:after="120" w:line="300"/>
        <w:jc w:val="both"/>
      </w:pPr>
      <w:r>
        <w:rPr>
          <w:rFonts w:ascii="Arial" w:cs="Arial" w:eastAsia="Arial" w:hAnsi="Arial"/>
          <w:sz w:val="22"/>
          <w:szCs w:val="22"/>
        </w:rPr>
        <w:t xml:space="preserve"/>
      </w:r>
      <w:r>
        <w:rPr>
          <w:rFonts w:ascii="Arial" w:cs="Arial" w:eastAsia="Arial" w:hAnsi="Arial"/>
          <w:b/>
          <w:bCs/>
          <w:sz w:val="22"/>
          <w:szCs w:val="22"/>
        </w:rPr>
        <w:t xml:space="preserve">Facts:</w:t>
      </w:r>
      <w:r>
        <w:rPr>
          <w:rFonts w:ascii="Arial" w:cs="Arial" w:eastAsia="Arial" w:hAnsi="Arial"/>
          <w:sz w:val="22"/>
          <w:szCs w:val="22"/>
        </w:rPr>
        <w:t xml:space="preserve"> Forgery case; only evidence is an expert's opinion that the disputed signature matches the accused's specimen.</w:t>
      </w:r>
    </w:p>
    <w:p>
      <w:pPr>
        <w:spacing w:after="120" w:line="300"/>
        <w:jc w:val="both"/>
      </w:pPr>
      <w:r>
        <w:rPr>
          <w:rFonts w:ascii="Arial" w:cs="Arial" w:eastAsia="Arial" w:hAnsi="Arial"/>
          <w:sz w:val="22"/>
          <w:szCs w:val="22"/>
        </w:rPr>
        <w:t xml:space="preserve">Rule: Murari Lal — expert opinion may be acted on without corroboration if court is satisfied after scrutiny; Sec 73 court's own comparison; Ramesh Chandra Agrawal — reasons required. Application: examine the expert's reasons; court compares itself; look for surrounding circumstances. Conclusion: conviction possible but courts are cautious; if the reasons are thin, benefit of doubt.</w:t>
      </w:r>
    </w:p>
    <w:p>
      <w:r>
        <w:br w:type="page"/>
      </w:r>
    </w:p>
    <w:p>
      <w:pPr>
        <w:pStyle w:val="Heading1"/>
        <w:spacing w:after="200" w:before="480"/>
      </w:pPr>
      <w:r>
        <w:rPr>
          <w:rFonts w:ascii="Arial" w:cs="Arial" w:eastAsia="Arial" w:hAnsi="Arial"/>
          <w:b/>
          <w:bCs/>
          <w:color w:val="1F4E79"/>
          <w:sz w:val="32"/>
          <w:szCs w:val="32"/>
        </w:rPr>
        <w:t xml:space="preserve">IEA 1872 → BSA 2023 — Section Conversion (key provisions)</w:t>
      </w:r>
    </w:p>
    <w:p>
      <w:pPr>
        <w:spacing w:after="120" w:line="300"/>
        <w:jc w:val="both"/>
      </w:pPr>
      <w:r>
        <w:rPr>
          <w:rFonts w:ascii="Arial" w:cs="Arial" w:eastAsia="Arial" w:hAnsi="Arial"/>
          <w:sz w:val="22"/>
          <w:szCs w:val="22"/>
        </w:rPr>
        <w:t xml:space="preserve">Learn both numbers. Verify against the bare Act before the exam; this table is a study aid, not a substitute.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9"/>
                <w:szCs w:val="19"/>
              </w:rPr>
              <w:t xml:space="preserve">Topic</w:t>
            </w:r>
          </w:p>
        </w:tc>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9"/>
                <w:szCs w:val="19"/>
              </w:rPr>
              <w:t xml:space="preserve">IEA 1872</w:t>
            </w:r>
          </w:p>
        </w:tc>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9"/>
                <w:szCs w:val="19"/>
              </w:rPr>
              <w:t xml:space="preserve">BSA 2023</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Definitions / presumptions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3, 4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Res gestae; occasion/cause; motive/conduct; identity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6, 7, 8, 9</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4, 5, 6, 7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Conspiracy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8</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Admissions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17–23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15–21</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Confession — inducement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22</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Confession to police / in custody / discovery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25, 26, 27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23(1), 23(1), 23(2)</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Co-accused confession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24</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Dying declaration &amp; Sec 32 statements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26</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Previous deposition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Relevancy of judgments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40–44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34–38</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Expert opinion; electronic examiner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45, 45A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39(1), 39(2)</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Character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52–55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46–49</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Judicial notice; admitted facts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56–58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51–53</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Oral evidence direct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59–60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54–55</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Documentary: primary/secondary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61–65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56–60</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Electronic records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65A, 65B</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61, 62, 63</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Public / private documents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74–78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74–78</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Presumptions as to documents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79–90A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79–93</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Exclusion of oral by documentary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91–92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94–95</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Burden of proof</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101–104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104–107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Exceptions; special knowledge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105, 106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108, 109</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Legitimacy; 113A; 113B; 114; 114A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112, 113A, 113B, 114, 114A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116, 117, 118, 119, 120</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Estoppel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115–117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121–123</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Competency; spouse; state; professional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118, 122, 123, 126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124, 128, 129, 132</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Accomplice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133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138</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Examination; leading; hostile; impeach</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137–143, 154, 155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142–148, 157, 158</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Judge's power to question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165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168</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Improper admission/rejection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167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170</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2026-09-04T14:39:21.486Z</dcterms:created>
  <dcterms:modified xsi:type="dcterms:W3CDTF">2026-09-04T14:39:21.497Z</dcterms:modified>
</cp:coreProperties>
</file>

<file path=docProps/custom.xml><?xml version="1.0" encoding="utf-8"?>
<Properties xmlns="http://schemas.openxmlformats.org/officeDocument/2006/custom-properties" xmlns:vt="http://schemas.openxmlformats.org/officeDocument/2006/docPropsVTypes"/>
</file>