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7F7F7F"/>
          <w:sz w:val="22"/>
          <w:szCs w:val="22"/>
        </w:rPr>
        <w:t xml:space="preserve">AI SUPPLIER REQUIREMENTS</w:t>
      </w:r>
    </w:p>
    <w:p>
      <w:pPr>
        <w:spacing w:after="200"/>
      </w:pPr>
      <w:r>
        <w:rPr>
          <w:rFonts w:ascii="Calibri" w:cs="Calibri" w:eastAsia="Calibri" w:hAnsi="Calibri"/>
          <w:b/>
          <w:bCs/>
          <w:color w:val="1F3864"/>
          <w:sz w:val="48"/>
          <w:szCs w:val="48"/>
        </w:rPr>
        <w:t xml:space="preserve">AI Risk Management Requirements for Suppliers</w:t>
      </w:r>
    </w:p>
    <w:p>
      <w:pPr>
        <w:pBdr>
          <w:bottom w:val="single" w:color="1F3864" w:sz="12" w:space="8"/>
        </w:pBdr>
        <w:spacing w:after="600"/>
      </w:pPr>
      <w:r>
        <w:rPr>
          <w:rFonts w:ascii="Calibri" w:cs="Calibri" w:eastAsia="Calibri" w:hAnsi="Calibri"/>
          <w:color w:val="404040"/>
          <w:sz w:val="24"/>
          <w:szCs w:val="24"/>
        </w:rPr>
        <w:t xml:space="preserve">Aligned to the NIST AI Risk Management Framework 1.0 (NIST AI 100-1) and the Generative AI Profile (NIST AI 600-1)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Document control</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
            </w:r>
          </w:p>
        </w:tc>
      </w:tr>
      <w:tr>
        <w:trPr>
          <w:cantSplit/>
        </w:trPr>
        <w:tc>
          <w:tcPr>
            <w:tcW w:type="dxa" w:w="26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Document type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Procurement standard — RFP attachment and contract schedule</w:t>
            </w:r>
          </w:p>
        </w:tc>
      </w:tr>
      <w:tr>
        <w:trPr>
          <w:cantSplit/>
        </w:trPr>
        <w:tc>
          <w:tcPr>
            <w:tcW w:type="dxa" w:w="26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Version</w:t>
            </w:r>
          </w:p>
        </w:tc>
        <w:tc>
          <w:tcPr>
            <w:tcW w:type="dxa" w:w="6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1.0</w:t>
            </w:r>
          </w:p>
        </w:tc>
      </w:tr>
      <w:tr>
        <w:trPr>
          <w:cantSplit/>
        </w:trPr>
        <w:tc>
          <w:tcPr>
            <w:tcW w:type="dxa" w:w="26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[Insert date]</w:t>
            </w:r>
          </w:p>
        </w:tc>
      </w:tr>
      <w:tr>
        <w:trPr>
          <w:cantSplit/>
        </w:trPr>
        <w:tc>
          <w:tcPr>
            <w:tcW w:type="dxa" w:w="26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Owner</w:t>
            </w:r>
          </w:p>
        </w:tc>
        <w:tc>
          <w:tcPr>
            <w:tcW w:type="dxa" w:w="6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[Procurement / AI Governance lead]</w:t>
            </w:r>
          </w:p>
        </w:tc>
      </w:tr>
      <w:tr>
        <w:trPr>
          <w:cantSplit/>
        </w:trPr>
        <w:tc>
          <w:tcPr>
            <w:tcW w:type="dxa" w:w="26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Applies to</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All suppliers of AI models, AI APIs, and AI-enabled products or services</w:t>
            </w:r>
          </w:p>
        </w:tc>
      </w:tr>
      <w:tr>
        <w:trPr>
          <w:cantSplit/>
        </w:trPr>
        <w:tc>
          <w:tcPr>
            <w:tcW w:type="dxa" w:w="26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Review cycle</w:t>
            </w:r>
          </w:p>
        </w:tc>
        <w:tc>
          <w:tcPr>
            <w:tcW w:type="dxa" w:w="6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Annual, or on material change to the NIST AI RMF</w:t>
            </w:r>
          </w:p>
        </w:tc>
      </w:tr>
    </w:tbl>
    <w:p>
      <w:r>
        <w:br w:type="page"/>
      </w:r>
    </w:p>
    <w:p>
      <w:pPr>
        <w:spacing w:after="200"/>
      </w:pPr>
      <w:r>
        <w:rPr>
          <w:rFonts w:ascii="Calibri" w:cs="Calibri" w:eastAsia="Calibri" w:hAnsi="Calibri"/>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1. Executive summary</w:t>
      </w:r>
    </w:p>
    <w:p>
      <w:pPr>
        <w:spacing w:after="120" w:line="276"/>
      </w:pPr>
      <w:r>
        <w:rPr>
          <w:rFonts w:ascii="Calibri" w:cs="Calibri" w:eastAsia="Calibri" w:hAnsi="Calibri"/>
          <w:b/>
          <w:bCs/>
          <w:sz w:val="21"/>
          <w:szCs w:val="21"/>
        </w:rPr>
        <w:t xml:space="preserve">There is no NIST AI RMF certification. </w:t>
      </w:r>
      <w:r>
        <w:rPr>
          <w:rFonts w:ascii="Calibri" w:cs="Calibri" w:eastAsia="Calibri" w:hAnsi="Calibri"/>
          <w:sz w:val="21"/>
          <w:szCs w:val="21"/>
        </w:rPr>
        <w:t xml:space="preserve">The framework is voluntary and outcome-based, so a supplier statement that it "follows NIST AI RMF" is not evidence of conformance. This standard makes the framework enforceable through three mechanisms:</w:t>
      </w:r>
    </w:p>
    <w:p>
      <w:pPr>
        <w:pStyle w:val="ListParagraph"/>
        <w:numPr>
          <w:ilvl w:val="0"/>
          <w:numId w:val="2"/>
        </w:numPr>
        <w:spacing w:after="80"/>
      </w:pPr>
      <w:r>
        <w:rPr>
          <w:rFonts w:ascii="Calibri" w:cs="Calibri" w:eastAsia="Calibri" w:hAnsi="Calibri"/>
          <w:b/>
          <w:bCs/>
          <w:sz w:val="21"/>
          <w:szCs w:val="21"/>
        </w:rPr>
        <w:t xml:space="preserve">Contract. </w:t>
      </w:r>
      <w:r>
        <w:rPr>
          <w:rFonts w:ascii="Calibri" w:cs="Calibri" w:eastAsia="Calibri" w:hAnsi="Calibri"/>
          <w:sz w:val="21"/>
          <w:szCs w:val="21"/>
        </w:rPr>
        <w:t xml:space="preserve">Binding clauses that turn RMF outcomes into supplier obligations (Section 4).</w:t>
      </w:r>
    </w:p>
    <w:p>
      <w:pPr>
        <w:pStyle w:val="ListParagraph"/>
        <w:numPr>
          <w:ilvl w:val="0"/>
          <w:numId w:val="2"/>
        </w:numPr>
        <w:spacing w:after="80"/>
      </w:pPr>
      <w:r>
        <w:rPr>
          <w:rFonts w:ascii="Calibri" w:cs="Calibri" w:eastAsia="Calibri" w:hAnsi="Calibri"/>
          <w:b/>
          <w:bCs/>
          <w:sz w:val="21"/>
          <w:szCs w:val="21"/>
        </w:rPr>
        <w:t xml:space="preserve">Evidence. </w:t>
      </w:r>
      <w:r>
        <w:rPr>
          <w:rFonts w:ascii="Calibri" w:cs="Calibri" w:eastAsia="Calibri" w:hAnsi="Calibri"/>
          <w:sz w:val="21"/>
          <w:szCs w:val="21"/>
        </w:rPr>
        <w:t xml:space="preserve">Specific artifacts the supplier must provide, each mapped to an RMF subcategory (Section 5).</w:t>
      </w:r>
    </w:p>
    <w:p>
      <w:pPr>
        <w:pStyle w:val="ListParagraph"/>
        <w:numPr>
          <w:ilvl w:val="0"/>
          <w:numId w:val="2"/>
        </w:numPr>
        <w:spacing w:after="80"/>
      </w:pPr>
      <w:r>
        <w:rPr>
          <w:rFonts w:ascii="Calibri" w:cs="Calibri" w:eastAsia="Calibri" w:hAnsi="Calibri"/>
          <w:b/>
          <w:bCs/>
          <w:sz w:val="21"/>
          <w:szCs w:val="21"/>
        </w:rPr>
        <w:t xml:space="preserve">Verification. </w:t>
      </w:r>
      <w:r>
        <w:rPr>
          <w:rFonts w:ascii="Calibri" w:cs="Calibri" w:eastAsia="Calibri" w:hAnsi="Calibri"/>
          <w:sz w:val="21"/>
          <w:szCs w:val="21"/>
        </w:rPr>
        <w:t xml:space="preserve">Independent assurance where available — ISO/IEC 42001 certification, SOC 2, third-party red-team reports — plus Customer acceptance testing (Section 8).</w:t>
      </w:r>
    </w:p>
    <w:p>
      <w:pPr>
        <w:spacing w:after="120" w:line="276"/>
      </w:pPr>
      <w:r>
        <w:rPr>
          <w:rFonts w:ascii="Calibri" w:cs="Calibri" w:eastAsia="Calibri" w:hAnsi="Calibri"/>
          <w:sz w:val="21"/>
          <w:szCs w:val="21"/>
        </w:rPr>
        <w:t xml:space="preserve">Every supplier must submit a </w:t>
      </w:r>
      <w:r>
        <w:rPr>
          <w:rFonts w:ascii="Calibri" w:cs="Calibri" w:eastAsia="Calibri" w:hAnsi="Calibri"/>
          <w:b/>
          <w:bCs/>
          <w:sz w:val="21"/>
          <w:szCs w:val="21"/>
        </w:rPr>
        <w:t xml:space="preserve">NIST AI RMF Current Profile</w:t>
      </w:r>
      <w:r>
        <w:rPr>
          <w:rFonts w:ascii="Calibri" w:cs="Calibri" w:eastAsia="Calibri" w:hAnsi="Calibri"/>
          <w:sz w:val="21"/>
          <w:szCs w:val="21"/>
        </w:rPr>
        <w:t xml:space="preserve"> (present state against the RMF subcategories) and a dated </w:t>
      </w:r>
      <w:r>
        <w:rPr>
          <w:rFonts w:ascii="Calibri" w:cs="Calibri" w:eastAsia="Calibri" w:hAnsi="Calibri"/>
          <w:b/>
          <w:bCs/>
          <w:sz w:val="21"/>
          <w:szCs w:val="21"/>
        </w:rPr>
        <w:t xml:space="preserve">Target Profile</w:t>
      </w:r>
      <w:r>
        <w:rPr>
          <w:rFonts w:ascii="Calibri" w:cs="Calibri" w:eastAsia="Calibri" w:hAnsi="Calibri"/>
          <w:sz w:val="21"/>
          <w:szCs w:val="21"/>
        </w:rPr>
        <w:t xml:space="preserve"> with a gap-closure plan. Profiles are the framework's own mechanism (AI RMF Section 6) and provide the baseline for audit and renewal.</w:t>
      </w:r>
    </w:p>
    <w:p>
      <w:pPr>
        <w:pStyle w:val="Heading1"/>
      </w:pPr>
      <w:r>
        <w:rPr>
          <w:rFonts w:ascii="Calibri" w:cs="Calibri" w:eastAsia="Calibri" w:hAnsi="Calibri"/>
        </w:rPr>
        <w:t xml:space="preserve">2. Purpose and scope</w:t>
      </w:r>
    </w:p>
    <w:p>
      <w:pPr>
        <w:spacing w:after="120" w:line="276"/>
      </w:pPr>
      <w:r>
        <w:rPr>
          <w:rFonts w:ascii="Calibri" w:cs="Calibri" w:eastAsia="Calibri" w:hAnsi="Calibri"/>
          <w:sz w:val="21"/>
          <w:szCs w:val="21"/>
        </w:rPr>
        <w:t xml:space="preserve">This standard sets the minimum AI risk management requirements for suppliers. It supports Customer's own obligations under the NIST AI RMF for third-party AI:</w:t>
      </w:r>
    </w:p>
    <w:p>
      <w:pPr>
        <w:pStyle w:val="ListParagraph"/>
        <w:numPr>
          <w:ilvl w:val="0"/>
          <w:numId w:val="3"/>
        </w:numPr>
        <w:spacing w:after="60"/>
      </w:pPr>
      <w:r>
        <w:rPr>
          <w:rFonts w:ascii="Calibri" w:cs="Calibri" w:eastAsia="Calibri" w:hAnsi="Calibri"/>
          <w:b/>
          <w:bCs/>
          <w:sz w:val="21"/>
          <w:szCs w:val="21"/>
        </w:rPr>
        <w:t xml:space="preserve">GOVERN 6.1 / 6.2</w:t>
      </w:r>
      <w:r>
        <w:rPr>
          <w:rFonts w:ascii="Calibri" w:cs="Calibri" w:eastAsia="Calibri" w:hAnsi="Calibri"/>
          <w:sz w:val="21"/>
          <w:szCs w:val="21"/>
        </w:rPr>
        <w:t xml:space="preserve"> — policies for third-party AI risk, and contingency processes for failures in high-risk third-party systems.</w:t>
      </w:r>
    </w:p>
    <w:p>
      <w:pPr>
        <w:pStyle w:val="ListParagraph"/>
        <w:numPr>
          <w:ilvl w:val="0"/>
          <w:numId w:val="3"/>
        </w:numPr>
        <w:spacing w:after="60"/>
      </w:pPr>
      <w:r>
        <w:rPr>
          <w:rFonts w:ascii="Calibri" w:cs="Calibri" w:eastAsia="Calibri" w:hAnsi="Calibri"/>
          <w:b/>
          <w:bCs/>
          <w:sz w:val="21"/>
          <w:szCs w:val="21"/>
        </w:rPr>
        <w:t xml:space="preserve">MAP 4.1 / 4.2</w:t>
      </w:r>
      <w:r>
        <w:rPr>
          <w:rFonts w:ascii="Calibri" w:cs="Calibri" w:eastAsia="Calibri" w:hAnsi="Calibri"/>
          <w:sz w:val="21"/>
          <w:szCs w:val="21"/>
        </w:rPr>
        <w:t xml:space="preserve"> — mapping legal, technical, and IP risks of third-party components, and identifying internal controls.</w:t>
      </w:r>
    </w:p>
    <w:p>
      <w:pPr>
        <w:pStyle w:val="ListParagraph"/>
        <w:numPr>
          <w:ilvl w:val="0"/>
          <w:numId w:val="3"/>
        </w:numPr>
        <w:spacing w:after="60"/>
      </w:pPr>
      <w:r>
        <w:rPr>
          <w:rFonts w:ascii="Calibri" w:cs="Calibri" w:eastAsia="Calibri" w:hAnsi="Calibri"/>
          <w:b/>
          <w:bCs/>
          <w:sz w:val="21"/>
          <w:szCs w:val="21"/>
        </w:rPr>
        <w:t xml:space="preserve">MANAGE 3.1 / 3.2</w:t>
      </w:r>
      <w:r>
        <w:rPr>
          <w:rFonts w:ascii="Calibri" w:cs="Calibri" w:eastAsia="Calibri" w:hAnsi="Calibri"/>
          <w:sz w:val="21"/>
          <w:szCs w:val="21"/>
        </w:rPr>
        <w:t xml:space="preserve"> — ongoing monitoring of third-party AI risks and of pre-trained models.</w:t>
      </w:r>
    </w:p>
    <w:p>
      <w:pPr>
        <w:spacing w:after="120" w:line="276"/>
      </w:pPr>
      <w:r>
        <w:rPr>
          <w:rFonts w:ascii="Calibri" w:cs="Calibri" w:eastAsia="Calibri" w:hAnsi="Calibri"/>
          <w:sz w:val="21"/>
          <w:szCs w:val="21"/>
        </w:rPr>
        <w:t xml:space="preserve">It applies to any supplier delivering an AI model, an AI API, or a product or service in which AI materially affects outputs or decisions, including upstream foundation models embedded in the supplier's offering.</w:t>
      </w:r>
    </w:p>
    <w:p>
      <w:pPr>
        <w:pStyle w:val="Heading1"/>
      </w:pPr>
      <w:r>
        <w:rPr>
          <w:rFonts w:ascii="Calibri" w:cs="Calibri" w:eastAsia="Calibri" w:hAnsi="Calibri"/>
        </w:rPr>
        <w:t xml:space="preserve">3. Supplier risk tiering</w:t>
      </w:r>
    </w:p>
    <w:p>
      <w:pPr>
        <w:spacing w:after="120" w:line="276"/>
      </w:pPr>
      <w:r>
        <w:rPr>
          <w:rFonts w:ascii="Calibri" w:cs="Calibri" w:eastAsia="Calibri" w:hAnsi="Calibri"/>
          <w:sz w:val="21"/>
          <w:szCs w:val="21"/>
        </w:rPr>
        <w:t xml:space="preserve">Procurement assigns a tier at intake based on the intended use. Evidence requirements scale with the tier. Where a use case spans tiers, the higher tier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Tier</w:t>
            </w:r>
          </w:p>
        </w:tc>
        <w:tc>
          <w:tcPr>
            <w:tcW w:type="dxa" w:w="4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Typical use</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Evidence required (Section 5)</w:t>
            </w:r>
          </w:p>
        </w:tc>
      </w:tr>
      <w:tr>
        <w:trPr>
          <w:cantSplit/>
        </w:trPr>
        <w:tc>
          <w:tcPr>
            <w:tcW w:type="dxa" w:w="14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Low</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Internal productivity; no sensitive data; a person reviews all output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V-1, V-2, V-7, V-10</w:t>
            </w:r>
          </w:p>
        </w:tc>
      </w:tr>
      <w:tr>
        <w:trPr>
          <w:cantSplit/>
        </w:trPr>
        <w:tc>
          <w:tcPr>
            <w:tcW w:type="dxa" w:w="14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Moderate</w:t>
            </w:r>
          </w:p>
        </w:tc>
        <w:tc>
          <w:tcPr>
            <w:tcW w:type="dxa" w:w="4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Customer-facing content; internal decision support; confidential data</w:t>
            </w:r>
          </w:p>
        </w:tc>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V-1 to V-8, V-10, V-11</w:t>
            </w:r>
          </w:p>
        </w:tc>
      </w:tr>
      <w:tr>
        <w:trPr>
          <w:cantSplit/>
        </w:trPr>
        <w:tc>
          <w:tcPr>
            <w:tcW w:type="dxa" w:w="14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High</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Influences operational, safety, financial, or individual-rights decisions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V-1 to V-12, plus independent assessment</w:t>
            </w:r>
          </w:p>
        </w:tc>
      </w:tr>
      <w:tr>
        <w:trPr>
          <w:cantSplit/>
        </w:trPr>
        <w:tc>
          <w:tcPr>
            <w:tcW w:type="dxa" w:w="14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Critical</w:t>
            </w:r>
          </w:p>
        </w:tc>
        <w:tc>
          <w:tcPr>
            <w:tcW w:type="dxa" w:w="4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Autonomous or near-autonomous action on safety-relevant or critical-infrastructure systems</w:t>
            </w:r>
          </w:p>
        </w:tc>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All of the above, plus on-site or source-level audit right, joint pre-production testing, and a contractual kill switch</w:t>
            </w:r>
          </w:p>
        </w:tc>
      </w:tr>
    </w:tbl>
    <w:p>
      <w:pPr>
        <w:spacing w:after="120"/>
      </w:pPr>
    </w:p>
    <w:p>
      <w:pPr>
        <w:pStyle w:val="Heading1"/>
      </w:pPr>
      <w:r>
        <w:rPr>
          <w:rFonts w:ascii="Calibri" w:cs="Calibri" w:eastAsia="Calibri" w:hAnsi="Calibri"/>
        </w:rPr>
        <w:t xml:space="preserve">4. Contract requirements</w:t>
      </w:r>
    </w:p>
    <w:p>
      <w:pPr>
        <w:spacing w:after="120" w:line="276"/>
      </w:pPr>
      <w:r>
        <w:rPr>
          <w:rFonts w:ascii="Calibri" w:cs="Calibri" w:eastAsia="Calibri" w:hAnsi="Calibri"/>
          <w:sz w:val="21"/>
          <w:szCs w:val="21"/>
        </w:rPr>
        <w:t xml:space="preserve">The following clauses shall be included in the Master Services Agreement or an AI Addendum. Legal may adapt wording; the substance and the time periods are minimums.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5160"/>
        <w:gridCol w:w="15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ID</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Clause</w:t>
            </w:r>
          </w:p>
        </w:tc>
        <w:tc>
          <w:tcPr>
            <w:tcW w:type="dxa" w:w="5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Requirement</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RMF reference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C-1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Framework alignment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Supplier shall maintain an AI risk management program aligned to NIST AI RMF 1.0 and, for generative AI, NIST AI 600-1, and shall deliver a Current Profile and a Target Profile at contract start and annually thereafter.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GOVERN 1.1–1.5</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C-2</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Documentation</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Supplier shall provide and keep current a system or model card for each AI component delivered, covering intended use, out-of-scope use, training data provenance (at category level at minimum), evaluation results, known limitations, and residual risks.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MAP 2.2, MANAGE 1.4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C-3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Change notification</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Supplier shall give at least thirty (30) days' written notice before any material change to model version, training data, safety filters, sub-processors, or hosting region (a shorter, defined window applies to security fixes), and shall allow Customer to remain on the prior version for a defined period.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MANAGE 3.2</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C-4</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Incident notification</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Supplier shall notify Customer within seventy-two (72) hours, or twenty-four (24) hours for security incidents, of any AI incident affecting Customer, including harmful outputs, data leakage, model compromise, or significant performance degradation, and shall deliver a root-cause analysis within thirty (30) days.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MANAGE 4.3, GOVERN 6.2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C-5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Data use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Customer inputs, outputs, and fine-tuning data shall not be used to train or improve Supplier models without Customer's prior written opt-in. Retention, deletion, and data residency terms shall be stated in the Order.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MEASURE 2.10</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C-6</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Testing rights</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Customer may conduct its own evaluation and adversarial testing of the AI component. Supplier shall support such testing with a non-production environment.</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MEASURE 1.3, MEASURE 2.7</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C-7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Audit and assessment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For High and Critical tier engagements, Supplier shall submit to independent assessment on request and shall share the results of its own third-party audits and red-team exercises, redacted as reasonably necessary.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MEASURE 1.3</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C-8</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Human oversight and deactivation</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Supplier shall provide technical means for Customer to override, disable, or roll back the AI functionality without disabling the wider product or service.</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MANAGE 2.4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C-9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Intellectual property and provenance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Supplier warrants that it holds the rights to the training data and model components used, and shall indemnify Customer against third-party IP claims arising from model outputs used as intended.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GOVERN 6.1, MAP 4.1</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C-10</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Sub-processors and upstream models</w:t>
            </w:r>
          </w:p>
        </w:tc>
        <w:tc>
          <w:tcPr>
            <w:tcW w:type="dxa" w:w="5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Supplier shall disclose all upstream foundation-model providers and sub-processors and shall flow these obligations down to them.</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MANAGE 3.1</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C-11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Exit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On termination, Supplier shall return or certify deletion of Customer data, including fine-tuned weights and embeddings derived from it.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GOVERN 1.7</w:t>
            </w:r>
          </w:p>
        </w:tc>
      </w:tr>
    </w:tbl>
    <w:p>
      <w:pPr>
        <w:spacing w:after="120"/>
      </w:pPr>
    </w:p>
    <w:p>
      <w:pPr>
        <w:pStyle w:val="Heading1"/>
      </w:pPr>
      <w:r>
        <w:rPr>
          <w:rFonts w:ascii="Calibri" w:cs="Calibri" w:eastAsia="Calibri" w:hAnsi="Calibri"/>
        </w:rPr>
        <w:t xml:space="preserve">5. Evidence requirements</w:t>
      </w:r>
    </w:p>
    <w:p>
      <w:pPr>
        <w:spacing w:after="120" w:line="276"/>
      </w:pPr>
      <w:r>
        <w:rPr>
          <w:rFonts w:ascii="Calibri" w:cs="Calibri" w:eastAsia="Calibri" w:hAnsi="Calibri"/>
          <w:sz w:val="21"/>
          <w:szCs w:val="21"/>
        </w:rPr>
        <w:t xml:space="preserve">Suppliers shall provide the artifacts required for their tier with the RFP response, and refresh them annually and at renewal.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160"/>
        <w:gridCol w:w="18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ID</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Evidence</w:t>
            </w:r>
          </w:p>
        </w:tc>
        <w:tc>
          <w:tcPr>
            <w:tcW w:type="dxa" w:w="4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Acceptance criteria</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RMF reference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V-1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AI governance policy and named accountable executive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Board- or executive-approved, dated, with a defined review cycle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GOVERN 1.1–1.5, 2.3</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V-2</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System or model card for each AI component</w:t>
            </w:r>
          </w:p>
        </w:tc>
        <w:tc>
          <w:tcPr>
            <w:tcW w:type="dxa" w:w="4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Intended and prohibited uses, limits, evaluation summary, residual risk</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MAP 2.2, MANAGE 1.4</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V-3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Training and evaluation data provenance statement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Sources, licensing basis, collection dates, PII handling, known representativeness gaps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MAP 2.3, MAP 4.1</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V-4</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Evaluation report</w:t>
            </w:r>
          </w:p>
        </w:tc>
        <w:tc>
          <w:tcPr>
            <w:tcW w:type="dxa" w:w="4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Test sets, metrics, thresholds, and uncertainty under conditions close to Customer's deployment — not only public benchmarks</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MEASURE 2.1, 2.3, 2.5</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V-5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Safety and red-team report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Scope, methods, findings, and fixes. For generative AI: prompt injection, jailbreak, confabulation, harmful content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MEASURE 2.6, 2.7</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V-6</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Bias and fairness assessment</w:t>
            </w:r>
          </w:p>
        </w:tc>
        <w:tc>
          <w:tcPr>
            <w:tcW w:type="dxa" w:w="4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Disaggregated metrics for relevant groups and the mitigations applied</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MEASURE 2.11</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V-7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Security and privacy attestations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SOC 2 Type II, ISO/IEC 27001, privacy impact assessment, AI-specific threat model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MEASURE 2.7, 2.10</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V-8</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Production monitoring description</w:t>
            </w:r>
          </w:p>
        </w:tc>
        <w:tc>
          <w:tcPr>
            <w:tcW w:type="dxa" w:w="4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Drift, abuse, and quality monitoring; what is shared with customers</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MEASURE 2.4, MANAGE 4.1</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V-9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Incident response plan and AI incident history (24 months)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Severity levels, timelines, customer notification, post-mortems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MANAGE 2.3, 4.3</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V-10</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Change management and versioning policy</w:t>
            </w:r>
          </w:p>
        </w:tc>
        <w:tc>
          <w:tcPr>
            <w:tcW w:type="dxa" w:w="4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Version pinning, deprecation schedule, advance notice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MANAGE 3.2, 4.2</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V-11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Upstream model and data dependency list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Named providers and versions; how Supplier monitors them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GOVERN 6.1, MANAGE 3.1</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V-12</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Independent assurance</w:t>
            </w:r>
          </w:p>
        </w:tc>
        <w:tc>
          <w:tcPr>
            <w:tcW w:type="dxa" w:w="4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ISO/IEC 42001 certificate with scope statement, or a third-party AI audit report</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MEASURE 1.3</w:t>
            </w:r>
          </w:p>
        </w:tc>
      </w:tr>
    </w:tbl>
    <w:p>
      <w:pPr>
        <w:spacing w:after="120"/>
      </w:pPr>
    </w:p>
    <w:p>
      <w:pPr>
        <w:spacing w:after="120" w:line="276"/>
      </w:pPr>
      <w:r>
        <w:rPr>
          <w:rFonts w:ascii="Calibri" w:cs="Calibri" w:eastAsia="Calibri" w:hAnsi="Calibri"/>
          <w:b/>
          <w:bCs/>
          <w:sz w:val="21"/>
          <w:szCs w:val="21"/>
        </w:rPr>
        <w:t xml:space="preserve">Note on ISO/IEC 42001. </w:t>
      </w:r>
      <w:r>
        <w:rPr>
          <w:rFonts w:ascii="Calibri" w:cs="Calibri" w:eastAsia="Calibri" w:hAnsi="Calibri"/>
          <w:sz w:val="21"/>
          <w:szCs w:val="21"/>
        </w:rPr>
        <w:t xml:space="preserve">ISO/IEC 42001 is the closest certifiable proxy for AI RMF conformance; NIST publishes a crosswalk between the two. Procurement shall check the certificate's scope statement. A certificate that covers one business unit does not cover the product being purchased.</w:t>
      </w:r>
    </w:p>
    <w:p>
      <w:r>
        <w:br w:type="page"/>
      </w:r>
    </w:p>
    <w:p>
      <w:pPr>
        <w:pStyle w:val="Heading1"/>
      </w:pPr>
      <w:r>
        <w:rPr>
          <w:rFonts w:ascii="Calibri" w:cs="Calibri" w:eastAsia="Calibri" w:hAnsi="Calibri"/>
        </w:rPr>
        <w:t xml:space="preserve">6. Supplier questionnaire</w:t>
      </w:r>
    </w:p>
    <w:p>
      <w:pPr>
        <w:spacing w:after="120" w:line="276"/>
      </w:pPr>
      <w:r>
        <w:rPr>
          <w:rFonts w:ascii="Calibri" w:cs="Calibri" w:eastAsia="Calibri" w:hAnsi="Calibri"/>
          <w:b/>
          <w:bCs/>
          <w:sz w:val="21"/>
          <w:szCs w:val="21"/>
        </w:rPr>
        <w:t xml:space="preserve">Instructions to suppliers: </w:t>
      </w:r>
      <w:r>
        <w:rPr>
          <w:rFonts w:ascii="Calibri" w:cs="Calibri" w:eastAsia="Calibri" w:hAnsi="Calibri"/>
          <w:sz w:val="21"/>
          <w:szCs w:val="21"/>
        </w:rPr>
        <w:t xml:space="preserve">Answer every question and reference the supporting evidence (V-1 to V-12 or other attached document). An answer without supporting evidence scores zero. Mark "Not applicable" only with a reason.</w:t>
      </w:r>
    </w:p>
    <w:p>
      <w:pPr>
        <w:pStyle w:val="Heading2"/>
      </w:pPr>
      <w:r>
        <w:rPr>
          <w:rFonts w:ascii="Calibri" w:cs="Calibri" w:eastAsia="Calibri" w:hAnsi="Calibri"/>
        </w:rPr>
        <w:t xml:space="preserve">6.1 Govern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300"/>
        <w:gridCol w:w="2560"/>
        <w:gridCol w:w="13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ID</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Question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RMF ref</w:t>
            </w:r>
          </w:p>
        </w:tc>
        <w:tc>
          <w:tcPr>
            <w:tcW w:type="dxa" w:w="2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Supplier response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Evidence ref</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Q1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Who is the accountable executive for AI risk? Attach the governance policy and its last review date.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GOVERN 2.3</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Q2</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Have you completed a NIST AI RMF Current Profile? Provide it and your Target Profile with dates.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GOVERN 1.4</w:t>
            </w:r>
          </w:p>
        </w:tc>
        <w:tc>
          <w:tcPr>
            <w:tcW w:type="dxa" w:w="2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Q3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How do you train staff and contractors on AI risk?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GOVERN 2.2</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Q4</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How do you manage risk from upstream model providers and data suppliers?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GOVERN 6.1</w:t>
            </w:r>
          </w:p>
        </w:tc>
        <w:tc>
          <w:tcPr>
            <w:tcW w:type="dxa" w:w="2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bl>
    <w:p>
      <w:pPr>
        <w:spacing w:after="120"/>
      </w:pPr>
    </w:p>
    <w:p>
      <w:pPr>
        <w:pStyle w:val="Heading2"/>
      </w:pPr>
      <w:r>
        <w:rPr>
          <w:rFonts w:ascii="Calibri" w:cs="Calibri" w:eastAsia="Calibri" w:hAnsi="Calibri"/>
        </w:rPr>
        <w:t xml:space="preserve">6.2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300"/>
        <w:gridCol w:w="2560"/>
        <w:gridCol w:w="13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ID</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Question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RMF ref</w:t>
            </w:r>
          </w:p>
        </w:tc>
        <w:tc>
          <w:tcPr>
            <w:tcW w:type="dxa" w:w="2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Supplier response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Evidence ref</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Q5</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What are the intended uses and the explicitly prohibited uses of the AI component?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MAP 1.1, 3.3</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Q6</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What are its known knowledge limits and failure modes? How should human operators check outputs?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MAP 2.2</w:t>
            </w:r>
          </w:p>
        </w:tc>
        <w:tc>
          <w:tcPr>
            <w:tcW w:type="dxa" w:w="2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Q7</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What data was the model trained and fine-tuned on? What rights do you hold to it?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MAP 4.1</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Q8</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Which of our use cases did you assess for impact, and what did you find?</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MAP 5.1</w:t>
            </w:r>
          </w:p>
        </w:tc>
        <w:tc>
          <w:tcPr>
            <w:tcW w:type="dxa" w:w="2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bl>
    <w:p>
      <w:pPr>
        <w:spacing w:after="120"/>
      </w:pPr>
    </w:p>
    <w:p>
      <w:pPr>
        <w:pStyle w:val="Heading2"/>
      </w:pPr>
      <w:r>
        <w:rPr>
          <w:rFonts w:ascii="Calibri" w:cs="Calibri" w:eastAsia="Calibri" w:hAnsi="Calibri"/>
        </w:rPr>
        <w:t xml:space="preserve">6.3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300"/>
        <w:gridCol w:w="2560"/>
        <w:gridCol w:w="13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ID</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Question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RMF ref</w:t>
            </w:r>
          </w:p>
        </w:tc>
        <w:tc>
          <w:tcPr>
            <w:tcW w:type="dxa" w:w="2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Supplier response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Evidence ref</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Q9</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Provide evaluation results on data representative of our deployment conditions, with error bars or variance.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MEASURE 2.3</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Q10</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Describe your last red-team exercise: who ran it, scope, critical findings, and fix status.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MEASURE 2.7</w:t>
            </w:r>
          </w:p>
        </w:tc>
        <w:tc>
          <w:tcPr>
            <w:tcW w:type="dxa" w:w="2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Q11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What is the measured hallucination or confabulation rate, and how was it measured?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MEASURE 2.5</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Q12</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How do you test for prompt injection and data exfiltration through tools or retrieval?</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MEASURE 2.7</w:t>
            </w:r>
          </w:p>
        </w:tc>
        <w:tc>
          <w:tcPr>
            <w:tcW w:type="dxa" w:w="2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Q13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Which trustworthiness characteristics do you not test, and why?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MEASURE 1.1</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Q14</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Are evaluations reviewed by people independent of the development team?</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MEASURE 1.3</w:t>
            </w:r>
          </w:p>
        </w:tc>
        <w:tc>
          <w:tcPr>
            <w:tcW w:type="dxa" w:w="2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bl>
    <w:p>
      <w:pPr>
        <w:spacing w:after="120"/>
      </w:pPr>
    </w:p>
    <w:p>
      <w:pPr>
        <w:pStyle w:val="Heading2"/>
      </w:pPr>
      <w:r>
        <w:rPr>
          <w:rFonts w:ascii="Calibri" w:cs="Calibri" w:eastAsia="Calibri" w:hAnsi="Calibri"/>
        </w:rPr>
        <w:t xml:space="preserve">6.4 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300"/>
        <w:gridCol w:w="2560"/>
        <w:gridCol w:w="13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ID</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Question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RMF ref</w:t>
            </w:r>
          </w:p>
        </w:tc>
        <w:tc>
          <w:tcPr>
            <w:tcW w:type="dxa" w:w="2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Supplier response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Evidence ref</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Q15</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How do you monitor model behavior in production, and what do customers see?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MANAGE 4.1</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Q16</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How much notice do you give before model version changes? Can we pin a version?</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MANAGE 3.2</w:t>
            </w:r>
          </w:p>
        </w:tc>
        <w:tc>
          <w:tcPr>
            <w:tcW w:type="dxa" w:w="2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Q17</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How can we disable or roll back the AI feature without losing the rest of the product?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MANAGE 2.4</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Q18</w:t>
            </w:r>
          </w:p>
        </w:tc>
        <w:tc>
          <w:tcPr>
            <w:tcW w:type="dxa" w:w="3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List AI incidents in the past 24 months, how customers were notified, and what changed.</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MANAGE 4.3</w:t>
            </w:r>
          </w:p>
        </w:tc>
        <w:tc>
          <w:tcPr>
            <w:tcW w:type="dxa" w:w="2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8"/>
                <w:szCs w:val="18"/>
              </w:rPr>
              <w:t xml:space="preserve">Q19</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What residual risks remain that we, as the deployer, must manage?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MANAGE 1.4</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bl>
    <w:p>
      <w:pPr>
        <w:spacing w:after="120"/>
      </w:pPr>
    </w:p>
    <w:p>
      <w:pPr>
        <w:pStyle w:val="Heading1"/>
      </w:pPr>
      <w:r>
        <w:rPr>
          <w:rFonts w:ascii="Calibri" w:cs="Calibri" w:eastAsia="Calibri" w:hAnsi="Calibri"/>
        </w:rPr>
        <w:t xml:space="preserve">7. Evaluation and scoring</w:t>
      </w:r>
    </w:p>
    <w:p>
      <w:pPr>
        <w:spacing w:after="120" w:line="276"/>
      </w:pPr>
      <w:r>
        <w:rPr>
          <w:rFonts w:ascii="Calibri" w:cs="Calibri" w:eastAsia="Calibri" w:hAnsi="Calibri"/>
          <w:sz w:val="21"/>
          <w:szCs w:val="21"/>
        </w:rPr>
        <w:t xml:space="preserve">Evaluators score each RMF function (Govern, Map, Measure, Manage) from 0 to 3 based on the questionnaire and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Score</w:t>
            </w:r>
          </w:p>
        </w:tc>
        <w:tc>
          <w:tcPr>
            <w:tcW w:type="dxa" w:w="8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Meaning</w:t>
            </w:r>
          </w:p>
        </w:tc>
      </w:tr>
      <w:tr>
        <w:trPr>
          <w:cantSplit/>
        </w:trPr>
        <w:tc>
          <w:tcPr>
            <w:tcW w:type="dxa" w:w="12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0</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No answer, or a claim without evidence</w:t>
            </w:r>
          </w:p>
        </w:tc>
      </w:tr>
      <w:tr>
        <w:trPr>
          <w:cantSplit/>
        </w:trPr>
        <w:tc>
          <w:tcPr>
            <w:tcW w:type="dxa" w:w="12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1</w:t>
            </w:r>
          </w:p>
        </w:tc>
        <w:tc>
          <w:tcPr>
            <w:tcW w:type="dxa" w:w="8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Policy exists; no operating evidence</w:t>
            </w:r>
          </w:p>
        </w:tc>
      </w:tr>
      <w:tr>
        <w:trPr>
          <w:cantSplit/>
        </w:trPr>
        <w:tc>
          <w:tcPr>
            <w:tcW w:type="dxa" w:w="12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2</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Operating evidence provided; gaps noted</w:t>
            </w:r>
          </w:p>
        </w:tc>
      </w:tr>
      <w:tr>
        <w:trPr>
          <w:cantSplit/>
        </w:trPr>
        <w:tc>
          <w:tcPr>
            <w:tcW w:type="dxa" w:w="12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3</w:t>
            </w:r>
          </w:p>
        </w:tc>
        <w:tc>
          <w:tcPr>
            <w:tcW w:type="dxa" w:w="8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Operating evidence plus independent verification</w:t>
            </w:r>
          </w:p>
        </w:tc>
      </w:tr>
    </w:tbl>
    <w:p>
      <w:pPr>
        <w:spacing w:after="120"/>
      </w:pPr>
    </w:p>
    <w:p>
      <w:pPr>
        <w:pStyle w:val="Heading2"/>
      </w:pPr>
      <w:r>
        <w:rPr>
          <w:rFonts w:ascii="Calibri" w:cs="Calibri" w:eastAsia="Calibri" w:hAnsi="Calibri"/>
        </w:rPr>
        <w:t xml:space="preserve">7.1 Minimum thresholds</w:t>
      </w:r>
    </w:p>
    <w:p>
      <w:pPr>
        <w:pStyle w:val="ListParagraph"/>
        <w:numPr>
          <w:ilvl w:val="0"/>
          <w:numId w:val="3"/>
        </w:numPr>
        <w:spacing w:after="60"/>
      </w:pPr>
      <w:r>
        <w:rPr>
          <w:rFonts w:ascii="Calibri" w:cs="Calibri" w:eastAsia="Calibri" w:hAnsi="Calibri"/>
          <w:b/>
          <w:bCs/>
          <w:sz w:val="21"/>
          <w:szCs w:val="21"/>
        </w:rPr>
        <w:t xml:space="preserve">Low tier: </w:t>
      </w:r>
      <w:r>
        <w:rPr>
          <w:rFonts w:ascii="Calibri" w:cs="Calibri" w:eastAsia="Calibri" w:hAnsi="Calibri"/>
          <w:sz w:val="21"/>
          <w:szCs w:val="21"/>
        </w:rPr>
        <w:t xml:space="preserve">minimum 1 in every function.</w:t>
      </w:r>
    </w:p>
    <w:p>
      <w:pPr>
        <w:pStyle w:val="ListParagraph"/>
        <w:numPr>
          <w:ilvl w:val="0"/>
          <w:numId w:val="3"/>
        </w:numPr>
        <w:spacing w:after="60"/>
      </w:pPr>
      <w:r>
        <w:rPr>
          <w:rFonts w:ascii="Calibri" w:cs="Calibri" w:eastAsia="Calibri" w:hAnsi="Calibri"/>
          <w:b/>
          <w:bCs/>
          <w:sz w:val="21"/>
          <w:szCs w:val="21"/>
        </w:rPr>
        <w:t xml:space="preserve">Moderate tier: </w:t>
      </w:r>
      <w:r>
        <w:rPr>
          <w:rFonts w:ascii="Calibri" w:cs="Calibri" w:eastAsia="Calibri" w:hAnsi="Calibri"/>
          <w:sz w:val="21"/>
          <w:szCs w:val="21"/>
        </w:rPr>
        <w:t xml:space="preserve">minimum 2 in every function.</w:t>
      </w:r>
    </w:p>
    <w:p>
      <w:pPr>
        <w:pStyle w:val="ListParagraph"/>
        <w:numPr>
          <w:ilvl w:val="0"/>
          <w:numId w:val="3"/>
        </w:numPr>
        <w:spacing w:after="60"/>
      </w:pPr>
      <w:r>
        <w:rPr>
          <w:rFonts w:ascii="Calibri" w:cs="Calibri" w:eastAsia="Calibri" w:hAnsi="Calibri"/>
          <w:b/>
          <w:bCs/>
          <w:sz w:val="21"/>
          <w:szCs w:val="21"/>
        </w:rPr>
        <w:t xml:space="preserve">High and Critical tiers: </w:t>
      </w:r>
      <w:r>
        <w:rPr>
          <w:rFonts w:ascii="Calibri" w:cs="Calibri" w:eastAsia="Calibri" w:hAnsi="Calibri"/>
          <w:sz w:val="21"/>
          <w:szCs w:val="21"/>
        </w:rPr>
        <w:t xml:space="preserve">minimum 2 in every function and 3 in Measure and Manage.</w:t>
      </w:r>
    </w:p>
    <w:p>
      <w:pPr>
        <w:spacing w:after="120" w:line="276"/>
      </w:pPr>
      <w:r>
        <w:rPr>
          <w:rFonts w:ascii="Calibri" w:cs="Calibri" w:eastAsia="Calibri" w:hAnsi="Calibri"/>
          <w:sz w:val="21"/>
          <w:szCs w:val="21"/>
        </w:rPr>
        <w:t xml:space="preserve">A score of 0 in any function for a High or Critical engagement is a no-go, unless the gap is closed by contract and by a compensating control on Customer's side, recorded as an accepted risk with a named owner and review date.</w:t>
      </w:r>
    </w:p>
    <w:p>
      <w:pPr>
        <w:pStyle w:val="Heading2"/>
      </w:pPr>
      <w:r>
        <w:rPr>
          <w:rFonts w:ascii="Calibri" w:cs="Calibri" w:eastAsia="Calibri" w:hAnsi="Calibri"/>
        </w:rPr>
        <w:t xml:space="preserve">7.2 Scoring summary (evaluator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Function</w:t>
            </w:r>
          </w:p>
        </w:tc>
        <w:tc>
          <w:tcPr>
            <w:tcW w:type="dxa" w:w="23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Score (0–3)</w:t>
            </w:r>
          </w:p>
        </w:tc>
        <w:tc>
          <w:tcPr>
            <w:tcW w:type="dxa" w:w="23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Threshold met?</w:t>
            </w:r>
          </w:p>
        </w:tc>
        <w:tc>
          <w:tcPr>
            <w:tcW w:type="dxa" w:w="23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Evaluator notes</w:t>
            </w:r>
          </w:p>
        </w:tc>
      </w:tr>
      <w:tr>
        <w:trPr>
          <w:cantSplit/>
        </w:trPr>
        <w:tc>
          <w:tcPr>
            <w:tcW w:type="dxa" w:w="234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Govern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234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Map</w:t>
            </w:r>
          </w:p>
        </w:tc>
        <w:tc>
          <w:tcPr>
            <w:tcW w:type="dxa" w:w="2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2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2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234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Measure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234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Manage</w:t>
            </w:r>
          </w:p>
        </w:tc>
        <w:tc>
          <w:tcPr>
            <w:tcW w:type="dxa" w:w="2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2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c>
          <w:tcPr>
            <w:tcW w:type="dxa" w:w="2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bl>
    <w:p>
      <w:pPr>
        <w:spacing w:after="120"/>
      </w:pPr>
    </w:p>
    <w:p>
      <w:pPr>
        <w:pStyle w:val="Heading2"/>
      </w:pPr>
      <w:r>
        <w:rPr>
          <w:rFonts w:ascii="Calibri" w:cs="Calibri" w:eastAsia="Calibri" w:hAnsi="Calibri"/>
        </w:rPr>
        <w:t xml:space="preserve">7.3 Red flags</w:t>
      </w:r>
    </w:p>
    <w:p>
      <w:pPr>
        <w:spacing w:after="120" w:line="276"/>
      </w:pPr>
      <w:r>
        <w:rPr>
          <w:rFonts w:ascii="Calibri" w:cs="Calibri" w:eastAsia="Calibri" w:hAnsi="Calibri"/>
          <w:sz w:val="21"/>
          <w:szCs w:val="21"/>
        </w:rPr>
        <w:t xml:space="preserve">Any of the following requires escalation to the AI Governance lead before award:</w:t>
      </w:r>
    </w:p>
    <w:p>
      <w:pPr>
        <w:pStyle w:val="ListParagraph"/>
        <w:numPr>
          <w:ilvl w:val="0"/>
          <w:numId w:val="3"/>
        </w:numPr>
        <w:spacing w:after="60"/>
      </w:pPr>
      <w:r>
        <w:rPr>
          <w:rFonts w:ascii="Calibri" w:cs="Calibri" w:eastAsia="Calibri" w:hAnsi="Calibri"/>
          <w:sz w:val="21"/>
          <w:szCs w:val="21"/>
        </w:rPr>
        <w:t xml:space="preserve">"We comply with NIST AI RMF" with no Current Profile.</w:t>
      </w:r>
    </w:p>
    <w:p>
      <w:pPr>
        <w:pStyle w:val="ListParagraph"/>
        <w:numPr>
          <w:ilvl w:val="0"/>
          <w:numId w:val="3"/>
        </w:numPr>
        <w:spacing w:after="60"/>
      </w:pPr>
      <w:r>
        <w:rPr>
          <w:rFonts w:ascii="Calibri" w:cs="Calibri" w:eastAsia="Calibri" w:hAnsi="Calibri"/>
          <w:sz w:val="21"/>
          <w:szCs w:val="21"/>
        </w:rPr>
        <w:t xml:space="preserve">Only public benchmark scores; no evaluation in conditions like ours.</w:t>
      </w:r>
    </w:p>
    <w:p>
      <w:pPr>
        <w:pStyle w:val="ListParagraph"/>
        <w:numPr>
          <w:ilvl w:val="0"/>
          <w:numId w:val="3"/>
        </w:numPr>
        <w:spacing w:after="60"/>
      </w:pPr>
      <w:r>
        <w:rPr>
          <w:rFonts w:ascii="Calibri" w:cs="Calibri" w:eastAsia="Calibri" w:hAnsi="Calibri"/>
          <w:sz w:val="21"/>
          <w:szCs w:val="21"/>
        </w:rPr>
        <w:t xml:space="preserve">Refusal to disclose the upstream foundation model.</w:t>
      </w:r>
    </w:p>
    <w:p>
      <w:pPr>
        <w:pStyle w:val="ListParagraph"/>
        <w:numPr>
          <w:ilvl w:val="0"/>
          <w:numId w:val="3"/>
        </w:numPr>
        <w:spacing w:after="60"/>
      </w:pPr>
      <w:r>
        <w:rPr>
          <w:rFonts w:ascii="Calibri" w:cs="Calibri" w:eastAsia="Calibri" w:hAnsi="Calibri"/>
          <w:sz w:val="21"/>
          <w:szCs w:val="21"/>
        </w:rPr>
        <w:t xml:space="preserve">No version pinning; model updates pushed without notice.</w:t>
      </w:r>
    </w:p>
    <w:p>
      <w:pPr>
        <w:pStyle w:val="ListParagraph"/>
        <w:numPr>
          <w:ilvl w:val="0"/>
          <w:numId w:val="3"/>
        </w:numPr>
        <w:spacing w:after="60"/>
      </w:pPr>
      <w:r>
        <w:rPr>
          <w:rFonts w:ascii="Calibri" w:cs="Calibri" w:eastAsia="Calibri" w:hAnsi="Calibri"/>
          <w:sz w:val="21"/>
          <w:szCs w:val="21"/>
        </w:rPr>
        <w:t xml:space="preserve">Customer data used for training by default (opt-out rather than opt-in).</w:t>
      </w:r>
    </w:p>
    <w:p>
      <w:pPr>
        <w:pStyle w:val="ListParagraph"/>
        <w:numPr>
          <w:ilvl w:val="0"/>
          <w:numId w:val="3"/>
        </w:numPr>
        <w:spacing w:after="60"/>
      </w:pPr>
      <w:r>
        <w:rPr>
          <w:rFonts w:ascii="Calibri" w:cs="Calibri" w:eastAsia="Calibri" w:hAnsi="Calibri"/>
          <w:sz w:val="21"/>
          <w:szCs w:val="21"/>
        </w:rPr>
        <w:t xml:space="preserve">No way to disable the AI feature independently of the product.</w:t>
      </w:r>
    </w:p>
    <w:p>
      <w:pPr>
        <w:pStyle w:val="ListParagraph"/>
        <w:numPr>
          <w:ilvl w:val="0"/>
          <w:numId w:val="3"/>
        </w:numPr>
        <w:spacing w:after="60"/>
      </w:pPr>
      <w:r>
        <w:rPr>
          <w:rFonts w:ascii="Calibri" w:cs="Calibri" w:eastAsia="Calibri" w:hAnsi="Calibri"/>
          <w:sz w:val="21"/>
          <w:szCs w:val="21"/>
        </w:rPr>
        <w:t xml:space="preserve">No AI incidents ever reported — this usually means no detection, not no incidents.</w:t>
      </w:r>
    </w:p>
    <w:p>
      <w:pPr>
        <w:pStyle w:val="Heading1"/>
      </w:pPr>
      <w:r>
        <w:rPr>
          <w:rFonts w:ascii="Calibri" w:cs="Calibri" w:eastAsia="Calibri" w:hAnsi="Calibri"/>
        </w:rPr>
        <w:t xml:space="preserve">8. Post-award obligations</w:t>
      </w:r>
    </w:p>
    <w:p>
      <w:pPr>
        <w:pStyle w:val="ListParagraph"/>
        <w:numPr>
          <w:ilvl w:val="0"/>
          <w:numId w:val="3"/>
        </w:numPr>
        <w:spacing w:after="60"/>
      </w:pPr>
      <w:r>
        <w:rPr>
          <w:rFonts w:ascii="Calibri" w:cs="Calibri" w:eastAsia="Calibri" w:hAnsi="Calibri"/>
          <w:sz w:val="21"/>
          <w:szCs w:val="21"/>
        </w:rPr>
        <w:t xml:space="preserve">Supplier evidence is stored in the AI system's risk file with expiry dates tracked.</w:t>
      </w:r>
    </w:p>
    <w:p>
      <w:pPr>
        <w:pStyle w:val="ListParagraph"/>
        <w:numPr>
          <w:ilvl w:val="0"/>
          <w:numId w:val="3"/>
        </w:numPr>
        <w:spacing w:after="60"/>
      </w:pPr>
      <w:r>
        <w:rPr>
          <w:rFonts w:ascii="Calibri" w:cs="Calibri" w:eastAsia="Calibri" w:hAnsi="Calibri"/>
          <w:sz w:val="21"/>
          <w:szCs w:val="21"/>
        </w:rPr>
        <w:t xml:space="preserve">Customer re-runs its acceptance evaluations on every supplier model version change (MANAGE 3.2).</w:t>
      </w:r>
    </w:p>
    <w:p>
      <w:pPr>
        <w:pStyle w:val="ListParagraph"/>
        <w:numPr>
          <w:ilvl w:val="0"/>
          <w:numId w:val="3"/>
        </w:numPr>
        <w:spacing w:after="60"/>
      </w:pPr>
      <w:r>
        <w:rPr>
          <w:rFonts w:ascii="Calibri" w:cs="Calibri" w:eastAsia="Calibri" w:hAnsi="Calibri"/>
          <w:sz w:val="21"/>
          <w:szCs w:val="21"/>
        </w:rPr>
        <w:t xml:space="preserve">V-2, V-4, V-5, and V-9 are re-collected annually and at renewal.</w:t>
      </w:r>
    </w:p>
    <w:p>
      <w:pPr>
        <w:pStyle w:val="ListParagraph"/>
        <w:numPr>
          <w:ilvl w:val="0"/>
          <w:numId w:val="3"/>
        </w:numPr>
        <w:spacing w:after="60"/>
      </w:pPr>
      <w:r>
        <w:rPr>
          <w:rFonts w:ascii="Calibri" w:cs="Calibri" w:eastAsia="Calibri" w:hAnsi="Calibri"/>
          <w:sz w:val="21"/>
          <w:szCs w:val="21"/>
        </w:rPr>
        <w:t xml:space="preserve">Supplier incidents are entered in Customer's AI risk register and incident process (GOVERN 6.2, MANAGE 4.3).</w:t>
      </w:r>
    </w:p>
    <w:p>
      <w:pPr>
        <w:pStyle w:val="ListParagraph"/>
        <w:numPr>
          <w:ilvl w:val="0"/>
          <w:numId w:val="3"/>
        </w:numPr>
        <w:spacing w:after="60"/>
      </w:pPr>
      <w:r>
        <w:rPr>
          <w:rFonts w:ascii="Calibri" w:cs="Calibri" w:eastAsia="Calibri" w:hAnsi="Calibri"/>
          <w:sz w:val="21"/>
          <w:szCs w:val="21"/>
        </w:rPr>
        <w:t xml:space="preserve">Supplier's Target Profile progress is reviewed at each annual business review.</w:t>
      </w:r>
    </w:p>
    <w:p>
      <w:pPr>
        <w:pStyle w:val="Heading1"/>
      </w:pPr>
      <w:r>
        <w:rPr>
          <w:rFonts w:ascii="Calibri" w:cs="Calibri" w:eastAsia="Calibri" w:hAnsi="Calibri"/>
        </w:rPr>
        <w:t xml:space="preserve">9. Supplier attestation</w:t>
      </w:r>
    </w:p>
    <w:p>
      <w:pPr>
        <w:spacing w:after="120" w:line="276"/>
      </w:pPr>
      <w:r>
        <w:rPr>
          <w:rFonts w:ascii="Calibri" w:cs="Calibri" w:eastAsia="Calibri" w:hAnsi="Calibri"/>
          <w:sz w:val="21"/>
          <w:szCs w:val="21"/>
        </w:rPr>
        <w:t xml:space="preserve">The undersigned, authorized to bind the Supplier, attests that the questionnaire responses and evidence provided are accurate and complete to the best of the Supplier's knowledge, and that the Supplier will notify Customer of any material change.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Entry</w:t>
            </w:r>
          </w:p>
        </w:tc>
      </w:tr>
      <w:tr>
        <w:trPr>
          <w:cantSplit/>
        </w:trPr>
        <w:tc>
          <w:tcPr>
            <w:tcW w:type="dxa" w:w="26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Supplier name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26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AI product / service</w:t>
            </w:r>
          </w:p>
        </w:tc>
        <w:tc>
          <w:tcPr>
            <w:tcW w:type="dxa" w:w="6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26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Signatory name and title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26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Signature</w:t>
            </w:r>
          </w:p>
        </w:tc>
        <w:tc>
          <w:tcPr>
            <w:tcW w:type="dxa" w:w="67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r>
        <w:trPr>
          <w:cantSplit/>
        </w:trPr>
        <w:tc>
          <w:tcPr>
            <w:tcW w:type="dxa" w:w="2600"/>
            <w:tcBorders>
              <w:top w:val="single" w:color="BFBFBF" w:sz="4"/>
              <w:left w:val="single" w:color="BFBFBF" w:sz="4"/>
              <w:bottom w:val="single" w:color="BFBFBF" w:sz="4"/>
              <w:right w:val="single" w:color="BFBFBF" w:sz="4"/>
            </w:tcBorders>
            <w:shd w:fill="DCE3EF" w:color="auto" w:val="clear"/>
            <w:tcMar>
              <w:top w:type="dxa" w:w="60"/>
              <w:left w:type="dxa" w:w="100"/>
              <w:bottom w:type="dxa" w:w="60"/>
              <w:right w:type="dxa" w:w="100"/>
            </w:tcMar>
          </w:tcPr>
          <w:p>
            <w:pPr>
              <w:spacing w:after="40"/>
            </w:pPr>
            <w:r>
              <w:rPr>
                <w:rFonts w:ascii="Calibri" w:cs="Calibri" w:eastAsia="Calibri" w:hAnsi="Calibri"/>
                <w:b/>
                <w:bCs/>
                <w:sz w:val="18"/>
                <w:szCs w:val="18"/>
              </w:rPr>
              <w:t xml:space="preserve">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8"/>
                <w:szCs w:val="18"/>
              </w:rPr>
              <w:t xml:space="preserve"/>
            </w:r>
          </w:p>
        </w:tc>
      </w:tr>
    </w:tbl>
    <w:p>
      <w:pPr>
        <w:spacing w:after="120"/>
      </w:pPr>
    </w:p>
    <w:p>
      <w:pPr>
        <w:pStyle w:val="Heading1"/>
      </w:pPr>
      <w:r>
        <w:rPr>
          <w:rFonts w:ascii="Calibri" w:cs="Calibri" w:eastAsia="Calibri" w:hAnsi="Calibri"/>
        </w:rPr>
        <w:t xml:space="preserve">Appendix A. References</w:t>
      </w:r>
    </w:p>
    <w:p>
      <w:pPr>
        <w:pStyle w:val="ListParagraph"/>
        <w:numPr>
          <w:ilvl w:val="0"/>
          <w:numId w:val="3"/>
        </w:numPr>
        <w:spacing w:after="60"/>
      </w:pPr>
      <w:r>
        <w:rPr>
          <w:rFonts w:ascii="Calibri" w:cs="Calibri" w:eastAsia="Calibri" w:hAnsi="Calibri"/>
          <w:sz w:val="21"/>
          <w:szCs w:val="21"/>
        </w:rPr>
        <w:t xml:space="preserve">NIST AI 100-1, Artificial Intelligence Risk Management Framework (AI RMF 1.0), January 2023.</w:t>
      </w:r>
    </w:p>
    <w:p>
      <w:pPr>
        <w:pStyle w:val="ListParagraph"/>
        <w:numPr>
          <w:ilvl w:val="0"/>
          <w:numId w:val="3"/>
        </w:numPr>
        <w:spacing w:after="60"/>
      </w:pPr>
      <w:r>
        <w:rPr>
          <w:rFonts w:ascii="Calibri" w:cs="Calibri" w:eastAsia="Calibri" w:hAnsi="Calibri"/>
          <w:sz w:val="21"/>
          <w:szCs w:val="21"/>
        </w:rPr>
        <w:t xml:space="preserve">NIST AI 600-1, Artificial Intelligence Risk Management Framework: Generative Artificial Intelligence Profile, July 2024.</w:t>
      </w:r>
    </w:p>
    <w:p>
      <w:pPr>
        <w:pStyle w:val="ListParagraph"/>
        <w:numPr>
          <w:ilvl w:val="0"/>
          <w:numId w:val="3"/>
        </w:numPr>
        <w:spacing w:after="60"/>
      </w:pPr>
      <w:r>
        <w:rPr>
          <w:rFonts w:ascii="Calibri" w:cs="Calibri" w:eastAsia="Calibri" w:hAnsi="Calibri"/>
          <w:sz w:val="21"/>
          <w:szCs w:val="21"/>
        </w:rPr>
        <w:t xml:space="preserve">NIST AI RMF Playbook.</w:t>
      </w:r>
    </w:p>
    <w:p>
      <w:pPr>
        <w:pStyle w:val="ListParagraph"/>
        <w:numPr>
          <w:ilvl w:val="0"/>
          <w:numId w:val="3"/>
        </w:numPr>
        <w:spacing w:after="60"/>
      </w:pPr>
      <w:r>
        <w:rPr>
          <w:rFonts w:ascii="Calibri" w:cs="Calibri" w:eastAsia="Calibri" w:hAnsi="Calibri"/>
          <w:sz w:val="21"/>
          <w:szCs w:val="21"/>
        </w:rPr>
        <w:t xml:space="preserve">ISO/IEC 42001:2023, Information technology — Artificial intelligence — Management system.</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AI Risk Management Requirements for Suppliers  |  NIST AI RMF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Risk Management Requirements for Suppliers</dc:title>
  <dc:creator>AI Governance</dc:creator>
  <cp:lastModifiedBy>Un-named</cp:lastModifiedBy>
  <cp:revision>1</cp:revision>
  <dcterms:created xsi:type="dcterms:W3CDTF">2026-10-05T23:49:03.145Z</dcterms:created>
  <dcterms:modified xsi:type="dcterms:W3CDTF">2026-10-05T23:49:03.155Z</dcterms:modified>
</cp:coreProperties>
</file>

<file path=docProps/custom.xml><?xml version="1.0" encoding="utf-8"?>
<Properties xmlns="http://schemas.openxmlformats.org/officeDocument/2006/custom-properties" xmlns:vt="http://schemas.openxmlformats.org/officeDocument/2006/docPropsVTypes"/>
</file>