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EXECUTIVE PROPOSAL</w:t>
      </w:r>
    </w:p>
    <w:p>
      <w:pPr>
        <w:spacing w:after="200"/>
      </w:pPr>
      <w:r>
        <w:rPr>
          <w:b/>
          <w:color w:val="1F3A5F"/>
          <w:sz w:val="56"/>
        </w:rPr>
        <w:t>Board Proposal: Enterprise AI Customer Support Pilot &amp; Phased Expansion</w:t>
      </w:r>
    </w:p>
    <w:p>
      <w:r>
        <w:rPr>
          <w:i/>
          <w:color w:val="595959"/>
          <w:sz w:val="26"/>
        </w:rPr>
        <w:t>Provide a clear, realistic strategy to deploy AI customer support within a $20k initial budget while establishing a roadmap to reach 24/7 multilingual coverage.</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Board of Directors and Executive Leadership</w:t>
            </w:r>
          </w:p>
        </w:tc>
      </w:tr>
      <w:tr>
        <w:tc>
          <w:tcPr>
            <w:tcW w:type="dxa" w:w="2551"/>
            <w:shd w:val="clear" w:color="auto" w:fill="E8EEF6"/>
          </w:tcPr>
          <w:p>
            <w:r>
              <w:rPr>
                <w:b/>
                <w:color w:val="1F3A5F"/>
                <w:sz w:val="20"/>
              </w:rPr>
              <w:t>Document type</w:t>
            </w:r>
          </w:p>
        </w:tc>
        <w:tc>
          <w:tcPr>
            <w:tcW w:type="dxa" w:w="6520"/>
          </w:tcPr>
          <w:p>
            <w:r>
              <w:rPr>
                <w:sz w:val="20"/>
              </w:rPr>
              <w:t>Executive Proposal</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self-review)</w:t>
            </w:r>
          </w:p>
        </w:tc>
      </w:tr>
      <w:tr>
        <w:tc>
          <w:tcPr>
            <w:tcW w:type="dxa" w:w="2551"/>
            <w:shd w:val="clear" w:color="auto" w:fill="E8EEF6"/>
          </w:tcPr>
          <w:p>
            <w:r>
              <w:rPr>
                <w:b/>
                <w:color w:val="1F3A5F"/>
                <w:sz w:val="20"/>
              </w:rPr>
              <w:t>Reference</w:t>
            </w:r>
          </w:p>
        </w:tc>
        <w:tc>
          <w:tcPr>
            <w:tcW w:type="dxa" w:w="6520"/>
          </w:tcPr>
          <w:p>
            <w:r>
              <w:rPr>
                <w:sz w:val="20"/>
              </w:rPr>
              <w:t>e35d754233e2</w:t>
            </w:r>
          </w:p>
        </w:tc>
      </w:tr>
    </w:tbl>
    <w:p>
      <w:r>
        <w:br w:type="page"/>
      </w:r>
    </w:p>
    <w:p>
      <w:pPr>
        <w:pStyle w:val="Heading1"/>
      </w:pPr>
      <w:r>
        <w:t>Contents</w:t>
      </w:r>
    </w:p>
    <w:p>
      <w:pPr>
        <w:spacing w:after="40"/>
        <w:ind w:left="283"/>
      </w:pPr>
      <w:r>
        <w:rPr>
          <w:b/>
          <w:color w:val="2E75B6"/>
        </w:rPr>
        <w:t xml:space="preserve">1.  </w:t>
      </w:r>
      <w:r>
        <w:rPr/>
        <w:t>Executive Summary &amp; Business Case</w:t>
      </w:r>
    </w:p>
    <w:p>
      <w:pPr>
        <w:spacing w:after="40"/>
        <w:ind w:left="283"/>
      </w:pPr>
      <w:r>
        <w:rPr>
          <w:b/>
          <w:color w:val="2E75B6"/>
        </w:rPr>
        <w:t xml:space="preserve">2.  </w:t>
      </w:r>
      <w:r>
        <w:rPr/>
        <w:t>Vendor Evaluation &amp; Technology Selection</w:t>
      </w:r>
    </w:p>
    <w:p>
      <w:pPr>
        <w:spacing w:after="40"/>
        <w:ind w:left="283"/>
      </w:pPr>
      <w:r>
        <w:rPr>
          <w:b/>
          <w:color w:val="2E75B6"/>
        </w:rPr>
        <w:t xml:space="preserve">3.  </w:t>
      </w:r>
      <w:r>
        <w:rPr/>
        <w:t>Phased Implementation &amp; Rollout Schedule</w:t>
      </w:r>
    </w:p>
    <w:p>
      <w:pPr>
        <w:spacing w:after="40"/>
        <w:ind w:left="283"/>
      </w:pPr>
      <w:r>
        <w:rPr>
          <w:b/>
          <w:color w:val="2E75B6"/>
        </w:rPr>
        <w:t xml:space="preserve">4.  </w:t>
      </w:r>
      <w:r>
        <w:rPr/>
        <w:t>Financial Analysis &amp; Budget Allocation</w:t>
      </w:r>
    </w:p>
    <w:p>
      <w:pPr>
        <w:spacing w:after="40"/>
        <w:ind w:left="283"/>
      </w:pPr>
      <w:r>
        <w:rPr>
          <w:b/>
          <w:color w:val="2E75B6"/>
        </w:rPr>
        <w:t xml:space="preserve">5.  </w:t>
      </w:r>
      <w:r>
        <w:rPr/>
        <w:t>Risk Management &amp; Governance Matrix</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tblHeader w:val="true"/>
        </w:trPr>
        <w:tc>
          <w:tcPr>
            <w:tcW w:type="dxa" w:w="2835"/>
            <w:shd w:val="clear" w:color="auto" w:fill="1F3A5F"/>
          </w:tcPr>
          <w:p>
            <w:r>
              <w:rPr>
                <w:b/>
                <w:color w:val="FFFFFF"/>
                <w:sz w:val="20"/>
              </w:rPr>
              <w:t>Item</w:t>
            </w:r>
          </w:p>
        </w:tc>
        <w:tc>
          <w:tcPr>
            <w:tcW w:type="dxa" w:w="6236"/>
            <w:shd w:val="clear" w:color="auto" w:fill="1F3A5F"/>
          </w:tcPr>
          <w:p>
            <w:r>
              <w:rPr>
                <w:b/>
                <w:color w:val="FFFFFF"/>
                <w:sz w:val="20"/>
              </w:rPr>
              <w:t>Detail</w:t>
            </w:r>
          </w:p>
        </w:tc>
      </w:tr>
      <w:tr>
        <w:tc>
          <w:tcPr>
            <w:tcW w:type="dxa" w:w="2835"/>
          </w:tcPr>
          <w:p>
            <w:r>
              <w:rPr>
                <w:sz w:val="20"/>
              </w:rPr>
              <w:t>Phase 1 Seed Budget</w:t>
            </w:r>
          </w:p>
        </w:tc>
        <w:tc>
          <w:tcPr>
            <w:tcW w:type="dxa" w:w="6236"/>
          </w:tcPr>
          <w:p>
            <w:r>
              <w:rPr>
                <w:sz w:val="20"/>
              </w:rPr>
              <w:t>$18,500 (under the $20,000 cap)</w:t>
            </w:r>
          </w:p>
        </w:tc>
      </w:tr>
      <w:tr>
        <w:tc>
          <w:tcPr>
            <w:tcW w:type="dxa" w:w="2835"/>
            <w:shd w:val="clear" w:color="auto" w:fill="F2F6FC"/>
          </w:tcPr>
          <w:p>
            <w:r>
              <w:rPr>
                <w:sz w:val="20"/>
              </w:rPr>
              <w:t>Phase 2 Expansion Budget</w:t>
            </w:r>
          </w:p>
        </w:tc>
        <w:tc>
          <w:tcPr>
            <w:tcW w:type="dxa" w:w="6236"/>
            <w:shd w:val="clear" w:color="auto" w:fill="F2F6FC"/>
          </w:tcPr>
          <w:p>
            <w:r>
              <w:rPr>
                <w:sz w:val="20"/>
              </w:rPr>
              <w:t>$65,000 (pending Phase 1 ROI validation)</w:t>
            </w:r>
          </w:p>
        </w:tc>
      </w:tr>
      <w:tr>
        <w:tc>
          <w:tcPr>
            <w:tcW w:type="dxa" w:w="2835"/>
          </w:tcPr>
          <w:p>
            <w:r>
              <w:rPr>
                <w:sz w:val="20"/>
              </w:rPr>
              <w:t>Selected AI Vendor</w:t>
            </w:r>
          </w:p>
        </w:tc>
        <w:tc>
          <w:tcPr>
            <w:tcW w:type="dxa" w:w="6236"/>
          </w:tcPr>
          <w:p>
            <w:r>
              <w:rPr>
                <w:sz w:val="20"/>
              </w:rPr>
              <w:t>Ada AI integrated with Zendesk Suite</w:t>
            </w:r>
          </w:p>
        </w:tc>
      </w:tr>
      <w:tr>
        <w:tc>
          <w:tcPr>
            <w:tcW w:type="dxa" w:w="2835"/>
            <w:shd w:val="clear" w:color="auto" w:fill="F2F6FC"/>
          </w:tcPr>
          <w:p>
            <w:r>
              <w:rPr>
                <w:sz w:val="20"/>
              </w:rPr>
              <w:t>Project Sponsor</w:t>
            </w:r>
          </w:p>
        </w:tc>
        <w:tc>
          <w:tcPr>
            <w:tcW w:type="dxa" w:w="6236"/>
            <w:shd w:val="clear" w:color="auto" w:fill="F2F6FC"/>
          </w:tcPr>
          <w:p>
            <w:r>
              <w:rPr>
                <w:sz w:val="20"/>
              </w:rPr>
              <w:t>Jane Doe, Chief Operating Officer</w:t>
            </w:r>
          </w:p>
        </w:tc>
      </w:tr>
      <w:tr>
        <w:tc>
          <w:tcPr>
            <w:tcW w:type="dxa" w:w="2835"/>
          </w:tcPr>
          <w:p>
            <w:r>
              <w:rPr>
                <w:sz w:val="20"/>
              </w:rPr>
              <w:t>Technical Lead</w:t>
            </w:r>
          </w:p>
        </w:tc>
        <w:tc>
          <w:tcPr>
            <w:tcW w:type="dxa" w:w="6236"/>
          </w:tcPr>
          <w:p>
            <w:r>
              <w:rPr>
                <w:sz w:val="20"/>
              </w:rPr>
              <w:t>Marcus Vance, VP of Customer Experience</w:t>
            </w:r>
          </w:p>
        </w:tc>
      </w:tr>
      <w:tr>
        <w:tc>
          <w:tcPr>
            <w:tcW w:type="dxa" w:w="2835"/>
            <w:shd w:val="clear" w:color="auto" w:fill="F2F6FC"/>
          </w:tcPr>
          <w:p>
            <w:r>
              <w:rPr>
                <w:sz w:val="20"/>
              </w:rPr>
              <w:t>Board Presentation Date</w:t>
            </w:r>
          </w:p>
        </w:tc>
        <w:tc>
          <w:tcPr>
            <w:tcW w:type="dxa" w:w="6236"/>
            <w:shd w:val="clear" w:color="auto" w:fill="F2F6FC"/>
          </w:tcPr>
          <w:p>
            <w:r>
              <w:rPr>
                <w:sz w:val="20"/>
              </w:rPr>
              <w:t>October 29, 2026</w:t>
            </w:r>
          </w:p>
        </w:tc>
      </w:tr>
      <w:tr>
        <w:tc>
          <w:tcPr>
            <w:tcW w:type="dxa" w:w="2835"/>
          </w:tcPr>
          <w:p>
            <w:r>
              <w:rPr>
                <w:sz w:val="20"/>
              </w:rPr>
              <w:t>Phase 1 Go-Live Date</w:t>
            </w:r>
          </w:p>
        </w:tc>
        <w:tc>
          <w:tcPr>
            <w:tcW w:type="dxa" w:w="6236"/>
          </w:tcPr>
          <w:p>
            <w:r>
              <w:rPr>
                <w:sz w:val="20"/>
              </w:rPr>
              <w:t>December 01, 2026</w:t>
            </w:r>
          </w:p>
        </w:tc>
      </w:tr>
      <w:tr>
        <w:tc>
          <w:tcPr>
            <w:tcW w:type="dxa" w:w="2835"/>
            <w:shd w:val="clear" w:color="auto" w:fill="F2F6FC"/>
          </w:tcPr>
          <w:p>
            <w:r>
              <w:rPr>
                <w:sz w:val="20"/>
              </w:rPr>
              <w:t>Phase 1 Scope</w:t>
            </w:r>
          </w:p>
        </w:tc>
        <w:tc>
          <w:tcPr>
            <w:tcW w:type="dxa" w:w="6236"/>
            <w:shd w:val="clear" w:color="auto" w:fill="F2F6FC"/>
          </w:tcPr>
          <w:p>
            <w:r>
              <w:rPr>
                <w:sz w:val="20"/>
              </w:rPr>
              <w:t>24/7 Automated Tier-1 support in English, Spanish, and French</w:t>
            </w:r>
          </w:p>
        </w:tc>
      </w:tr>
      <w:tr>
        <w:tc>
          <w:tcPr>
            <w:tcW w:type="dxa" w:w="2835"/>
          </w:tcPr>
          <w:p>
            <w:r>
              <w:rPr>
                <w:sz w:val="20"/>
              </w:rPr>
              <w:t>Phase 2 Scope</w:t>
            </w:r>
          </w:p>
        </w:tc>
        <w:tc>
          <w:tcPr>
            <w:tcW w:type="dxa" w:w="6236"/>
          </w:tcPr>
          <w:p>
            <w:r>
              <w:rPr>
                <w:sz w:val="20"/>
              </w:rPr>
              <w:t>Full 12-language support and deep CRM integration by Q2 2027</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Initial Phase 1 pilot focuses on high-volume tier-1 queries in English, Spanish, and French to fit the $20k seed budget.</w:t>
            </w:r>
          </w:p>
          <w:p>
            <w:pPr>
              <w:pStyle w:val="ListBullet"/>
            </w:pPr>
            <w:r>
              <w:rPr>
                <w:sz w:val="20"/>
              </w:rPr>
              <w:t>Vendor selected is Zendesk AI + Ada Integration for rapid API deployment without custom infrastructure costs.</w:t>
            </w:r>
          </w:p>
          <w:p>
            <w:pPr>
              <w:pStyle w:val="ListBullet"/>
            </w:pPr>
            <w:r>
              <w:rPr>
                <w:sz w:val="20"/>
              </w:rPr>
              <w:t>Full 12-language 24/7 coverage will be unlocked in Phase 2 upon board approval of an expanded operating budget.</w:t>
            </w:r>
          </w:p>
          <w:p>
            <w:pPr>
              <w:spacing w:before="160"/>
            </w:pPr>
            <w:r>
              <w:rPr>
                <w:b/>
                <w:color w:val="1F3A5F"/>
              </w:rPr>
              <w:t>Conflicting or ambiguous requirements - and how they were resolved</w:t>
            </w:r>
          </w:p>
          <w:p>
            <w:pPr>
              <w:pStyle w:val="ListBullet"/>
            </w:pPr>
            <w:r>
              <w:rPr>
                <w:sz w:val="20"/>
              </w:rPr>
              <w:t>Budget vs. Scope: $20,000 budget is insufficient for immediate 24/7 coverage in 12 languages on day one → Resolve by launching a Phase 1 pilot ($18,500) covering top 3 languages/24/7 Tier-1 support, with a clear ROI business case to fund Phase 2 expansion to 12 languages.</w:t>
            </w:r>
          </w:p>
          <w:p>
            <w:pPr>
              <w:pStyle w:val="ListBullet"/>
            </w:pPr>
            <w:r>
              <w:rPr>
                <w:sz w:val="20"/>
              </w:rPr>
              <w:t>Timeline vs. Coverage: Request demands 'short but cover everything' for next week → Resolve by delivering an Executive Proposal structured into 5 high-impact, structured sections with detailed financial and risk tables.</w:t>
            </w:r>
          </w:p>
        </w:tc>
      </w:tr>
    </w:tbl>
    <w:p>
      <w:pPr>
        <w:pStyle w:val="Heading1"/>
      </w:pPr>
      <w:r>
        <w:t>1. Executive Summary &amp; Business Case</w:t>
      </w:r>
    </w:p>
    <w:p>
      <w:r>
        <w:rPr/>
        <w:t xml:space="preserve">This executive proposal outlines a strategic plan to deploy enterprise </w:t>
      </w:r>
      <w:r>
        <w:rPr>
          <w:b/>
        </w:rPr>
        <w:t>AI customer support</w:t>
      </w:r>
      <w:r>
        <w:rPr/>
        <w:t xml:space="preserve"> to meet leadership demands for round-the-clock service while respecting a tight seed budget. Although executive leadership initially requested immediate 24/7 coverage across 12 languages, financial constraints capped the initial capital at $20,000. To resolve this tension, project sponsor </w:t>
      </w:r>
      <w:r>
        <w:rPr>
          <w:b/>
        </w:rPr>
        <w:t>Jane Doe</w:t>
      </w:r>
      <w:r>
        <w:rPr/>
        <w:t xml:space="preserve">, Chief Operating Officer, and technical lead </w:t>
      </w:r>
      <w:r>
        <w:rPr>
          <w:b/>
        </w:rPr>
        <w:t>Marcus Vance</w:t>
      </w:r>
      <w:r>
        <w:rPr/>
        <w:t>, VP of Customer Experience, have structured a two-phase rollout that launches within financial limits while securing a clear path to full operational scale.</w:t>
      </w:r>
    </w:p>
    <w:p>
      <w:r>
        <w:rPr/>
        <w:t xml:space="preserve">Phase 1 deploys an </w:t>
      </w:r>
      <w:r>
        <w:rPr>
          <w:b/>
        </w:rPr>
        <w:t>AI Vendor</w:t>
      </w:r>
      <w:r>
        <w:rPr/>
        <w:t xml:space="preserve"> solution utilizing </w:t>
      </w:r>
      <w:r>
        <w:rPr>
          <w:b/>
        </w:rPr>
        <w:t>Ada AI</w:t>
      </w:r>
      <w:r>
        <w:rPr/>
        <w:t xml:space="preserve"> integrated with the </w:t>
      </w:r>
      <w:r>
        <w:rPr>
          <w:b/>
        </w:rPr>
        <w:t>Zendesk Suite</w:t>
      </w:r>
      <w:r>
        <w:rPr/>
        <w:t xml:space="preserve">, scheduled for board review on </w:t>
      </w:r>
      <w:r>
        <w:rPr>
          <w:b/>
        </w:rPr>
        <w:t>October 29, 2026</w:t>
      </w:r>
      <w:r>
        <w:rPr/>
        <w:t xml:space="preserve">. With an approved Phase 1 budget of </w:t>
      </w:r>
      <w:r>
        <w:rPr>
          <w:b/>
        </w:rPr>
        <w:t>$18,500</w:t>
      </w:r>
      <w:r>
        <w:rPr/>
        <w:t xml:space="preserve">—safely under the $20,000 threshold—the pilot goes live on </w:t>
      </w:r>
      <w:r>
        <w:rPr>
          <w:b/>
        </w:rPr>
        <w:t>December 01, 2026</w:t>
      </w:r>
      <w:r>
        <w:rPr/>
        <w:t xml:space="preserve">. This initial phase delivers 24/7 automated tier-1 support in English, Spanish, and French, directly addressing high-volume ticket deflection. Once ROI is validated, Phase 2 will request an expanded operating budget of </w:t>
      </w:r>
      <w:r>
        <w:rPr>
          <w:b/>
        </w:rPr>
        <w:t>$65,000</w:t>
      </w:r>
      <w:r>
        <w:rPr/>
        <w:t xml:space="preserve"> to scale the platform to full 12-language coverage by Q2 2027. This phased business case eliminates upfront infrastructure risks, proves operational efficacy early, and ensures sustainable long-term value for the organization.</w:t>
      </w:r>
    </w:p>
    <w:p>
      <w:pPr>
        <w:pStyle w:val="Heading1"/>
      </w:pPr>
      <w:r>
        <w:t>2. Vendor Evaluation &amp; Technology Selection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1749"/>
            <w:shd w:val="clear" w:color="auto" w:fill="1F3A5F"/>
          </w:tcPr>
          <w:p>
            <w:r>
              <w:rPr>
                <w:b/>
                <w:color w:val="FFFFFF"/>
                <w:sz w:val="20"/>
              </w:rPr>
              <w:t>Vendor</w:t>
            </w:r>
          </w:p>
        </w:tc>
        <w:tc>
          <w:tcPr>
            <w:tcW w:type="dxa" w:w="1229"/>
            <w:shd w:val="clear" w:color="auto" w:fill="1F3A5F"/>
          </w:tcPr>
          <w:p>
            <w:r>
              <w:rPr>
                <w:b/>
                <w:color w:val="FFFFFF"/>
                <w:sz w:val="20"/>
              </w:rPr>
              <w:t>Cost (Phase 1)</w:t>
            </w:r>
          </w:p>
        </w:tc>
        <w:tc>
          <w:tcPr>
            <w:tcW w:type="dxa" w:w="1902"/>
            <w:shd w:val="clear" w:color="auto" w:fill="1F3A5F"/>
          </w:tcPr>
          <w:p>
            <w:r>
              <w:rPr>
                <w:b/>
                <w:color w:val="FFFFFF"/>
                <w:sz w:val="20"/>
              </w:rPr>
              <w:t>Language Coverage</w:t>
            </w:r>
          </w:p>
        </w:tc>
        <w:tc>
          <w:tcPr>
            <w:tcW w:type="dxa" w:w="1719"/>
            <w:shd w:val="clear" w:color="auto" w:fill="1F3A5F"/>
          </w:tcPr>
          <w:p>
            <w:r>
              <w:rPr>
                <w:b/>
                <w:color w:val="FFFFFF"/>
                <w:sz w:val="20"/>
              </w:rPr>
              <w:t>Implementation Speed</w:t>
            </w:r>
          </w:p>
        </w:tc>
        <w:tc>
          <w:tcPr>
            <w:tcW w:type="dxa" w:w="2699"/>
            <w:shd w:val="clear" w:color="auto" w:fill="1F3A5F"/>
          </w:tcPr>
          <w:p>
            <w:r>
              <w:rPr>
                <w:b/>
                <w:color w:val="FFFFFF"/>
                <w:sz w:val="20"/>
              </w:rPr>
              <w:t>Notes</w:t>
            </w:r>
          </w:p>
        </w:tc>
      </w:tr>
      <w:tr>
        <w:tc>
          <w:tcPr>
            <w:tcW w:type="dxa" w:w="1749"/>
          </w:tcPr>
          <w:p>
            <w:r>
              <w:rPr>
                <w:sz w:val="20"/>
              </w:rPr>
              <w:t>Ada AI (integrated with Zendesk)</w:t>
            </w:r>
          </w:p>
        </w:tc>
        <w:tc>
          <w:tcPr>
            <w:tcW w:type="dxa" w:w="1229"/>
          </w:tcPr>
          <w:p>
            <w:r>
              <w:rPr>
                <w:sz w:val="20"/>
              </w:rPr>
              <w:t>$18,500</w:t>
            </w:r>
          </w:p>
        </w:tc>
        <w:tc>
          <w:tcPr>
            <w:tcW w:type="dxa" w:w="1902"/>
          </w:tcPr>
          <w:p>
            <w:r>
              <w:rPr>
                <w:sz w:val="20"/>
              </w:rPr>
              <w:t>English, Spanish, French</w:t>
            </w:r>
          </w:p>
        </w:tc>
        <w:tc>
          <w:tcPr>
            <w:tcW w:type="dxa" w:w="1719"/>
          </w:tcPr>
          <w:p>
            <w:r>
              <w:rPr>
                <w:sz w:val="20"/>
              </w:rPr>
              <w:t>&lt;2 weeks API deployment</w:t>
            </w:r>
          </w:p>
        </w:tc>
        <w:tc>
          <w:tcPr>
            <w:tcW w:type="dxa" w:w="2699"/>
          </w:tcPr>
          <w:p>
            <w:r>
              <w:rPr>
                <w:sz w:val="20"/>
              </w:rPr>
              <w:t>Selected for rapid 24/7 Tier‑1 coverage and low custom infra</w:t>
            </w:r>
          </w:p>
        </w:tc>
      </w:tr>
      <w:tr>
        <w:tc>
          <w:tcPr>
            <w:tcW w:type="dxa" w:w="1749"/>
            <w:shd w:val="clear" w:color="auto" w:fill="F2F6FC"/>
          </w:tcPr>
          <w:p>
            <w:r>
              <w:rPr>
                <w:sz w:val="20"/>
              </w:rPr>
              <w:t>Intercom AI</w:t>
            </w:r>
          </w:p>
        </w:tc>
        <w:tc>
          <w:tcPr>
            <w:tcW w:type="dxa" w:w="1229"/>
            <w:shd w:val="clear" w:color="auto" w:fill="F2F6FC"/>
          </w:tcPr>
          <w:p>
            <w:r>
              <w:rPr>
                <w:sz w:val="20"/>
              </w:rPr>
              <w:t>$22,000</w:t>
            </w:r>
          </w:p>
        </w:tc>
        <w:tc>
          <w:tcPr>
            <w:tcW w:type="dxa" w:w="1902"/>
            <w:shd w:val="clear" w:color="auto" w:fill="F2F6FC"/>
          </w:tcPr>
          <w:p>
            <w:r>
              <w:rPr>
                <w:sz w:val="20"/>
              </w:rPr>
              <w:t>English, Spanish, German</w:t>
            </w:r>
          </w:p>
        </w:tc>
        <w:tc>
          <w:tcPr>
            <w:tcW w:type="dxa" w:w="1719"/>
            <w:shd w:val="clear" w:color="auto" w:fill="F2F6FC"/>
          </w:tcPr>
          <w:p>
            <w:r>
              <w:rPr>
                <w:sz w:val="20"/>
              </w:rPr>
              <w:t>4‑6 weeks custom integration</w:t>
            </w:r>
          </w:p>
        </w:tc>
        <w:tc>
          <w:tcPr>
            <w:tcW w:type="dxa" w:w="2699"/>
            <w:shd w:val="clear" w:color="auto" w:fill="F2F6FC"/>
          </w:tcPr>
          <w:p>
            <w:r>
              <w:rPr>
                <w:sz w:val="20"/>
              </w:rPr>
              <w:t>Higher cost, limited 24/7 support</w:t>
            </w:r>
          </w:p>
        </w:tc>
      </w:tr>
      <w:tr>
        <w:tc>
          <w:tcPr>
            <w:tcW w:type="dxa" w:w="1749"/>
          </w:tcPr>
          <w:p>
            <w:r>
              <w:rPr>
                <w:sz w:val="20"/>
              </w:rPr>
              <w:t>Zendesk AI (standalone)</w:t>
            </w:r>
          </w:p>
        </w:tc>
        <w:tc>
          <w:tcPr>
            <w:tcW w:type="dxa" w:w="1229"/>
          </w:tcPr>
          <w:p>
            <w:r>
              <w:rPr>
                <w:sz w:val="20"/>
              </w:rPr>
              <w:t>$20,000</w:t>
            </w:r>
          </w:p>
        </w:tc>
        <w:tc>
          <w:tcPr>
            <w:tcW w:type="dxa" w:w="1902"/>
          </w:tcPr>
          <w:p>
            <w:r>
              <w:rPr>
                <w:sz w:val="20"/>
              </w:rPr>
              <w:t>English, Spanish, French, German, Italian</w:t>
            </w:r>
          </w:p>
        </w:tc>
        <w:tc>
          <w:tcPr>
            <w:tcW w:type="dxa" w:w="1719"/>
          </w:tcPr>
          <w:p>
            <w:r>
              <w:rPr>
                <w:sz w:val="20"/>
              </w:rPr>
              <w:t>3‑4 weeks API integration</w:t>
            </w:r>
          </w:p>
        </w:tc>
        <w:tc>
          <w:tcPr>
            <w:tcW w:type="dxa" w:w="2699"/>
          </w:tcPr>
          <w:p>
            <w:r>
              <w:rPr>
                <w:sz w:val="20"/>
              </w:rPr>
              <w:t>Does not offer native multilingual NLP beyond 5 languages</w:t>
            </w:r>
          </w:p>
        </w:tc>
      </w:tr>
    </w:tbl>
    <w:p>
      <w:pPr>
        <w:spacing w:after="40"/>
      </w:pPr>
    </w:p>
    <w:p>
      <w:pPr>
        <w:pStyle w:val="Heading1"/>
      </w:pPr>
      <w:r>
        <w:t>3. Phased Implementation &amp; Rollout Schedule</w:t>
      </w:r>
    </w:p>
    <w:p>
      <w:r>
        <w:rPr/>
        <w:t xml:space="preserve">To align with our strict seed budget and aggressive executive expectations, the rollout is structured into two distinct execution phases. Project sponsorship is managed by </w:t>
      </w:r>
      <w:r>
        <w:rPr>
          <w:b/>
        </w:rPr>
        <w:t>Jane Doe</w:t>
      </w:r>
      <w:r>
        <w:rPr/>
        <w:t xml:space="preserve">, Chief Operating Officer, with technical execution led by </w:t>
      </w:r>
      <w:r>
        <w:rPr>
          <w:b/>
        </w:rPr>
        <w:t>Marcus Vance</w:t>
      </w:r>
      <w:r>
        <w:rPr/>
        <w:t>, VP of Customer Experience. Phase 1 kicks off immediately following board approval on October 29, 2026, targeting a go-live date of December 01, 2026. This initial phase establishes 24/7 automated Tier-1 support in English, Spanish, and French using the Ada AI and Zendesk Suite integration. Phase 2 extends the capability to all 12 requested languages and deep CRM integrations by Q2 2027, contingent upon Phase 1 performance validation and budget expansion approval.</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1529"/>
            <w:shd w:val="clear" w:color="auto" w:fill="1F3A5F"/>
          </w:tcPr>
          <w:p>
            <w:r>
              <w:rPr>
                <w:b/>
                <w:color w:val="FFFFFF"/>
                <w:sz w:val="20"/>
              </w:rPr>
              <w:t>Milestone / Phase</w:t>
            </w:r>
          </w:p>
        </w:tc>
        <w:tc>
          <w:tcPr>
            <w:tcW w:type="dxa" w:w="1542"/>
            <w:shd w:val="clear" w:color="auto" w:fill="1F3A5F"/>
          </w:tcPr>
          <w:p>
            <w:r>
              <w:rPr>
                <w:b/>
                <w:color w:val="FFFFFF"/>
                <w:sz w:val="20"/>
              </w:rPr>
              <w:t>Target Date</w:t>
            </w:r>
          </w:p>
        </w:tc>
        <w:tc>
          <w:tcPr>
            <w:tcW w:type="dxa" w:w="1364"/>
            <w:shd w:val="clear" w:color="auto" w:fill="1F3A5F"/>
          </w:tcPr>
          <w:p>
            <w:r>
              <w:rPr>
                <w:b/>
                <w:color w:val="FFFFFF"/>
                <w:sz w:val="20"/>
              </w:rPr>
              <w:t>Owner</w:t>
            </w:r>
          </w:p>
        </w:tc>
        <w:tc>
          <w:tcPr>
            <w:tcW w:type="dxa" w:w="2952"/>
            <w:shd w:val="clear" w:color="auto" w:fill="1F3A5F"/>
          </w:tcPr>
          <w:p>
            <w:r>
              <w:rPr>
                <w:b/>
                <w:color w:val="FFFFFF"/>
                <w:sz w:val="20"/>
              </w:rPr>
              <w:t>Key Deliverables</w:t>
            </w:r>
          </w:p>
        </w:tc>
        <w:tc>
          <w:tcPr>
            <w:tcW w:type="dxa" w:w="1910"/>
            <w:shd w:val="clear" w:color="auto" w:fill="1F3A5F"/>
          </w:tcPr>
          <w:p>
            <w:r>
              <w:rPr>
                <w:b/>
                <w:color w:val="FFFFFF"/>
                <w:sz w:val="20"/>
              </w:rPr>
              <w:t>Scope &amp; Coverage</w:t>
            </w:r>
          </w:p>
        </w:tc>
      </w:tr>
      <w:tr>
        <w:tc>
          <w:tcPr>
            <w:tcW w:type="dxa" w:w="1529"/>
          </w:tcPr>
          <w:p>
            <w:r>
              <w:rPr>
                <w:sz w:val="20"/>
              </w:rPr>
              <w:t>Board Approval</w:t>
            </w:r>
          </w:p>
        </w:tc>
        <w:tc>
          <w:tcPr>
            <w:tcW w:type="dxa" w:w="1542"/>
          </w:tcPr>
          <w:p>
            <w:r>
              <w:rPr>
                <w:sz w:val="20"/>
              </w:rPr>
              <w:t>October 29, 2026</w:t>
            </w:r>
          </w:p>
        </w:tc>
        <w:tc>
          <w:tcPr>
            <w:tcW w:type="dxa" w:w="1364"/>
          </w:tcPr>
          <w:p>
            <w:r>
              <w:rPr>
                <w:sz w:val="20"/>
              </w:rPr>
              <w:t>Jane Doe</w:t>
            </w:r>
          </w:p>
        </w:tc>
        <w:tc>
          <w:tcPr>
            <w:tcW w:type="dxa" w:w="2952"/>
          </w:tcPr>
          <w:p>
            <w:r>
              <w:rPr>
                <w:sz w:val="20"/>
              </w:rPr>
              <w:t>Formal budget sign-off and project greenlight</w:t>
            </w:r>
          </w:p>
        </w:tc>
        <w:tc>
          <w:tcPr>
            <w:tcW w:type="dxa" w:w="1910"/>
          </w:tcPr>
          <w:p>
            <w:r>
              <w:rPr>
                <w:sz w:val="20"/>
              </w:rPr>
              <w:t>Phase 1 Seed Budget ($18,500)</w:t>
            </w:r>
          </w:p>
        </w:tc>
      </w:tr>
      <w:tr>
        <w:tc>
          <w:tcPr>
            <w:tcW w:type="dxa" w:w="1529"/>
            <w:shd w:val="clear" w:color="auto" w:fill="F2F6FC"/>
          </w:tcPr>
          <w:p>
            <w:r>
              <w:rPr>
                <w:sz w:val="20"/>
              </w:rPr>
              <w:t>Phase 1 Kickoff</w:t>
            </w:r>
          </w:p>
        </w:tc>
        <w:tc>
          <w:tcPr>
            <w:tcW w:type="dxa" w:w="1542"/>
            <w:shd w:val="clear" w:color="auto" w:fill="F2F6FC"/>
          </w:tcPr>
          <w:p>
            <w:r>
              <w:rPr>
                <w:sz w:val="20"/>
              </w:rPr>
              <w:t>October 30, 2026</w:t>
            </w:r>
          </w:p>
        </w:tc>
        <w:tc>
          <w:tcPr>
            <w:tcW w:type="dxa" w:w="1364"/>
            <w:shd w:val="clear" w:color="auto" w:fill="F2F6FC"/>
          </w:tcPr>
          <w:p>
            <w:r>
              <w:rPr>
                <w:sz w:val="20"/>
              </w:rPr>
              <w:t>Marcus Vance</w:t>
            </w:r>
          </w:p>
        </w:tc>
        <w:tc>
          <w:tcPr>
            <w:tcW w:type="dxa" w:w="2952"/>
            <w:shd w:val="clear" w:color="auto" w:fill="F2F6FC"/>
          </w:tcPr>
          <w:p>
            <w:r>
              <w:rPr>
                <w:sz w:val="20"/>
              </w:rPr>
              <w:t>Vendor provisioning, API configuration, workflow setup</w:t>
            </w:r>
          </w:p>
        </w:tc>
        <w:tc>
          <w:tcPr>
            <w:tcW w:type="dxa" w:w="1910"/>
            <w:shd w:val="clear" w:color="auto" w:fill="F2F6FC"/>
          </w:tcPr>
          <w:p>
            <w:r>
              <w:rPr>
                <w:sz w:val="20"/>
              </w:rPr>
              <w:t>Zendesk + Ada integration</w:t>
            </w:r>
          </w:p>
        </w:tc>
      </w:tr>
      <w:tr>
        <w:tc>
          <w:tcPr>
            <w:tcW w:type="dxa" w:w="1529"/>
          </w:tcPr>
          <w:p>
            <w:r>
              <w:rPr>
                <w:sz w:val="20"/>
              </w:rPr>
              <w:t>Phase 1 Go-Live</w:t>
            </w:r>
          </w:p>
        </w:tc>
        <w:tc>
          <w:tcPr>
            <w:tcW w:type="dxa" w:w="1542"/>
          </w:tcPr>
          <w:p>
            <w:r>
              <w:rPr>
                <w:sz w:val="20"/>
              </w:rPr>
              <w:t>December 01, 2026</w:t>
            </w:r>
          </w:p>
        </w:tc>
        <w:tc>
          <w:tcPr>
            <w:tcW w:type="dxa" w:w="1364"/>
          </w:tcPr>
          <w:p>
            <w:r>
              <w:rPr>
                <w:sz w:val="20"/>
              </w:rPr>
              <w:t>Marcus Vance</w:t>
            </w:r>
          </w:p>
        </w:tc>
        <w:tc>
          <w:tcPr>
            <w:tcW w:type="dxa" w:w="2952"/>
          </w:tcPr>
          <w:p>
            <w:r>
              <w:rPr>
                <w:sz w:val="20"/>
              </w:rPr>
              <w:t>System launch, initial deflection tracking, QA tuning</w:t>
            </w:r>
          </w:p>
        </w:tc>
        <w:tc>
          <w:tcPr>
            <w:tcW w:type="dxa" w:w="1910"/>
          </w:tcPr>
          <w:p>
            <w:r>
              <w:rPr>
                <w:sz w:val="20"/>
              </w:rPr>
              <w:t>24/7 Tier-1 (EN, ES, FR)</w:t>
            </w:r>
          </w:p>
        </w:tc>
      </w:tr>
      <w:tr>
        <w:tc>
          <w:tcPr>
            <w:tcW w:type="dxa" w:w="1529"/>
            <w:shd w:val="clear" w:color="auto" w:fill="F2F6FC"/>
          </w:tcPr>
          <w:p>
            <w:r>
              <w:rPr>
                <w:sz w:val="20"/>
              </w:rPr>
              <w:t>Phase 1 Review</w:t>
            </w:r>
          </w:p>
        </w:tc>
        <w:tc>
          <w:tcPr>
            <w:tcW w:type="dxa" w:w="1542"/>
            <w:shd w:val="clear" w:color="auto" w:fill="F2F6FC"/>
          </w:tcPr>
          <w:p>
            <w:r>
              <w:rPr>
                <w:sz w:val="20"/>
              </w:rPr>
              <w:t>February 28, 2027</w:t>
            </w:r>
          </w:p>
        </w:tc>
        <w:tc>
          <w:tcPr>
            <w:tcW w:type="dxa" w:w="1364"/>
            <w:shd w:val="clear" w:color="auto" w:fill="F2F6FC"/>
          </w:tcPr>
          <w:p>
            <w:r>
              <w:rPr>
                <w:sz w:val="20"/>
              </w:rPr>
              <w:t>Jane Doe</w:t>
            </w:r>
          </w:p>
        </w:tc>
        <w:tc>
          <w:tcPr>
            <w:tcW w:type="dxa" w:w="2952"/>
            <w:shd w:val="clear" w:color="auto" w:fill="F2F6FC"/>
          </w:tcPr>
          <w:p>
            <w:r>
              <w:rPr>
                <w:sz w:val="20"/>
              </w:rPr>
              <w:t>ROI assessment, deflection metrics, expansion proposal</w:t>
            </w:r>
          </w:p>
        </w:tc>
        <w:tc>
          <w:tcPr>
            <w:tcW w:type="dxa" w:w="1910"/>
            <w:shd w:val="clear" w:color="auto" w:fill="F2F6FC"/>
          </w:tcPr>
          <w:p>
            <w:r>
              <w:rPr>
                <w:sz w:val="20"/>
              </w:rPr>
              <w:t>Performance audit</w:t>
            </w:r>
          </w:p>
        </w:tc>
      </w:tr>
      <w:tr>
        <w:tc>
          <w:tcPr>
            <w:tcW w:type="dxa" w:w="1529"/>
          </w:tcPr>
          <w:p>
            <w:r>
              <w:rPr>
                <w:sz w:val="20"/>
              </w:rPr>
              <w:t>Phase 2 Expansion</w:t>
            </w:r>
          </w:p>
        </w:tc>
        <w:tc>
          <w:tcPr>
            <w:tcW w:type="dxa" w:w="1542"/>
          </w:tcPr>
          <w:p>
            <w:r>
              <w:rPr>
                <w:sz w:val="20"/>
              </w:rPr>
              <w:t>Q2 2027</w:t>
            </w:r>
          </w:p>
        </w:tc>
        <w:tc>
          <w:tcPr>
            <w:tcW w:type="dxa" w:w="1364"/>
          </w:tcPr>
          <w:p>
            <w:r>
              <w:rPr>
                <w:sz w:val="20"/>
              </w:rPr>
              <w:t>Marcus Vance</w:t>
            </w:r>
          </w:p>
        </w:tc>
        <w:tc>
          <w:tcPr>
            <w:tcW w:type="dxa" w:w="2952"/>
          </w:tcPr>
          <w:p>
            <w:r>
              <w:rPr>
                <w:sz w:val="20"/>
              </w:rPr>
              <w:t>Multi-language deployment, advanced CRM routing</w:t>
            </w:r>
          </w:p>
        </w:tc>
        <w:tc>
          <w:tcPr>
            <w:tcW w:type="dxa" w:w="1910"/>
          </w:tcPr>
          <w:p>
            <w:r>
              <w:rPr>
                <w:sz w:val="20"/>
              </w:rPr>
              <w:t>12-Language full coverage</w:t>
            </w:r>
          </w:p>
        </w:tc>
      </w:tr>
    </w:tbl>
    <w:p>
      <w:pPr>
        <w:spacing w:after="40"/>
      </w:pPr>
    </w:p>
    <w:p>
      <w:pPr>
        <w:pStyle w:val="Heading1"/>
      </w:pPr>
      <w:r>
        <w:t>4. Financial Analysis &amp; Budget Allocation</w:t>
      </w:r>
    </w:p>
    <w:p>
      <w:r>
        <w:rPr/>
        <w:t xml:space="preserve">To respect our strict fiscal constraint while delivering immediate operational value, the initial investment is strictly capped at </w:t>
      </w:r>
      <w:r>
        <w:rPr>
          <w:b/>
        </w:rPr>
        <w:t>$18,500</w:t>
      </w:r>
      <w:r>
        <w:rPr/>
        <w:t xml:space="preserve">, coming in safely under the </w:t>
      </w:r>
      <w:r>
        <w:rPr>
          <w:b/>
        </w:rPr>
        <w:t>$20,000</w:t>
      </w:r>
      <w:r>
        <w:rPr/>
        <w:t xml:space="preserve"> board-mandated ceiling. This seed capital funds Phase 1 deployment utilizing Ada AI integrated with Zendesk Suite, managed by Project Sponsor Jane Doe and Technical Lead Marcus Vance. The financial strategy relies on proving positive ROI during the December 01, 2026 pilot before unlocking Phase 2 expansion capital for full 12-language support in Q2 2027. All financial figures below are current estimates.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tblHeader w:val="true"/>
        </w:trPr>
        <w:tc>
          <w:tcPr>
            <w:tcW w:type="dxa" w:w="2155"/>
            <w:shd w:val="clear" w:color="auto" w:fill="1F3A5F"/>
          </w:tcPr>
          <w:p>
            <w:r>
              <w:rPr>
                <w:b/>
                <w:color w:val="FFFFFF"/>
                <w:sz w:val="20"/>
              </w:rPr>
              <w:t>Expense Category</w:t>
            </w:r>
          </w:p>
        </w:tc>
        <w:tc>
          <w:tcPr>
            <w:tcW w:type="dxa" w:w="1494"/>
            <w:shd w:val="clear" w:color="auto" w:fill="1F3A5F"/>
          </w:tcPr>
          <w:p>
            <w:r>
              <w:rPr>
                <w:b/>
                <w:color w:val="FFFFFF"/>
                <w:sz w:val="20"/>
              </w:rPr>
              <w:t>Phase 1 Cost (USD)</w:t>
            </w:r>
          </w:p>
        </w:tc>
        <w:tc>
          <w:tcPr>
            <w:tcW w:type="dxa" w:w="1494"/>
            <w:shd w:val="clear" w:color="auto" w:fill="1F3A5F"/>
          </w:tcPr>
          <w:p>
            <w:r>
              <w:rPr>
                <w:b/>
                <w:color w:val="FFFFFF"/>
                <w:sz w:val="20"/>
              </w:rPr>
              <w:t>Phase 2 Cost (USD)</w:t>
            </w:r>
          </w:p>
        </w:tc>
        <w:tc>
          <w:tcPr>
            <w:tcW w:type="dxa" w:w="4155"/>
            <w:shd w:val="clear" w:color="auto" w:fill="1F3A5F"/>
          </w:tcPr>
          <w:p>
            <w:r>
              <w:rPr>
                <w:b/>
                <w:color w:val="FFFFFF"/>
                <w:sz w:val="20"/>
              </w:rPr>
              <w:t>Description &amp; Allocation</w:t>
            </w:r>
          </w:p>
        </w:tc>
      </w:tr>
      <w:tr>
        <w:tc>
          <w:tcPr>
            <w:tcW w:type="dxa" w:w="2155"/>
          </w:tcPr>
          <w:p>
            <w:r>
              <w:rPr>
                <w:sz w:val="20"/>
              </w:rPr>
              <w:t>Software &amp; Licensing</w:t>
            </w:r>
          </w:p>
        </w:tc>
        <w:tc>
          <w:tcPr>
            <w:tcW w:type="dxa" w:w="1494"/>
          </w:tcPr>
          <w:p>
            <w:r>
              <w:rPr>
                <w:sz w:val="20"/>
              </w:rPr>
              <w:t>$12,000</w:t>
            </w:r>
          </w:p>
        </w:tc>
        <w:tc>
          <w:tcPr>
            <w:tcW w:type="dxa" w:w="1494"/>
          </w:tcPr>
          <w:p>
            <w:r>
              <w:rPr>
                <w:sz w:val="20"/>
              </w:rPr>
              <w:t>$42,000</w:t>
            </w:r>
          </w:p>
        </w:tc>
        <w:tc>
          <w:tcPr>
            <w:tcW w:type="dxa" w:w="4155"/>
          </w:tcPr>
          <w:p>
            <w:r>
              <w:rPr>
                <w:sz w:val="20"/>
              </w:rPr>
              <w:t>Ada AI and Zendesk Suite platform fees and tier scaling</w:t>
            </w:r>
          </w:p>
        </w:tc>
      </w:tr>
      <w:tr>
        <w:tc>
          <w:tcPr>
            <w:tcW w:type="dxa" w:w="2155"/>
            <w:shd w:val="clear" w:color="auto" w:fill="F2F6FC"/>
          </w:tcPr>
          <w:p>
            <w:r>
              <w:rPr>
                <w:sz w:val="20"/>
              </w:rPr>
              <w:t>Implementation &amp; API Setup</w:t>
            </w:r>
          </w:p>
        </w:tc>
        <w:tc>
          <w:tcPr>
            <w:tcW w:type="dxa" w:w="1494"/>
            <w:shd w:val="clear" w:color="auto" w:fill="F2F6FC"/>
          </w:tcPr>
          <w:p>
            <w:r>
              <w:rPr>
                <w:sz w:val="20"/>
              </w:rPr>
              <w:t>$4,500</w:t>
            </w:r>
          </w:p>
        </w:tc>
        <w:tc>
          <w:tcPr>
            <w:tcW w:type="dxa" w:w="1494"/>
            <w:shd w:val="clear" w:color="auto" w:fill="F2F6FC"/>
          </w:tcPr>
          <w:p>
            <w:r>
              <w:rPr>
                <w:sz w:val="20"/>
              </w:rPr>
              <w:t>$15,000</w:t>
            </w:r>
          </w:p>
        </w:tc>
        <w:tc>
          <w:tcPr>
            <w:tcW w:type="dxa" w:w="4155"/>
            <w:shd w:val="clear" w:color="auto" w:fill="F2F6FC"/>
          </w:tcPr>
          <w:p>
            <w:r>
              <w:rPr>
                <w:sz w:val="20"/>
              </w:rPr>
              <w:t>Configuration, CRM integrations, and multi-language training</w:t>
            </w:r>
          </w:p>
        </w:tc>
      </w:tr>
      <w:tr>
        <w:tc>
          <w:tcPr>
            <w:tcW w:type="dxa" w:w="2155"/>
          </w:tcPr>
          <w:p>
            <w:r>
              <w:rPr>
                <w:sz w:val="20"/>
              </w:rPr>
              <w:t>Contingency Reserve</w:t>
            </w:r>
          </w:p>
        </w:tc>
        <w:tc>
          <w:tcPr>
            <w:tcW w:type="dxa" w:w="1494"/>
          </w:tcPr>
          <w:p>
            <w:r>
              <w:rPr>
                <w:sz w:val="20"/>
              </w:rPr>
              <w:t>$2,000</w:t>
            </w:r>
          </w:p>
        </w:tc>
        <w:tc>
          <w:tcPr>
            <w:tcW w:type="dxa" w:w="1494"/>
          </w:tcPr>
          <w:p>
            <w:r>
              <w:rPr>
                <w:sz w:val="20"/>
              </w:rPr>
              <w:t>$8,000</w:t>
            </w:r>
          </w:p>
        </w:tc>
        <w:tc>
          <w:tcPr>
            <w:tcW w:type="dxa" w:w="4155"/>
          </w:tcPr>
          <w:p>
            <w:r>
              <w:rPr>
                <w:sz w:val="20"/>
              </w:rPr>
              <w:t>Buffer for optimization tweaks and emergency developer support</w:t>
            </w:r>
          </w:p>
        </w:tc>
      </w:tr>
      <w:tr>
        <w:tc>
          <w:tcPr>
            <w:tcW w:type="dxa" w:w="2155"/>
            <w:shd w:val="clear" w:color="auto" w:fill="F2F6FC"/>
          </w:tcPr>
          <w:p>
            <w:r>
              <w:rPr>
                <w:sz w:val="20"/>
              </w:rPr>
              <w:t>Total Projected Budget</w:t>
            </w:r>
          </w:p>
        </w:tc>
        <w:tc>
          <w:tcPr>
            <w:tcW w:type="dxa" w:w="1494"/>
            <w:shd w:val="clear" w:color="auto" w:fill="F2F6FC"/>
          </w:tcPr>
          <w:p>
            <w:r>
              <w:rPr>
                <w:sz w:val="20"/>
              </w:rPr>
              <w:t>$18,500</w:t>
            </w:r>
          </w:p>
        </w:tc>
        <w:tc>
          <w:tcPr>
            <w:tcW w:type="dxa" w:w="1494"/>
            <w:shd w:val="clear" w:color="auto" w:fill="F2F6FC"/>
          </w:tcPr>
          <w:p>
            <w:r>
              <w:rPr>
                <w:sz w:val="20"/>
              </w:rPr>
              <w:t>$65,000</w:t>
            </w:r>
          </w:p>
        </w:tc>
        <w:tc>
          <w:tcPr>
            <w:tcW w:type="dxa" w:w="4155"/>
            <w:shd w:val="clear" w:color="auto" w:fill="F2F6FC"/>
          </w:tcPr>
          <w:p>
            <w:r>
              <w:rPr>
                <w:sz w:val="20"/>
              </w:rPr>
              <w:t>Comprehensive expenditure across both project phases</w:t>
            </w:r>
          </w:p>
        </w:tc>
      </w:tr>
    </w:tbl>
    <w:p>
      <w:pPr>
        <w:spacing w:after="40"/>
      </w:pPr>
    </w:p>
    <w:p>
      <w:pPr>
        <w:pStyle w:val="Heading1"/>
      </w:pPr>
      <w:r>
        <w:t>5. Risk Management &amp; Governance Matrix</w:t>
      </w:r>
    </w:p>
    <w:p>
      <w:r>
        <w:rPr/>
        <w:t xml:space="preserve">To ensure strict accountability and operational stability during the Phase 1 deployment, the governance framework assigns direct ownership to executive sponsors. </w:t>
      </w:r>
      <w:r>
        <w:rPr>
          <w:b/>
        </w:rPr>
        <w:t>Jane Doe</w:t>
      </w:r>
      <w:r>
        <w:rPr/>
        <w:t xml:space="preserve">, Chief Operating Officer, maintains ultimate accountability for program delivery and board reporting ahead of the October 29, 2026 presentation. </w:t>
      </w:r>
      <w:r>
        <w:rPr>
          <w:b/>
        </w:rPr>
        <w:t>Marcus Vance</w:t>
      </w:r>
      <w:r>
        <w:rPr/>
        <w:t>, VP of Customer Experience, oversees technical execution, vendor management with Ada AI and Zendesk Suite, and daily monitoring of the December 01, 2026 launch. The following matrix outlines primary risk categories, mitigation strategies, and escalation thresholds for the $18,500 pilot.</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1247"/>
            <w:shd w:val="clear" w:color="auto" w:fill="1F3A5F"/>
          </w:tcPr>
          <w:p>
            <w:r>
              <w:rPr>
                <w:b/>
                <w:color w:val="FFFFFF"/>
                <w:sz w:val="20"/>
              </w:rPr>
              <w:t>Risk Category</w:t>
            </w:r>
          </w:p>
        </w:tc>
        <w:tc>
          <w:tcPr>
            <w:tcW w:type="dxa" w:w="2299"/>
            <w:shd w:val="clear" w:color="auto" w:fill="1F3A5F"/>
          </w:tcPr>
          <w:p>
            <w:r>
              <w:rPr>
                <w:b/>
                <w:color w:val="FFFFFF"/>
                <w:sz w:val="20"/>
              </w:rPr>
              <w:t>Identified Risk</w:t>
            </w:r>
          </w:p>
        </w:tc>
        <w:tc>
          <w:tcPr>
            <w:tcW w:type="dxa" w:w="2299"/>
            <w:shd w:val="clear" w:color="auto" w:fill="1F3A5F"/>
          </w:tcPr>
          <w:p>
            <w:r>
              <w:rPr>
                <w:b/>
                <w:color w:val="FFFFFF"/>
                <w:sz w:val="20"/>
              </w:rPr>
              <w:t>Mitigation Strategy</w:t>
            </w:r>
          </w:p>
        </w:tc>
        <w:tc>
          <w:tcPr>
            <w:tcW w:type="dxa" w:w="1154"/>
            <w:shd w:val="clear" w:color="auto" w:fill="1F3A5F"/>
          </w:tcPr>
          <w:p>
            <w:r>
              <w:rPr>
                <w:b/>
                <w:color w:val="FFFFFF"/>
                <w:sz w:val="20"/>
              </w:rPr>
              <w:t>Owner</w:t>
            </w:r>
          </w:p>
        </w:tc>
        <w:tc>
          <w:tcPr>
            <w:tcW w:type="dxa" w:w="2299"/>
            <w:shd w:val="clear" w:color="auto" w:fill="1F3A5F"/>
          </w:tcPr>
          <w:p>
            <w:r>
              <w:rPr>
                <w:b/>
                <w:color w:val="FFFFFF"/>
                <w:sz w:val="20"/>
              </w:rPr>
              <w:t>Escalation Protocol</w:t>
            </w:r>
          </w:p>
        </w:tc>
      </w:tr>
      <w:tr>
        <w:tc>
          <w:tcPr>
            <w:tcW w:type="dxa" w:w="1247"/>
          </w:tcPr>
          <w:p>
            <w:r>
              <w:rPr>
                <w:sz w:val="20"/>
              </w:rPr>
              <w:t>Model Accuracy</w:t>
            </w:r>
          </w:p>
        </w:tc>
        <w:tc>
          <w:tcPr>
            <w:tcW w:type="dxa" w:w="2299"/>
          </w:tcPr>
          <w:p>
            <w:r>
              <w:rPr>
                <w:sz w:val="20"/>
              </w:rPr>
              <w:t>AI hallucination or incorrect Tier-1 resolution in English, Spanish, or French.</w:t>
            </w:r>
          </w:p>
        </w:tc>
        <w:tc>
          <w:tcPr>
            <w:tcW w:type="dxa" w:w="2299"/>
          </w:tcPr>
          <w:p>
            <w:r>
              <w:rPr>
                <w:sz w:val="20"/>
              </w:rPr>
              <w:t>Restrict training data strictly to verified knowledge bases; implement strict confidence thresholds.</w:t>
            </w:r>
          </w:p>
        </w:tc>
        <w:tc>
          <w:tcPr>
            <w:tcW w:type="dxa" w:w="1154"/>
          </w:tcPr>
          <w:p>
            <w:r>
              <w:rPr>
                <w:sz w:val="20"/>
              </w:rPr>
              <w:t>Marcus Vance</w:t>
            </w:r>
          </w:p>
        </w:tc>
        <w:tc>
          <w:tcPr>
            <w:tcW w:type="dxa" w:w="2299"/>
          </w:tcPr>
          <w:p>
            <w:r>
              <w:rPr>
                <w:sz w:val="20"/>
              </w:rPr>
              <w:t>Auto-route low-confidence queries (&lt;85%) to human agents within 60 seconds.</w:t>
            </w:r>
          </w:p>
        </w:tc>
      </w:tr>
      <w:tr>
        <w:tc>
          <w:tcPr>
            <w:tcW w:type="dxa" w:w="1247"/>
            <w:shd w:val="clear" w:color="auto" w:fill="F2F6FC"/>
          </w:tcPr>
          <w:p>
            <w:r>
              <w:rPr>
                <w:sz w:val="20"/>
              </w:rPr>
              <w:t>Financial</w:t>
            </w:r>
          </w:p>
        </w:tc>
        <w:tc>
          <w:tcPr>
            <w:tcW w:type="dxa" w:w="2299"/>
            <w:shd w:val="clear" w:color="auto" w:fill="F2F6FC"/>
          </w:tcPr>
          <w:p>
            <w:r>
              <w:rPr>
                <w:sz w:val="20"/>
              </w:rPr>
              <w:t>Budget overrun exceeding the $18,500 Phase 1 ceiling.</w:t>
            </w:r>
          </w:p>
        </w:tc>
        <w:tc>
          <w:tcPr>
            <w:tcW w:type="dxa" w:w="2299"/>
            <w:shd w:val="clear" w:color="auto" w:fill="F2F6FC"/>
          </w:tcPr>
          <w:p>
            <w:r>
              <w:rPr>
                <w:sz w:val="20"/>
              </w:rPr>
              <w:t>Fixed-fee API licensing contract with strict usage caps monitored weekly.</w:t>
            </w:r>
          </w:p>
        </w:tc>
        <w:tc>
          <w:tcPr>
            <w:tcW w:type="dxa" w:w="1154"/>
            <w:shd w:val="clear" w:color="auto" w:fill="F2F6FC"/>
          </w:tcPr>
          <w:p>
            <w:r>
              <w:rPr>
                <w:sz w:val="20"/>
              </w:rPr>
              <w:t>Jane Doe</w:t>
            </w:r>
          </w:p>
        </w:tc>
        <w:tc>
          <w:tcPr>
            <w:tcW w:type="dxa" w:w="2299"/>
            <w:shd w:val="clear" w:color="auto" w:fill="F2F6FC"/>
          </w:tcPr>
          <w:p>
            <w:r>
              <w:rPr>
                <w:sz w:val="20"/>
              </w:rPr>
              <w:t>Freeze non-essential configuration changes if spending reaches 90% of budget.</w:t>
            </w:r>
          </w:p>
        </w:tc>
      </w:tr>
      <w:tr>
        <w:tc>
          <w:tcPr>
            <w:tcW w:type="dxa" w:w="1247"/>
          </w:tcPr>
          <w:p>
            <w:r>
              <w:rPr>
                <w:sz w:val="20"/>
              </w:rPr>
              <w:t>Vendor Dependency</w:t>
            </w:r>
          </w:p>
        </w:tc>
        <w:tc>
          <w:tcPr>
            <w:tcW w:type="dxa" w:w="2299"/>
          </w:tcPr>
          <w:p>
            <w:r>
              <w:rPr>
                <w:sz w:val="20"/>
              </w:rPr>
              <w:t>API downtime or service degradation from Ada or Zendesk.</w:t>
            </w:r>
          </w:p>
        </w:tc>
        <w:tc>
          <w:tcPr>
            <w:tcW w:type="dxa" w:w="2299"/>
          </w:tcPr>
          <w:p>
            <w:r>
              <w:rPr>
                <w:sz w:val="20"/>
              </w:rPr>
              <w:t>Establish secondary failover routing to internal email ticketing workflows.</w:t>
            </w:r>
          </w:p>
        </w:tc>
        <w:tc>
          <w:tcPr>
            <w:tcW w:type="dxa" w:w="1154"/>
          </w:tcPr>
          <w:p>
            <w:r>
              <w:rPr>
                <w:sz w:val="20"/>
              </w:rPr>
              <w:t>Marcus Vance</w:t>
            </w:r>
          </w:p>
        </w:tc>
        <w:tc>
          <w:tcPr>
            <w:tcW w:type="dxa" w:w="2299"/>
          </w:tcPr>
          <w:p>
            <w:r>
              <w:rPr>
                <w:sz w:val="20"/>
              </w:rPr>
              <w:t>Activate human support contingency queue within 15 minutes of outage detection.</w:t>
            </w:r>
          </w:p>
        </w:tc>
      </w:tr>
      <w:tr>
        <w:tc>
          <w:tcPr>
            <w:tcW w:type="dxa" w:w="1247"/>
            <w:shd w:val="clear" w:color="auto" w:fill="F2F6FC"/>
          </w:tcPr>
          <w:p>
            <w:r>
              <w:rPr>
                <w:sz w:val="20"/>
              </w:rPr>
              <w:t>Governance</w:t>
            </w:r>
          </w:p>
        </w:tc>
        <w:tc>
          <w:tcPr>
            <w:tcW w:type="dxa" w:w="2299"/>
            <w:shd w:val="clear" w:color="auto" w:fill="F2F6FC"/>
          </w:tcPr>
          <w:p>
            <w:r>
              <w:rPr>
                <w:sz w:val="20"/>
              </w:rPr>
              <w:t>Scope creep pushing into Phase 2 requirements prematurely.</w:t>
            </w:r>
          </w:p>
        </w:tc>
        <w:tc>
          <w:tcPr>
            <w:tcW w:type="dxa" w:w="2299"/>
            <w:shd w:val="clear" w:color="auto" w:fill="F2F6FC"/>
          </w:tcPr>
          <w:p>
            <w:r>
              <w:rPr>
                <w:sz w:val="20"/>
              </w:rPr>
              <w:t>Enforce strict change-control board review for any features outside core Tier-1 scope.</w:t>
            </w:r>
          </w:p>
        </w:tc>
        <w:tc>
          <w:tcPr>
            <w:tcW w:type="dxa" w:w="1154"/>
            <w:shd w:val="clear" w:color="auto" w:fill="F2F6FC"/>
          </w:tcPr>
          <w:p>
            <w:r>
              <w:rPr>
                <w:sz w:val="20"/>
              </w:rPr>
              <w:t>Jane Doe</w:t>
            </w:r>
          </w:p>
        </w:tc>
        <w:tc>
          <w:tcPr>
            <w:tcW w:type="dxa" w:w="2299"/>
            <w:shd w:val="clear" w:color="auto" w:fill="F2F6FC"/>
          </w:tcPr>
          <w:p>
            <w:r>
              <w:rPr>
                <w:sz w:val="20"/>
              </w:rPr>
              <w:t>Require formal executive sign-off for any timeline adjustments prior to Q2 2027.</w:t>
            </w:r>
          </w:p>
        </w:tc>
      </w:tr>
    </w:tbl>
    <w:p>
      <w:pPr>
        <w:spacing w:after="40"/>
      </w:pP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tblHeader w:val="true"/>
        </w:trPr>
        <w:tc>
          <w:tcPr>
            <w:tcW w:type="dxa" w:w="567"/>
            <w:shd w:val="clear" w:color="auto" w:fill="1F3A5F"/>
          </w:tcPr>
          <w:p>
            <w:r>
              <w:rPr>
                <w:b/>
                <w:color w:val="FFFFFF"/>
                <w:sz w:val="20"/>
              </w:rPr>
              <w:t>#</w:t>
            </w:r>
          </w:p>
        </w:tc>
        <w:tc>
          <w:tcPr>
            <w:tcW w:type="dxa" w:w="5216"/>
            <w:shd w:val="clear" w:color="auto" w:fill="1F3A5F"/>
          </w:tcPr>
          <w:p>
            <w:r>
              <w:rPr>
                <w:b/>
                <w:color w:val="FFFFFF"/>
                <w:sz w:val="20"/>
              </w:rPr>
              <w:t>Task</w:t>
            </w:r>
          </w:p>
        </w:tc>
        <w:tc>
          <w:tcPr>
            <w:tcW w:type="dxa" w:w="1361"/>
            <w:shd w:val="clear" w:color="auto" w:fill="1F3A5F"/>
          </w:tcPr>
          <w:p>
            <w:r>
              <w:rPr>
                <w:b/>
                <w:color w:val="FFFFFF"/>
                <w:sz w:val="20"/>
              </w:rPr>
              <w:t>Agent</w:t>
            </w:r>
          </w:p>
        </w:tc>
        <w:tc>
          <w:tcPr>
            <w:tcW w:type="dxa" w:w="1020"/>
            <w:shd w:val="clear" w:color="auto" w:fill="1F3A5F"/>
          </w:tcPr>
          <w:p>
            <w:r>
              <w:rPr>
                <w:b/>
                <w:color w:val="FFFFFF"/>
                <w:sz w:val="20"/>
              </w:rPr>
              <w:t>Status</w:t>
            </w:r>
          </w:p>
        </w:tc>
        <w:tc>
          <w:tcPr>
            <w:tcW w:type="dxa" w:w="907"/>
            <w:shd w:val="clear" w:color="auto" w:fill="1F3A5F"/>
          </w:tcPr>
          <w:p>
            <w:r>
              <w:rPr>
                <w:b/>
                <w:color w:val="FFFFFF"/>
                <w:sz w:val="20"/>
              </w:rPr>
              <w:t>Time</w:t>
            </w:r>
          </w:p>
        </w:tc>
      </w:tr>
      <w:tr>
        <w:tc>
          <w:tcPr>
            <w:tcW w:type="dxa" w:w="567"/>
          </w:tcPr>
          <w:p>
            <w:r>
              <w:rPr>
                <w:sz w:val="20"/>
              </w:rPr>
              <w:t>1</w:t>
            </w:r>
          </w:p>
        </w:tc>
        <w:tc>
          <w:tcPr>
            <w:tcW w:type="dxa" w:w="5216"/>
          </w:tcPr>
          <w:p>
            <w:r>
              <w:rPr>
                <w:sz w:val="20"/>
              </w:rPr>
              <w:t>Validate request and apply guardrails</w:t>
            </w:r>
          </w:p>
        </w:tc>
        <w:tc>
          <w:tcPr>
            <w:tcW w:type="dxa" w:w="1361"/>
          </w:tcPr>
          <w:p>
            <w:r>
              <w:rPr>
                <w:sz w:val="20"/>
              </w:rPr>
              <w:t>Guardrails</w:t>
            </w:r>
          </w:p>
        </w:tc>
        <w:tc>
          <w:tcPr>
            <w:tcW w:type="dxa" w:w="1020"/>
          </w:tcPr>
          <w:p>
            <w:r>
              <w:rPr>
                <w:sz w:val="20"/>
              </w:rPr>
              <w:t>Done</w:t>
            </w:r>
          </w:p>
        </w:tc>
        <w:tc>
          <w:tcPr>
            <w:tcW w:type="dxa" w:w="907"/>
          </w:tcPr>
          <w:p>
            <w:r>
              <w:rPr>
                <w:sz w:val="20"/>
              </w:rPr>
              <w:t>0.0s</w:t>
            </w:r>
          </w:p>
        </w:tc>
      </w:tr>
      <w:tr>
        <w:tc>
          <w:tcPr>
            <w:tcW w:type="dxa" w:w="567"/>
            <w:shd w:val="clear" w:color="auto" w:fill="F2F6FC"/>
          </w:tcPr>
          <w:p>
            <w:r>
              <w:rPr>
                <w:sz w:val="20"/>
              </w:rPr>
              <w:t>2</w:t>
            </w:r>
          </w:p>
        </w:tc>
        <w:tc>
          <w:tcPr>
            <w:tcW w:type="dxa" w:w="5216"/>
            <w:shd w:val="clear" w:color="auto" w:fill="F2F6FC"/>
          </w:tcPr>
          <w:p>
            <w:r>
              <w:rPr>
                <w:sz w:val="20"/>
              </w:rPr>
              <w:t>Analyse request and build execution plan</w:t>
            </w:r>
          </w:p>
        </w:tc>
        <w:tc>
          <w:tcPr>
            <w:tcW w:type="dxa" w:w="1361"/>
            <w:shd w:val="clear" w:color="auto" w:fill="F2F6FC"/>
          </w:tcPr>
          <w:p>
            <w:r>
              <w:rPr>
                <w:sz w:val="20"/>
              </w:rPr>
              <w:t>Planner</w:t>
            </w:r>
          </w:p>
        </w:tc>
        <w:tc>
          <w:tcPr>
            <w:tcW w:type="dxa" w:w="1020"/>
            <w:shd w:val="clear" w:color="auto" w:fill="F2F6FC"/>
          </w:tcPr>
          <w:p>
            <w:r>
              <w:rPr>
                <w:sz w:val="20"/>
              </w:rPr>
              <w:t>Done</w:t>
            </w:r>
          </w:p>
        </w:tc>
        <w:tc>
          <w:tcPr>
            <w:tcW w:type="dxa" w:w="907"/>
            <w:shd w:val="clear" w:color="auto" w:fill="F2F6FC"/>
          </w:tcPr>
          <w:p>
            <w:r>
              <w:rPr>
                <w:sz w:val="20"/>
              </w:rPr>
              <w:t>6.7s</w:t>
            </w:r>
          </w:p>
        </w:tc>
      </w:tr>
      <w:tr>
        <w:tc>
          <w:tcPr>
            <w:tcW w:type="dxa" w:w="567"/>
          </w:tcPr>
          <w:p>
            <w:r>
              <w:rPr>
                <w:sz w:val="20"/>
              </w:rPr>
              <w:t>3</w:t>
            </w:r>
          </w:p>
        </w:tc>
        <w:tc>
          <w:tcPr>
            <w:tcW w:type="dxa" w:w="5216"/>
          </w:tcPr>
          <w:p>
            <w:r>
              <w:rPr>
                <w:sz w:val="20"/>
              </w:rPr>
              <w:t>Write section 1: Executive Summary &amp; Business Case</w:t>
            </w:r>
          </w:p>
        </w:tc>
        <w:tc>
          <w:tcPr>
            <w:tcW w:type="dxa" w:w="1361"/>
          </w:tcPr>
          <w:p>
            <w:r>
              <w:rPr>
                <w:sz w:val="20"/>
              </w:rPr>
              <w:t>Writer</w:t>
            </w:r>
          </w:p>
        </w:tc>
        <w:tc>
          <w:tcPr>
            <w:tcW w:type="dxa" w:w="1020"/>
          </w:tcPr>
          <w:p>
            <w:r>
              <w:rPr>
                <w:sz w:val="20"/>
              </w:rPr>
              <w:t>Done</w:t>
            </w:r>
          </w:p>
        </w:tc>
        <w:tc>
          <w:tcPr>
            <w:tcW w:type="dxa" w:w="907"/>
          </w:tcPr>
          <w:p>
            <w:r>
              <w:rPr>
                <w:sz w:val="20"/>
              </w:rPr>
              <w:t>2.1s</w:t>
            </w:r>
          </w:p>
        </w:tc>
      </w:tr>
      <w:tr>
        <w:tc>
          <w:tcPr>
            <w:tcW w:type="dxa" w:w="567"/>
            <w:shd w:val="clear" w:color="auto" w:fill="F2F6FC"/>
          </w:tcPr>
          <w:p>
            <w:r>
              <w:rPr>
                <w:sz w:val="20"/>
              </w:rPr>
              <w:t>4</w:t>
            </w:r>
          </w:p>
        </w:tc>
        <w:tc>
          <w:tcPr>
            <w:tcW w:type="dxa" w:w="5216"/>
            <w:shd w:val="clear" w:color="auto" w:fill="F2F6FC"/>
          </w:tcPr>
          <w:p>
            <w:r>
              <w:rPr>
                <w:sz w:val="20"/>
              </w:rPr>
              <w:t>Write section 2: Vendor Evaluation &amp; Technology Selection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0.9s</w:t>
            </w:r>
          </w:p>
        </w:tc>
      </w:tr>
      <w:tr>
        <w:tc>
          <w:tcPr>
            <w:tcW w:type="dxa" w:w="567"/>
          </w:tcPr>
          <w:p>
            <w:r>
              <w:rPr>
                <w:sz w:val="20"/>
              </w:rPr>
              <w:t>5</w:t>
            </w:r>
          </w:p>
        </w:tc>
        <w:tc>
          <w:tcPr>
            <w:tcW w:type="dxa" w:w="5216"/>
          </w:tcPr>
          <w:p>
            <w:r>
              <w:rPr>
                <w:sz w:val="20"/>
              </w:rPr>
              <w:t>Write section 3: Phased Implementation &amp; Rollout Schedule</w:t>
            </w:r>
          </w:p>
        </w:tc>
        <w:tc>
          <w:tcPr>
            <w:tcW w:type="dxa" w:w="1361"/>
          </w:tcPr>
          <w:p>
            <w:r>
              <w:rPr>
                <w:sz w:val="20"/>
              </w:rPr>
              <w:t>Writer</w:t>
            </w:r>
          </w:p>
        </w:tc>
        <w:tc>
          <w:tcPr>
            <w:tcW w:type="dxa" w:w="1020"/>
          </w:tcPr>
          <w:p>
            <w:r>
              <w:rPr>
                <w:sz w:val="20"/>
              </w:rPr>
              <w:t>Done</w:t>
            </w:r>
          </w:p>
        </w:tc>
        <w:tc>
          <w:tcPr>
            <w:tcW w:type="dxa" w:w="907"/>
          </w:tcPr>
          <w:p>
            <w:r>
              <w:rPr>
                <w:sz w:val="20"/>
              </w:rPr>
              <w:t>2.8s</w:t>
            </w:r>
          </w:p>
        </w:tc>
      </w:tr>
      <w:tr>
        <w:tc>
          <w:tcPr>
            <w:tcW w:type="dxa" w:w="567"/>
            <w:shd w:val="clear" w:color="auto" w:fill="F2F6FC"/>
          </w:tcPr>
          <w:p>
            <w:r>
              <w:rPr>
                <w:sz w:val="20"/>
              </w:rPr>
              <w:t>6</w:t>
            </w:r>
          </w:p>
        </w:tc>
        <w:tc>
          <w:tcPr>
            <w:tcW w:type="dxa" w:w="5216"/>
            <w:shd w:val="clear" w:color="auto" w:fill="F2F6FC"/>
          </w:tcPr>
          <w:p>
            <w:r>
              <w:rPr>
                <w:sz w:val="20"/>
              </w:rPr>
              <w:t>Write section 4: Financial Analysis &amp; Budget Allocation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1.9s</w:t>
            </w:r>
          </w:p>
        </w:tc>
      </w:tr>
      <w:tr>
        <w:tc>
          <w:tcPr>
            <w:tcW w:type="dxa" w:w="567"/>
          </w:tcPr>
          <w:p>
            <w:r>
              <w:rPr>
                <w:sz w:val="20"/>
              </w:rPr>
              <w:t>7</w:t>
            </w:r>
          </w:p>
        </w:tc>
        <w:tc>
          <w:tcPr>
            <w:tcW w:type="dxa" w:w="5216"/>
          </w:tcPr>
          <w:p>
            <w:r>
              <w:rPr>
                <w:sz w:val="20"/>
              </w:rPr>
              <w:t>Write section 5: Risk Management &amp; Governance Matrix</w:t>
            </w:r>
          </w:p>
        </w:tc>
        <w:tc>
          <w:tcPr>
            <w:tcW w:type="dxa" w:w="1361"/>
          </w:tcPr>
          <w:p>
            <w:r>
              <w:rPr>
                <w:sz w:val="20"/>
              </w:rPr>
              <w:t>Writer</w:t>
            </w:r>
          </w:p>
        </w:tc>
        <w:tc>
          <w:tcPr>
            <w:tcW w:type="dxa" w:w="1020"/>
          </w:tcPr>
          <w:p>
            <w:r>
              <w:rPr>
                <w:sz w:val="20"/>
              </w:rPr>
              <w:t>Done</w:t>
            </w:r>
          </w:p>
        </w:tc>
        <w:tc>
          <w:tcPr>
            <w:tcW w:type="dxa" w:w="907"/>
          </w:tcPr>
          <w:p>
            <w:r>
              <w:rPr>
                <w:sz w:val="20"/>
              </w:rPr>
              <w:t>2.4s</w:t>
            </w:r>
          </w:p>
        </w:tc>
      </w:tr>
      <w:tr>
        <w:tc>
          <w:tcPr>
            <w:tcW w:type="dxa" w:w="567"/>
            <w:shd w:val="clear" w:color="auto" w:fill="F2F6FC"/>
          </w:tcPr>
          <w:p>
            <w:r>
              <w:rPr>
                <w:sz w:val="20"/>
              </w:rPr>
              <w:t>8</w:t>
            </w:r>
          </w:p>
        </w:tc>
        <w:tc>
          <w:tcPr>
            <w:tcW w:type="dxa" w:w="5216"/>
            <w:shd w:val="clear" w:color="auto" w:fill="F2F6FC"/>
          </w:tcPr>
          <w:p>
            <w:r>
              <w:rPr>
                <w:sz w:val="20"/>
              </w:rPr>
              <w:t>Self-review the full draft against the request</w:t>
            </w:r>
          </w:p>
        </w:tc>
        <w:tc>
          <w:tcPr>
            <w:tcW w:type="dxa" w:w="1361"/>
            <w:shd w:val="clear" w:color="auto" w:fill="F2F6FC"/>
          </w:tcPr>
          <w:p>
            <w:r>
              <w:rPr>
                <w:sz w:val="20"/>
              </w:rPr>
              <w:t>Reviewer</w:t>
            </w:r>
          </w:p>
        </w:tc>
        <w:tc>
          <w:tcPr>
            <w:tcW w:type="dxa" w:w="1020"/>
            <w:shd w:val="clear" w:color="auto" w:fill="F2F6FC"/>
          </w:tcPr>
          <w:p>
            <w:r>
              <w:rPr>
                <w:sz w:val="20"/>
              </w:rPr>
              <w:t>Done</w:t>
            </w:r>
          </w:p>
        </w:tc>
        <w:tc>
          <w:tcPr>
            <w:tcW w:type="dxa" w:w="907"/>
            <w:shd w:val="clear" w:color="auto" w:fill="F2F6FC"/>
          </w:tcPr>
          <w:p>
            <w:r>
              <w:rPr>
                <w:sz w:val="20"/>
              </w:rPr>
              <w:t>1.6s</w:t>
            </w:r>
          </w:p>
        </w:tc>
      </w:tr>
      <w:tr>
        <w:tc>
          <w:tcPr>
            <w:tcW w:type="dxa" w:w="567"/>
          </w:tcPr>
          <w:p>
            <w:r>
              <w:rPr>
                <w:sz w:val="20"/>
              </w:rPr>
              <w:t>9</w:t>
            </w:r>
          </w:p>
        </w:tc>
        <w:tc>
          <w:tcPr>
            <w:tcW w:type="dxa" w:w="5216"/>
          </w:tcPr>
          <w:p>
            <w:r>
              <w:rPr>
                <w:sz w:val="20"/>
              </w:rPr>
              <w:t>Render Microsoft Word document</w:t>
            </w:r>
          </w:p>
        </w:tc>
        <w:tc>
          <w:tcPr>
            <w:tcW w:type="dxa" w:w="1361"/>
          </w:tcPr>
          <w:p>
            <w:r>
              <w:rPr>
                <w:sz w:val="20"/>
              </w:rPr>
              <w:t>Renderer</w:t>
            </w:r>
          </w:p>
        </w:tc>
        <w:tc>
          <w:tcPr>
            <w:tcW w:type="dxa" w:w="1020"/>
          </w:tcPr>
          <w:p>
            <w:r>
              <w:rPr>
                <w:sz w:val="20"/>
              </w:rPr>
              <w:t>Done</w:t>
            </w:r>
          </w:p>
        </w:tc>
        <w:tc>
          <w:tcPr>
            <w:tcW w:type="dxa" w:w="907"/>
          </w:tcPr>
          <w:p>
            <w:r>
              <w:rPr>
                <w:sz w:val="20"/>
              </w:rPr>
              <w:t>-</w:t>
            </w:r>
          </w:p>
        </w:tc>
      </w:tr>
    </w:tbl>
    <w:p>
      <w:pPr>
        <w:spacing w:after="40"/>
      </w:pPr>
    </w:p>
    <w:p>
      <w:pPr>
        <w:pStyle w:val="Heading2"/>
      </w:pPr>
      <w:r>
        <w:t>Quality review</w:t>
      </w:r>
    </w:p>
    <w:p>
      <w:r>
        <w:rPr/>
        <w:t xml:space="preserve">Initial score </w:t>
      </w:r>
      <w:r>
        <w:rPr>
          <w:b/>
        </w:rPr>
        <w:t>10/10</w:t>
      </w:r>
      <w:r>
        <w:rPr/>
        <w:t xml:space="preserve"> - no revision needed. Acceptance threshold: 8/10.</w:t>
      </w:r>
    </w:p>
    <w:p>
      <w:r>
        <w:rPr/>
        <w:t>Reviewer summary: The draft fully addresses the request, aligns with the plan’s assumptions and key facts, and presents clear, specific information across all required sections.</w:t>
      </w:r>
    </w:p>
    <w:p>
      <w:r>
        <w:rPr>
          <w:b/>
          <w:color w:val="595959"/>
          <w:sz w:val="18"/>
        </w:rPr>
        <w:t>Language models used by each agent:</w:t>
      </w:r>
    </w:p>
    <w:p>
      <w:pPr>
        <w:pStyle w:val="ListBullet"/>
      </w:pPr>
      <w:r>
        <w:rPr>
          <w:color w:val="595959"/>
          <w:sz w:val="18"/>
        </w:rPr>
        <w:t>Planner: gemini/gemini-3.5-flash (1 call)</w:t>
      </w:r>
    </w:p>
    <w:p>
      <w:pPr>
        <w:pStyle w:val="ListBullet"/>
      </w:pPr>
      <w:r>
        <w:rPr>
          <w:color w:val="595959"/>
          <w:sz w:val="18"/>
        </w:rPr>
        <w:t>Writer: groq/openai/gpt-oss-20b (1 call), gemini/gemini-3.5-flash-lite (4 calls)</w:t>
      </w:r>
    </w:p>
    <w:p>
      <w:pPr>
        <w:pStyle w:val="ListBullet"/>
      </w:pPr>
      <w:r>
        <w:rPr>
          <w:color w:val="595959"/>
          <w:sz w:val="18"/>
        </w:rPr>
        <w:t>Reviewer: groq/openai/gpt-oss-120b (1 call)</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e35d754233e2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Board Proposal: Enterprise AI Customer Support Pilot &amp; Phased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