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p>
    <w:p>
      <w:r>
        <w:rPr>
          <w:b/>
          <w:color w:val="2E75B6"/>
          <w:sz w:val="22"/>
        </w:rPr>
        <w:t>PROJECT PLAN</w:t>
      </w:r>
    </w:p>
    <w:p>
      <w:pPr>
        <w:spacing w:after="200"/>
      </w:pPr>
      <w:r>
        <w:rPr>
          <w:b/>
          <w:color w:val="1F3A5F"/>
          <w:sz w:val="56"/>
        </w:rPr>
        <w:t>CRM Migration to Salesforce – Project Plan</w:t>
      </w:r>
    </w:p>
    <w:p>
      <w:r>
        <w:rPr>
          <w:i/>
          <w:color w:val="595959"/>
          <w:sz w:val="26"/>
        </w:rPr>
        <w:t>Provide a clear roadmap, schedule, responsibilities, budget, and risk mitigation strategy for moving the on‑premise CRM to Salesforce within four months.</w:t>
      </w:r>
    </w:p>
    <w:p>
      <w:pPr>
        <w:pBdr>
          <w:bottom w:val="single" w:sz="12" w:space="1" w:color="2E75B6"/>
        </w:pBdr>
        <w:spacing w:after="480"/>
      </w:pPr>
    </w:p>
    <w:tbl>
      <w:tblPr>
        <w:tblStyle w:val="TableGrid"/>
        <w:tblW w:type="auto" w:w="0"/>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c>
          <w:tcPr>
            <w:tcW w:type="dxa" w:w="2551"/>
            <w:shd w:val="clear" w:color="auto" w:fill="E8EEF6"/>
          </w:tcPr>
          <w:p>
            <w:r>
              <w:rPr>
                <w:b/>
                <w:color w:val="1F3A5F"/>
                <w:sz w:val="20"/>
              </w:rPr>
              <w:t>Prepared for</w:t>
            </w:r>
          </w:p>
        </w:tc>
        <w:tc>
          <w:tcPr>
            <w:tcW w:type="dxa" w:w="6520"/>
          </w:tcPr>
          <w:p>
            <w:r>
              <w:rPr>
                <w:sz w:val="20"/>
              </w:rPr>
              <w:t>Executive sponsors, IT leadership, and the migration team</w:t>
            </w:r>
          </w:p>
        </w:tc>
      </w:tr>
      <w:tr>
        <w:tc>
          <w:tcPr>
            <w:tcW w:type="dxa" w:w="2551"/>
            <w:shd w:val="clear" w:color="auto" w:fill="E8EEF6"/>
          </w:tcPr>
          <w:p>
            <w:r>
              <w:rPr>
                <w:b/>
                <w:color w:val="1F3A5F"/>
                <w:sz w:val="20"/>
              </w:rPr>
              <w:t>Document type</w:t>
            </w:r>
          </w:p>
        </w:tc>
        <w:tc>
          <w:tcPr>
            <w:tcW w:type="dxa" w:w="6520"/>
          </w:tcPr>
          <w:p>
            <w:r>
              <w:rPr>
                <w:sz w:val="20"/>
              </w:rPr>
              <w:t>Project Plan</w:t>
            </w:r>
          </w:p>
        </w:tc>
      </w:tr>
      <w:tr>
        <w:tc>
          <w:tcPr>
            <w:tcW w:type="dxa" w:w="2551"/>
            <w:shd w:val="clear" w:color="auto" w:fill="E8EEF6"/>
          </w:tcPr>
          <w:p>
            <w:r>
              <w:rPr>
                <w:b/>
                <w:color w:val="1F3A5F"/>
                <w:sz w:val="20"/>
              </w:rPr>
              <w:t>Date</w:t>
            </w:r>
          </w:p>
        </w:tc>
        <w:tc>
          <w:tcPr>
            <w:tcW w:type="dxa" w:w="6520"/>
          </w:tcPr>
          <w:p>
            <w:r>
              <w:rPr>
                <w:sz w:val="20"/>
              </w:rPr>
              <w:t>22 October 2026</w:t>
            </w:r>
          </w:p>
        </w:tc>
      </w:tr>
      <w:tr>
        <w:tc>
          <w:tcPr>
            <w:tcW w:type="dxa" w:w="2551"/>
            <w:shd w:val="clear" w:color="auto" w:fill="E8EEF6"/>
          </w:tcPr>
          <w:p>
            <w:r>
              <w:rPr>
                <w:b/>
                <w:color w:val="1F3A5F"/>
                <w:sz w:val="20"/>
              </w:rPr>
              <w:t>Quality review</w:t>
            </w:r>
          </w:p>
        </w:tc>
        <w:tc>
          <w:tcPr>
            <w:tcW w:type="dxa" w:w="6520"/>
          </w:tcPr>
          <w:p>
            <w:r>
              <w:rPr>
                <w:sz w:val="20"/>
              </w:rPr>
              <w:t>10/10 (automated self-review)</w:t>
            </w:r>
          </w:p>
        </w:tc>
      </w:tr>
      <w:tr>
        <w:tc>
          <w:tcPr>
            <w:tcW w:type="dxa" w:w="2551"/>
            <w:shd w:val="clear" w:color="auto" w:fill="E8EEF6"/>
          </w:tcPr>
          <w:p>
            <w:r>
              <w:rPr>
                <w:b/>
                <w:color w:val="1F3A5F"/>
                <w:sz w:val="20"/>
              </w:rPr>
              <w:t>Reference</w:t>
            </w:r>
          </w:p>
        </w:tc>
        <w:tc>
          <w:tcPr>
            <w:tcW w:type="dxa" w:w="6520"/>
          </w:tcPr>
          <w:p>
            <w:r>
              <w:rPr>
                <w:sz w:val="20"/>
              </w:rPr>
              <w:t>9a4d878079ee</w:t>
            </w:r>
          </w:p>
        </w:tc>
      </w:tr>
    </w:tbl>
    <w:p>
      <w:r>
        <w:br w:type="page"/>
      </w:r>
    </w:p>
    <w:p>
      <w:pPr>
        <w:pStyle w:val="Heading1"/>
      </w:pPr>
      <w:r>
        <w:t>Contents</w:t>
      </w:r>
    </w:p>
    <w:p>
      <w:pPr>
        <w:spacing w:after="40"/>
        <w:ind w:left="283"/>
      </w:pPr>
      <w:r>
        <w:rPr>
          <w:b/>
          <w:color w:val="2E75B6"/>
        </w:rPr>
        <w:t xml:space="preserve">1.  </w:t>
      </w:r>
      <w:r>
        <w:rPr/>
        <w:t>Executive Summary</w:t>
      </w:r>
    </w:p>
    <w:p>
      <w:pPr>
        <w:spacing w:after="40"/>
        <w:ind w:left="283"/>
      </w:pPr>
      <w:r>
        <w:rPr>
          <w:b/>
          <w:color w:val="2E75B6"/>
        </w:rPr>
        <w:t xml:space="preserve">2.  </w:t>
      </w:r>
      <w:r>
        <w:rPr/>
        <w:t>Timeline &amp; Milestones</w:t>
      </w:r>
    </w:p>
    <w:p>
      <w:pPr>
        <w:spacing w:after="40"/>
        <w:ind w:left="283"/>
      </w:pPr>
      <w:r>
        <w:rPr>
          <w:b/>
          <w:color w:val="2E75B6"/>
        </w:rPr>
        <w:t xml:space="preserve">3.  </w:t>
      </w:r>
      <w:r>
        <w:rPr/>
        <w:t>Roles &amp; Responsibilities (RACI)</w:t>
      </w:r>
    </w:p>
    <w:p>
      <w:pPr>
        <w:spacing w:after="40"/>
        <w:ind w:left="283"/>
      </w:pPr>
      <w:r>
        <w:rPr>
          <w:b/>
          <w:color w:val="2E75B6"/>
        </w:rPr>
        <w:t xml:space="preserve">4.  </w:t>
      </w:r>
      <w:r>
        <w:rPr/>
        <w:t>Budget Breakdown</w:t>
      </w:r>
    </w:p>
    <w:p>
      <w:pPr>
        <w:spacing w:after="40"/>
        <w:ind w:left="283"/>
      </w:pPr>
      <w:r>
        <w:rPr>
          <w:b/>
          <w:color w:val="2E75B6"/>
        </w:rPr>
        <w:t xml:space="preserve">5.  </w:t>
      </w:r>
      <w:r>
        <w:rPr/>
        <w:t>Risk Management</w:t>
      </w:r>
    </w:p>
    <w:p>
      <w:pPr>
        <w:spacing w:after="40"/>
        <w:ind w:left="283"/>
      </w:pPr>
      <w:r>
        <w:rPr>
          <w:b/>
          <w:color w:val="2E75B6"/>
        </w:rPr>
        <w:t xml:space="preserve">6.  </w:t>
      </w:r>
      <w:r>
        <w:rPr/>
        <w:t>Communication &amp; Reporting Plan</w:t>
      </w:r>
    </w:p>
    <w:p>
      <w:pPr>
        <w:pStyle w:val="Heading1"/>
      </w:pPr>
      <w:r>
        <w:t>Key Facts at a Glance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rPr>
          <w:tblHeader w:val="true"/>
        </w:trPr>
        <w:tc>
          <w:tcPr>
            <w:tcW w:type="dxa" w:w="2835"/>
            <w:shd w:val="clear" w:color="auto" w:fill="1F3A5F"/>
          </w:tcPr>
          <w:p>
            <w:r>
              <w:rPr>
                <w:b/>
                <w:color w:val="FFFFFF"/>
                <w:sz w:val="20"/>
              </w:rPr>
              <w:t>Item</w:t>
            </w:r>
          </w:p>
        </w:tc>
        <w:tc>
          <w:tcPr>
            <w:tcW w:type="dxa" w:w="6236"/>
            <w:shd w:val="clear" w:color="auto" w:fill="1F3A5F"/>
          </w:tcPr>
          <w:p>
            <w:r>
              <w:rPr>
                <w:b/>
                <w:color w:val="FFFFFF"/>
                <w:sz w:val="20"/>
              </w:rPr>
              <w:t>Detail</w:t>
            </w:r>
          </w:p>
        </w:tc>
      </w:tr>
      <w:tr>
        <w:tc>
          <w:tcPr>
            <w:tcW w:type="dxa" w:w="2835"/>
          </w:tcPr>
          <w:p>
            <w:r>
              <w:rPr>
                <w:sz w:val="20"/>
              </w:rPr>
              <w:t>Project start date</w:t>
            </w:r>
          </w:p>
        </w:tc>
        <w:tc>
          <w:tcPr>
            <w:tcW w:type="dxa" w:w="6236"/>
          </w:tcPr>
          <w:p>
            <w:r>
              <w:rPr>
                <w:sz w:val="20"/>
              </w:rPr>
              <w:t>2026-11-01</w:t>
            </w:r>
          </w:p>
        </w:tc>
      </w:tr>
      <w:tr>
        <w:tc>
          <w:tcPr>
            <w:tcW w:type="dxa" w:w="2835"/>
            <w:shd w:val="clear" w:color="auto" w:fill="F2F6FC"/>
          </w:tcPr>
          <w:p>
            <w:r>
              <w:rPr>
                <w:sz w:val="20"/>
              </w:rPr>
              <w:t>Project end date</w:t>
            </w:r>
          </w:p>
        </w:tc>
        <w:tc>
          <w:tcPr>
            <w:tcW w:type="dxa" w:w="6236"/>
            <w:shd w:val="clear" w:color="auto" w:fill="F2F6FC"/>
          </w:tcPr>
          <w:p>
            <w:r>
              <w:rPr>
                <w:sz w:val="20"/>
              </w:rPr>
              <w:t>2027-02-28</w:t>
            </w:r>
          </w:p>
        </w:tc>
      </w:tr>
      <w:tr>
        <w:tc>
          <w:tcPr>
            <w:tcW w:type="dxa" w:w="2835"/>
          </w:tcPr>
          <w:p>
            <w:r>
              <w:rPr>
                <w:sz w:val="20"/>
              </w:rPr>
              <w:t>Total budget</w:t>
            </w:r>
          </w:p>
        </w:tc>
        <w:tc>
          <w:tcPr>
            <w:tcW w:type="dxa" w:w="6236"/>
          </w:tcPr>
          <w:p>
            <w:r>
              <w:rPr>
                <w:sz w:val="20"/>
              </w:rPr>
              <w:t>$120,000 (Licensing $70,000; Consulting $20,000; Contingency $15,000; Training $15,000)</w:t>
            </w:r>
          </w:p>
        </w:tc>
      </w:tr>
      <w:tr>
        <w:tc>
          <w:tcPr>
            <w:tcW w:type="dxa" w:w="2835"/>
            <w:shd w:val="clear" w:color="auto" w:fill="F2F6FC"/>
          </w:tcPr>
          <w:p>
            <w:r>
              <w:rPr>
                <w:sz w:val="20"/>
              </w:rPr>
              <w:t>Project lead</w:t>
            </w:r>
          </w:p>
        </w:tc>
        <w:tc>
          <w:tcPr>
            <w:tcW w:type="dxa" w:w="6236"/>
            <w:shd w:val="clear" w:color="auto" w:fill="F2F6FC"/>
          </w:tcPr>
          <w:p>
            <w:r>
              <w:rPr>
                <w:sz w:val="20"/>
              </w:rPr>
              <w:t>Alex Morgan, IT Program Manager</w:t>
            </w:r>
          </w:p>
        </w:tc>
      </w:tr>
      <w:tr>
        <w:tc>
          <w:tcPr>
            <w:tcW w:type="dxa" w:w="2835"/>
          </w:tcPr>
          <w:p>
            <w:r>
              <w:rPr>
                <w:sz w:val="20"/>
              </w:rPr>
              <w:t>Team size</w:t>
            </w:r>
          </w:p>
        </w:tc>
        <w:tc>
          <w:tcPr>
            <w:tcW w:type="dxa" w:w="6236"/>
          </w:tcPr>
          <w:p>
            <w:r>
              <w:rPr>
                <w:sz w:val="20"/>
              </w:rPr>
              <w:t>5 engineers (John Lee, Priya Patel, Marco Silva, Elena Gomez, and David Chen)</w:t>
            </w:r>
          </w:p>
        </w:tc>
      </w:tr>
      <w:tr>
        <w:tc>
          <w:tcPr>
            <w:tcW w:type="dxa" w:w="2835"/>
            <w:shd w:val="clear" w:color="auto" w:fill="F2F6FC"/>
          </w:tcPr>
          <w:p>
            <w:r>
              <w:rPr>
                <w:sz w:val="20"/>
              </w:rPr>
              <w:t>Target go‑live date</w:t>
            </w:r>
          </w:p>
        </w:tc>
        <w:tc>
          <w:tcPr>
            <w:tcW w:type="dxa" w:w="6236"/>
            <w:shd w:val="clear" w:color="auto" w:fill="F2F6FC"/>
          </w:tcPr>
          <w:p>
            <w:r>
              <w:rPr>
                <w:sz w:val="20"/>
              </w:rPr>
              <w:t>2027-02-20</w:t>
            </w:r>
          </w:p>
        </w:tc>
      </w:tr>
    </w:tbl>
    <w:p>
      <w:pPr>
        <w:spacing w:after="40"/>
      </w:pPr>
    </w:p>
    <w:p>
      <w:pPr>
        <w:pStyle w:val="Heading1"/>
      </w:pPr>
      <w:r>
        <w:t>Assumptions and Clarifications</w:t>
      </w:r>
    </w:p>
    <w:p>
      <w:r>
        <w:rPr>
          <w:color w:val="595959"/>
        </w:rPr>
        <w:t>The request did not specify everything needed, so the agent made the following explicit decisions. Please confirm or correct them.</w:t>
      </w:r>
    </w:p>
    <w:tbl>
      <w:tblPr>
        <w:tblW w:type="auto" w:w="0"/>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firstColumn="1" w:firstRow="1" w:lastColumn="0" w:lastRow="0" w:noHBand="0" w:noVBand="1" w:val="04A0"/>
      </w:tblPr>
      <w:tblGrid>
        <w:gridCol w:w="9632"/>
      </w:tblGrid>
      <w:tr>
        <w:tc>
          <w:tcPr>
            <w:tcW w:type="dxa" w:w="9632"/>
            <w:shd w:val="clear" w:color="auto" w:fill="EAF1FB"/>
          </w:tcPr>
          <w:p>
            <w:r>
              <w:rPr>
                <w:b/>
                <w:color w:val="1F3A5F"/>
              </w:rPr>
              <w:t>Assumptions</w:t>
            </w:r>
          </w:p>
          <w:p>
            <w:pPr>
              <w:pStyle w:val="ListBullet"/>
            </w:pPr>
            <w:r>
              <w:rPr>
                <w:sz w:val="20"/>
              </w:rPr>
              <w:t>Project start date is 2026‑11‑01 (allowing a two‑week preparation window after today).</w:t>
            </w:r>
          </w:p>
          <w:p>
            <w:pPr>
              <w:pStyle w:val="ListBullet"/>
            </w:pPr>
            <w:r>
              <w:rPr>
                <w:sz w:val="20"/>
              </w:rPr>
              <w:t>All five engineers are dedicated full‑time to the migration.</w:t>
            </w:r>
          </w:p>
          <w:p>
            <w:pPr>
              <w:pStyle w:val="ListBullet"/>
            </w:pPr>
            <w:r>
              <w:rPr>
                <w:sz w:val="20"/>
              </w:rPr>
              <w:t>Budget includes Salesforce licenses, third‑party integration tools, and a modest consulting contingency.</w:t>
            </w:r>
          </w:p>
          <w:p>
            <w:pPr>
              <w:pStyle w:val="ListBullet"/>
            </w:pPr>
            <w:r>
              <w:rPr>
                <w:sz w:val="20"/>
              </w:rPr>
              <w:t>Alex Morgan (IT Program Manager) is appointed Project Lead.</w:t>
            </w:r>
          </w:p>
          <w:p>
            <w:pPr>
              <w:pStyle w:val="ListBullet"/>
            </w:pPr>
            <w:r>
              <w:rPr>
                <w:sz w:val="20"/>
              </w:rPr>
              <w:t>No major scope changes (e.g., adding new modules) will occur after the design phase.</w:t>
            </w:r>
          </w:p>
          <w:p>
            <w:pPr>
              <w:spacing w:before="160"/>
            </w:pPr>
            <w:r>
              <w:rPr>
                <w:b/>
                <w:color w:val="1F3A5F"/>
              </w:rPr>
              <w:t>Conflicting or ambiguous requirements - and how they were resolved</w:t>
            </w:r>
          </w:p>
          <w:p>
            <w:pPr>
              <w:pStyle w:val="ListBullet"/>
            </w:pPr>
            <w:r>
              <w:rPr>
                <w:sz w:val="20"/>
              </w:rPr>
              <w:t>timeline vs. scope → The four‑month window is tight for a full data migration and integration; scope is limited to core CRM functionality and existing custom objects only.</w:t>
            </w:r>
          </w:p>
          <w:p>
            <w:pPr>
              <w:pStyle w:val="ListBullet"/>
            </w:pPr>
            <w:r>
              <w:rPr>
                <w:sz w:val="20"/>
              </w:rPr>
              <w:t>budget vs. quality → $120,000 limits external consulting; resolution: rely on internal engineers for most tasks and allocate only $20,000 for specialist consulting and training.</w:t>
            </w:r>
          </w:p>
        </w:tc>
      </w:tr>
    </w:tbl>
    <w:p>
      <w:pPr>
        <w:pStyle w:val="Heading1"/>
      </w:pPr>
      <w:r>
        <w:t>1. Executive Summary</w:t>
      </w:r>
    </w:p>
    <w:p>
      <w:r>
        <w:rPr/>
        <w:t xml:space="preserve">This </w:t>
      </w:r>
      <w:r>
        <w:rPr>
          <w:b/>
        </w:rPr>
        <w:t>Project Plan</w:t>
      </w:r>
      <w:r>
        <w:rPr/>
        <w:t xml:space="preserve"> charts the migration of our legacy on‑premise CRM to Salesforce, scheduled to begin on </w:t>
      </w:r>
      <w:r>
        <w:rPr>
          <w:b/>
        </w:rPr>
        <w:t>2026‑11‑01</w:t>
      </w:r>
      <w:r>
        <w:rPr/>
        <w:t xml:space="preserve"> and conclude on </w:t>
      </w:r>
      <w:r>
        <w:rPr>
          <w:b/>
        </w:rPr>
        <w:t>2027‑02‑28</w:t>
      </w:r>
      <w:r>
        <w:rPr/>
        <w:t xml:space="preserve">. The initiative aims to modernize customer data management, enhance system performance, and streamline sales workflows by focusing on core CRM functionality and existing custom objects. Under the leadership of </w:t>
      </w:r>
      <w:r>
        <w:rPr>
          <w:b/>
        </w:rPr>
        <w:t>Alex Morgan</w:t>
      </w:r>
      <w:r>
        <w:rPr/>
        <w:t>, IT Program Manager, a dedicated team of five engineers—</w:t>
      </w:r>
      <w:r>
        <w:rPr>
          <w:b/>
        </w:rPr>
        <w:t>John Lee</w:t>
      </w:r>
      <w:r>
        <w:rPr/>
        <w:t xml:space="preserve">, </w:t>
      </w:r>
      <w:r>
        <w:rPr>
          <w:b/>
        </w:rPr>
        <w:t>Priya Patel</w:t>
      </w:r>
      <w:r>
        <w:rPr/>
        <w:t xml:space="preserve">, </w:t>
      </w:r>
      <w:r>
        <w:rPr>
          <w:b/>
        </w:rPr>
        <w:t>Marco Silva</w:t>
      </w:r>
      <w:r>
        <w:rPr/>
        <w:t xml:space="preserve">, </w:t>
      </w:r>
      <w:r>
        <w:rPr>
          <w:b/>
        </w:rPr>
        <w:t>Elena Gomez</w:t>
      </w:r>
      <w:r>
        <w:rPr/>
        <w:t xml:space="preserve">, and </w:t>
      </w:r>
      <w:r>
        <w:rPr>
          <w:b/>
        </w:rPr>
        <w:t>David Chen</w:t>
      </w:r>
      <w:r>
        <w:rPr/>
        <w:t xml:space="preserve">—will execute the migration within a strict four‑month window. The approved budget of </w:t>
      </w:r>
      <w:r>
        <w:rPr>
          <w:b/>
        </w:rPr>
        <w:t>$120,000</w:t>
      </w:r>
      <w:r>
        <w:rPr/>
        <w:t xml:space="preserve"> is allocated across licensing ($70,000), consulting ($20,000), contingency ($15,000), and training ($15,000). The target go‑live date remains </w:t>
      </w:r>
      <w:r>
        <w:rPr>
          <w:b/>
        </w:rPr>
        <w:t>2027‑02‑20</w:t>
      </w:r>
      <w:r>
        <w:rPr/>
        <w:t>, with an additional eight‑day post‑go‑live support phase (weeks 17‑18) to address any residual issues and finalize project closure. Expected business benefits include heightened data security, reduced hardware maintenance costs, and improved cross‑departmental visibility through unified cloud capabilities.</w:t>
      </w:r>
    </w:p>
    <w:p>
      <w:pPr>
        <w:pStyle w:val="Heading1"/>
      </w:pPr>
      <w:r>
        <w:t>2. Timeline &amp; Milestones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605"/>
        <w:gridCol w:w="1605"/>
        <w:gridCol w:w="1605"/>
        <w:gridCol w:w="1605"/>
        <w:gridCol w:w="1605"/>
        <w:gridCol w:w="1605"/>
      </w:tblGrid>
      <w:tr>
        <w:trPr>
          <w:tblHeader w:val="true"/>
        </w:trPr>
        <w:tc>
          <w:tcPr>
            <w:tcW w:type="dxa" w:w="1141"/>
            <w:shd w:val="clear" w:color="auto" w:fill="1F3A5F"/>
          </w:tcPr>
          <w:p>
            <w:r>
              <w:rPr>
                <w:b/>
                <w:color w:val="FFFFFF"/>
                <w:sz w:val="20"/>
              </w:rPr>
              <w:t>Week</w:t>
            </w:r>
          </w:p>
        </w:tc>
        <w:tc>
          <w:tcPr>
            <w:tcW w:type="dxa" w:w="1297"/>
            <w:shd w:val="clear" w:color="auto" w:fill="1F3A5F"/>
          </w:tcPr>
          <w:p>
            <w:r>
              <w:rPr>
                <w:b/>
                <w:color w:val="FFFFFF"/>
                <w:sz w:val="20"/>
              </w:rPr>
              <w:t>Start Date</w:t>
            </w:r>
          </w:p>
        </w:tc>
        <w:tc>
          <w:tcPr>
            <w:tcW w:type="dxa" w:w="1297"/>
            <w:shd w:val="clear" w:color="auto" w:fill="1F3A5F"/>
          </w:tcPr>
          <w:p>
            <w:r>
              <w:rPr>
                <w:b/>
                <w:color w:val="FFFFFF"/>
                <w:sz w:val="20"/>
              </w:rPr>
              <w:t>End Date</w:t>
            </w:r>
          </w:p>
        </w:tc>
        <w:tc>
          <w:tcPr>
            <w:tcW w:type="dxa" w:w="1910"/>
            <w:shd w:val="clear" w:color="auto" w:fill="1F3A5F"/>
          </w:tcPr>
          <w:p>
            <w:r>
              <w:rPr>
                <w:b/>
                <w:color w:val="FFFFFF"/>
                <w:sz w:val="20"/>
              </w:rPr>
              <w:t>Milestone</w:t>
            </w:r>
          </w:p>
        </w:tc>
        <w:tc>
          <w:tcPr>
            <w:tcW w:type="dxa" w:w="1336"/>
            <w:shd w:val="clear" w:color="auto" w:fill="1F3A5F"/>
          </w:tcPr>
          <w:p>
            <w:r>
              <w:rPr>
                <w:b/>
                <w:color w:val="FFFFFF"/>
                <w:sz w:val="20"/>
              </w:rPr>
              <w:t>Owner</w:t>
            </w:r>
          </w:p>
        </w:tc>
        <w:tc>
          <w:tcPr>
            <w:tcW w:type="dxa" w:w="2316"/>
            <w:shd w:val="clear" w:color="auto" w:fill="1F3A5F"/>
          </w:tcPr>
          <w:p>
            <w:r>
              <w:rPr>
                <w:b/>
                <w:color w:val="FFFFFF"/>
                <w:sz w:val="20"/>
              </w:rPr>
              <w:t>Deliverable</w:t>
            </w:r>
          </w:p>
        </w:tc>
      </w:tr>
      <w:tr>
        <w:tc>
          <w:tcPr>
            <w:tcW w:type="dxa" w:w="1141"/>
          </w:tcPr>
          <w:p>
            <w:r>
              <w:rPr>
                <w:sz w:val="20"/>
              </w:rPr>
              <w:t>1</w:t>
            </w:r>
          </w:p>
        </w:tc>
        <w:tc>
          <w:tcPr>
            <w:tcW w:type="dxa" w:w="1297"/>
          </w:tcPr>
          <w:p>
            <w:r>
              <w:rPr>
                <w:sz w:val="20"/>
              </w:rPr>
              <w:t>2026-11-01</w:t>
            </w:r>
          </w:p>
        </w:tc>
        <w:tc>
          <w:tcPr>
            <w:tcW w:type="dxa" w:w="1297"/>
          </w:tcPr>
          <w:p>
            <w:r>
              <w:rPr>
                <w:sz w:val="20"/>
              </w:rPr>
              <w:t>2026-11-07</w:t>
            </w:r>
          </w:p>
        </w:tc>
        <w:tc>
          <w:tcPr>
            <w:tcW w:type="dxa" w:w="1910"/>
          </w:tcPr>
          <w:p>
            <w:r>
              <w:rPr>
                <w:sz w:val="20"/>
              </w:rPr>
              <w:t>Project Kick‑off &amp; Environment Setup</w:t>
            </w:r>
          </w:p>
        </w:tc>
        <w:tc>
          <w:tcPr>
            <w:tcW w:type="dxa" w:w="1336"/>
          </w:tcPr>
          <w:p>
            <w:r>
              <w:rPr>
                <w:sz w:val="20"/>
              </w:rPr>
              <w:t>Alex Morgan</w:t>
            </w:r>
          </w:p>
        </w:tc>
        <w:tc>
          <w:tcPr>
            <w:tcW w:type="dxa" w:w="2316"/>
          </w:tcPr>
          <w:p>
            <w:r>
              <w:rPr>
                <w:sz w:val="20"/>
              </w:rPr>
              <w:t>Kick‑off deck, sandbox provisioning</w:t>
            </w:r>
          </w:p>
        </w:tc>
      </w:tr>
      <w:tr>
        <w:tc>
          <w:tcPr>
            <w:tcW w:type="dxa" w:w="1141"/>
            <w:shd w:val="clear" w:color="auto" w:fill="F2F6FC"/>
          </w:tcPr>
          <w:p>
            <w:r>
              <w:rPr>
                <w:sz w:val="20"/>
              </w:rPr>
              <w:t>2</w:t>
            </w:r>
          </w:p>
        </w:tc>
        <w:tc>
          <w:tcPr>
            <w:tcW w:type="dxa" w:w="1297"/>
            <w:shd w:val="clear" w:color="auto" w:fill="F2F6FC"/>
          </w:tcPr>
          <w:p>
            <w:r>
              <w:rPr>
                <w:sz w:val="20"/>
              </w:rPr>
              <w:t>2026-11-08</w:t>
            </w:r>
          </w:p>
        </w:tc>
        <w:tc>
          <w:tcPr>
            <w:tcW w:type="dxa" w:w="1297"/>
            <w:shd w:val="clear" w:color="auto" w:fill="F2F6FC"/>
          </w:tcPr>
          <w:p>
            <w:r>
              <w:rPr>
                <w:sz w:val="20"/>
              </w:rPr>
              <w:t>2026-11-14</w:t>
            </w:r>
          </w:p>
        </w:tc>
        <w:tc>
          <w:tcPr>
            <w:tcW w:type="dxa" w:w="1910"/>
            <w:shd w:val="clear" w:color="auto" w:fill="F2F6FC"/>
          </w:tcPr>
          <w:p>
            <w:r>
              <w:rPr>
                <w:sz w:val="20"/>
              </w:rPr>
              <w:t>Requirements Finalization</w:t>
            </w:r>
          </w:p>
        </w:tc>
        <w:tc>
          <w:tcPr>
            <w:tcW w:type="dxa" w:w="1336"/>
            <w:shd w:val="clear" w:color="auto" w:fill="F2F6FC"/>
          </w:tcPr>
          <w:p>
            <w:r>
              <w:rPr>
                <w:sz w:val="20"/>
              </w:rPr>
              <w:t>John Lee</w:t>
            </w:r>
          </w:p>
        </w:tc>
        <w:tc>
          <w:tcPr>
            <w:tcW w:type="dxa" w:w="2316"/>
            <w:shd w:val="clear" w:color="auto" w:fill="F2F6FC"/>
          </w:tcPr>
          <w:p>
            <w:r>
              <w:rPr>
                <w:sz w:val="20"/>
              </w:rPr>
              <w:t>Requirements spec, data mapping document</w:t>
            </w:r>
          </w:p>
        </w:tc>
      </w:tr>
      <w:tr>
        <w:tc>
          <w:tcPr>
            <w:tcW w:type="dxa" w:w="1141"/>
          </w:tcPr>
          <w:p>
            <w:r>
              <w:rPr>
                <w:sz w:val="20"/>
              </w:rPr>
              <w:t>3</w:t>
            </w:r>
          </w:p>
        </w:tc>
        <w:tc>
          <w:tcPr>
            <w:tcW w:type="dxa" w:w="1297"/>
          </w:tcPr>
          <w:p>
            <w:r>
              <w:rPr>
                <w:sz w:val="20"/>
              </w:rPr>
              <w:t>2026-11-15</w:t>
            </w:r>
          </w:p>
        </w:tc>
        <w:tc>
          <w:tcPr>
            <w:tcW w:type="dxa" w:w="1297"/>
          </w:tcPr>
          <w:p>
            <w:r>
              <w:rPr>
                <w:sz w:val="20"/>
              </w:rPr>
              <w:t>2026-11-21</w:t>
            </w:r>
          </w:p>
        </w:tc>
        <w:tc>
          <w:tcPr>
            <w:tcW w:type="dxa" w:w="1910"/>
          </w:tcPr>
          <w:p>
            <w:r>
              <w:rPr>
                <w:sz w:val="20"/>
              </w:rPr>
              <w:t>Data Model Design</w:t>
            </w:r>
          </w:p>
        </w:tc>
        <w:tc>
          <w:tcPr>
            <w:tcW w:type="dxa" w:w="1336"/>
          </w:tcPr>
          <w:p>
            <w:r>
              <w:rPr>
                <w:sz w:val="20"/>
              </w:rPr>
              <w:t>Priya Patel</w:t>
            </w:r>
          </w:p>
        </w:tc>
        <w:tc>
          <w:tcPr>
            <w:tcW w:type="dxa" w:w="2316"/>
          </w:tcPr>
          <w:p>
            <w:r>
              <w:rPr>
                <w:sz w:val="20"/>
              </w:rPr>
              <w:t>Object schema, field mapping</w:t>
            </w:r>
          </w:p>
        </w:tc>
      </w:tr>
      <w:tr>
        <w:tc>
          <w:tcPr>
            <w:tcW w:type="dxa" w:w="1141"/>
            <w:shd w:val="clear" w:color="auto" w:fill="F2F6FC"/>
          </w:tcPr>
          <w:p>
            <w:r>
              <w:rPr>
                <w:sz w:val="20"/>
              </w:rPr>
              <w:t>4</w:t>
            </w:r>
          </w:p>
        </w:tc>
        <w:tc>
          <w:tcPr>
            <w:tcW w:type="dxa" w:w="1297"/>
            <w:shd w:val="clear" w:color="auto" w:fill="F2F6FC"/>
          </w:tcPr>
          <w:p>
            <w:r>
              <w:rPr>
                <w:sz w:val="20"/>
              </w:rPr>
              <w:t>2026-11-22</w:t>
            </w:r>
          </w:p>
        </w:tc>
        <w:tc>
          <w:tcPr>
            <w:tcW w:type="dxa" w:w="1297"/>
            <w:shd w:val="clear" w:color="auto" w:fill="F2F6FC"/>
          </w:tcPr>
          <w:p>
            <w:r>
              <w:rPr>
                <w:sz w:val="20"/>
              </w:rPr>
              <w:t>2026-11-28</w:t>
            </w:r>
          </w:p>
        </w:tc>
        <w:tc>
          <w:tcPr>
            <w:tcW w:type="dxa" w:w="1910"/>
            <w:shd w:val="clear" w:color="auto" w:fill="F2F6FC"/>
          </w:tcPr>
          <w:p>
            <w:r>
              <w:rPr>
                <w:sz w:val="20"/>
              </w:rPr>
              <w:t>Sandbox Configuration</w:t>
            </w:r>
          </w:p>
        </w:tc>
        <w:tc>
          <w:tcPr>
            <w:tcW w:type="dxa" w:w="1336"/>
            <w:shd w:val="clear" w:color="auto" w:fill="F2F6FC"/>
          </w:tcPr>
          <w:p>
            <w:r>
              <w:rPr>
                <w:sz w:val="20"/>
              </w:rPr>
              <w:t>Marco Silva</w:t>
            </w:r>
          </w:p>
        </w:tc>
        <w:tc>
          <w:tcPr>
            <w:tcW w:type="dxa" w:w="2316"/>
            <w:shd w:val="clear" w:color="auto" w:fill="F2F6FC"/>
          </w:tcPr>
          <w:p>
            <w:r>
              <w:rPr>
                <w:sz w:val="20"/>
              </w:rPr>
              <w:t>Sandbox org ready, initial data load</w:t>
            </w:r>
          </w:p>
        </w:tc>
      </w:tr>
      <w:tr>
        <w:tc>
          <w:tcPr>
            <w:tcW w:type="dxa" w:w="1141"/>
          </w:tcPr>
          <w:p>
            <w:r>
              <w:rPr>
                <w:sz w:val="20"/>
              </w:rPr>
              <w:t>5</w:t>
            </w:r>
          </w:p>
        </w:tc>
        <w:tc>
          <w:tcPr>
            <w:tcW w:type="dxa" w:w="1297"/>
          </w:tcPr>
          <w:p>
            <w:r>
              <w:rPr>
                <w:sz w:val="20"/>
              </w:rPr>
              <w:t>2026-11-29</w:t>
            </w:r>
          </w:p>
        </w:tc>
        <w:tc>
          <w:tcPr>
            <w:tcW w:type="dxa" w:w="1297"/>
          </w:tcPr>
          <w:p>
            <w:r>
              <w:rPr>
                <w:sz w:val="20"/>
              </w:rPr>
              <w:t>2026-12-05</w:t>
            </w:r>
          </w:p>
        </w:tc>
        <w:tc>
          <w:tcPr>
            <w:tcW w:type="dxa" w:w="1910"/>
          </w:tcPr>
          <w:p>
            <w:r>
              <w:rPr>
                <w:sz w:val="20"/>
              </w:rPr>
              <w:t>Integration Architecture</w:t>
            </w:r>
          </w:p>
        </w:tc>
        <w:tc>
          <w:tcPr>
            <w:tcW w:type="dxa" w:w="1336"/>
          </w:tcPr>
          <w:p>
            <w:r>
              <w:rPr>
                <w:sz w:val="20"/>
              </w:rPr>
              <w:t>Elena Gomez</w:t>
            </w:r>
          </w:p>
        </w:tc>
        <w:tc>
          <w:tcPr>
            <w:tcW w:type="dxa" w:w="2316"/>
          </w:tcPr>
          <w:p>
            <w:r>
              <w:rPr>
                <w:sz w:val="20"/>
              </w:rPr>
              <w:t>API design, middleware selection</w:t>
            </w:r>
          </w:p>
        </w:tc>
      </w:tr>
      <w:tr>
        <w:tc>
          <w:tcPr>
            <w:tcW w:type="dxa" w:w="1141"/>
            <w:shd w:val="clear" w:color="auto" w:fill="F2F6FC"/>
          </w:tcPr>
          <w:p>
            <w:r>
              <w:rPr>
                <w:sz w:val="20"/>
              </w:rPr>
              <w:t>6</w:t>
            </w:r>
          </w:p>
        </w:tc>
        <w:tc>
          <w:tcPr>
            <w:tcW w:type="dxa" w:w="1297"/>
            <w:shd w:val="clear" w:color="auto" w:fill="F2F6FC"/>
          </w:tcPr>
          <w:p>
            <w:r>
              <w:rPr>
                <w:sz w:val="20"/>
              </w:rPr>
              <w:t>2026-12-06</w:t>
            </w:r>
          </w:p>
        </w:tc>
        <w:tc>
          <w:tcPr>
            <w:tcW w:type="dxa" w:w="1297"/>
            <w:shd w:val="clear" w:color="auto" w:fill="F2F6FC"/>
          </w:tcPr>
          <w:p>
            <w:r>
              <w:rPr>
                <w:sz w:val="20"/>
              </w:rPr>
              <w:t>2026-12-12</w:t>
            </w:r>
          </w:p>
        </w:tc>
        <w:tc>
          <w:tcPr>
            <w:tcW w:type="dxa" w:w="1910"/>
            <w:shd w:val="clear" w:color="auto" w:fill="F2F6FC"/>
          </w:tcPr>
          <w:p>
            <w:r>
              <w:rPr>
                <w:sz w:val="20"/>
              </w:rPr>
              <w:t>Custom Development Sprint 1</w:t>
            </w:r>
          </w:p>
        </w:tc>
        <w:tc>
          <w:tcPr>
            <w:tcW w:type="dxa" w:w="1336"/>
            <w:shd w:val="clear" w:color="auto" w:fill="F2F6FC"/>
          </w:tcPr>
          <w:p>
            <w:r>
              <w:rPr>
                <w:sz w:val="20"/>
              </w:rPr>
              <w:t>David Chen</w:t>
            </w:r>
          </w:p>
        </w:tc>
        <w:tc>
          <w:tcPr>
            <w:tcW w:type="dxa" w:w="2316"/>
            <w:shd w:val="clear" w:color="auto" w:fill="F2F6FC"/>
          </w:tcPr>
          <w:p>
            <w:r>
              <w:rPr>
                <w:sz w:val="20"/>
              </w:rPr>
              <w:t>Custom Apex classes, Lightning components</w:t>
            </w:r>
          </w:p>
        </w:tc>
      </w:tr>
      <w:tr>
        <w:tc>
          <w:tcPr>
            <w:tcW w:type="dxa" w:w="1141"/>
          </w:tcPr>
          <w:p>
            <w:r>
              <w:rPr>
                <w:sz w:val="20"/>
              </w:rPr>
              <w:t>7</w:t>
            </w:r>
          </w:p>
        </w:tc>
        <w:tc>
          <w:tcPr>
            <w:tcW w:type="dxa" w:w="1297"/>
          </w:tcPr>
          <w:p>
            <w:r>
              <w:rPr>
                <w:sz w:val="20"/>
              </w:rPr>
              <w:t>2026-12-13</w:t>
            </w:r>
          </w:p>
        </w:tc>
        <w:tc>
          <w:tcPr>
            <w:tcW w:type="dxa" w:w="1297"/>
          </w:tcPr>
          <w:p>
            <w:r>
              <w:rPr>
                <w:sz w:val="20"/>
              </w:rPr>
              <w:t>2026-12-19</w:t>
            </w:r>
          </w:p>
        </w:tc>
        <w:tc>
          <w:tcPr>
            <w:tcW w:type="dxa" w:w="1910"/>
          </w:tcPr>
          <w:p>
            <w:r>
              <w:rPr>
                <w:sz w:val="20"/>
              </w:rPr>
              <w:t>Data Migration Tool Setup</w:t>
            </w:r>
          </w:p>
        </w:tc>
        <w:tc>
          <w:tcPr>
            <w:tcW w:type="dxa" w:w="1336"/>
          </w:tcPr>
          <w:p>
            <w:r>
              <w:rPr>
                <w:sz w:val="20"/>
              </w:rPr>
              <w:t>John Lee</w:t>
            </w:r>
          </w:p>
        </w:tc>
        <w:tc>
          <w:tcPr>
            <w:tcW w:type="dxa" w:w="2316"/>
          </w:tcPr>
          <w:p>
            <w:r>
              <w:rPr>
                <w:sz w:val="20"/>
              </w:rPr>
              <w:t>ETL scripts, mapping validation</w:t>
            </w:r>
          </w:p>
        </w:tc>
      </w:tr>
      <w:tr>
        <w:tc>
          <w:tcPr>
            <w:tcW w:type="dxa" w:w="1141"/>
            <w:shd w:val="clear" w:color="auto" w:fill="F2F6FC"/>
          </w:tcPr>
          <w:p>
            <w:r>
              <w:rPr>
                <w:sz w:val="20"/>
              </w:rPr>
              <w:t>8</w:t>
            </w:r>
          </w:p>
        </w:tc>
        <w:tc>
          <w:tcPr>
            <w:tcW w:type="dxa" w:w="1297"/>
            <w:shd w:val="clear" w:color="auto" w:fill="F2F6FC"/>
          </w:tcPr>
          <w:p>
            <w:r>
              <w:rPr>
                <w:sz w:val="20"/>
              </w:rPr>
              <w:t>2026-12-20</w:t>
            </w:r>
          </w:p>
        </w:tc>
        <w:tc>
          <w:tcPr>
            <w:tcW w:type="dxa" w:w="1297"/>
            <w:shd w:val="clear" w:color="auto" w:fill="F2F6FC"/>
          </w:tcPr>
          <w:p>
            <w:r>
              <w:rPr>
                <w:sz w:val="20"/>
              </w:rPr>
              <w:t>2026-12-26</w:t>
            </w:r>
          </w:p>
        </w:tc>
        <w:tc>
          <w:tcPr>
            <w:tcW w:type="dxa" w:w="1910"/>
            <w:shd w:val="clear" w:color="auto" w:fill="F2F6FC"/>
          </w:tcPr>
          <w:p>
            <w:r>
              <w:rPr>
                <w:sz w:val="20"/>
              </w:rPr>
              <w:t>Pilot Data Load</w:t>
            </w:r>
          </w:p>
        </w:tc>
        <w:tc>
          <w:tcPr>
            <w:tcW w:type="dxa" w:w="1336"/>
            <w:shd w:val="clear" w:color="auto" w:fill="F2F6FC"/>
          </w:tcPr>
          <w:p>
            <w:r>
              <w:rPr>
                <w:sz w:val="20"/>
              </w:rPr>
              <w:t>Priya Patel</w:t>
            </w:r>
          </w:p>
        </w:tc>
        <w:tc>
          <w:tcPr>
            <w:tcW w:type="dxa" w:w="2316"/>
            <w:shd w:val="clear" w:color="auto" w:fill="F2F6FC"/>
          </w:tcPr>
          <w:p>
            <w:r>
              <w:rPr>
                <w:sz w:val="20"/>
              </w:rPr>
              <w:t>Test migration of 10% data set</w:t>
            </w:r>
          </w:p>
        </w:tc>
      </w:tr>
      <w:tr>
        <w:tc>
          <w:tcPr>
            <w:tcW w:type="dxa" w:w="1141"/>
          </w:tcPr>
          <w:p>
            <w:r>
              <w:rPr>
                <w:sz w:val="20"/>
              </w:rPr>
              <w:t>9</w:t>
            </w:r>
          </w:p>
        </w:tc>
        <w:tc>
          <w:tcPr>
            <w:tcW w:type="dxa" w:w="1297"/>
          </w:tcPr>
          <w:p>
            <w:r>
              <w:rPr>
                <w:sz w:val="20"/>
              </w:rPr>
              <w:t>2026-12-27</w:t>
            </w:r>
          </w:p>
        </w:tc>
        <w:tc>
          <w:tcPr>
            <w:tcW w:type="dxa" w:w="1297"/>
          </w:tcPr>
          <w:p>
            <w:r>
              <w:rPr>
                <w:sz w:val="20"/>
              </w:rPr>
              <w:t>2027-01-02</w:t>
            </w:r>
          </w:p>
        </w:tc>
        <w:tc>
          <w:tcPr>
            <w:tcW w:type="dxa" w:w="1910"/>
          </w:tcPr>
          <w:p>
            <w:r>
              <w:rPr>
                <w:sz w:val="20"/>
              </w:rPr>
              <w:t>Pilot Validation &amp; QA</w:t>
            </w:r>
          </w:p>
        </w:tc>
        <w:tc>
          <w:tcPr>
            <w:tcW w:type="dxa" w:w="1336"/>
          </w:tcPr>
          <w:p>
            <w:r>
              <w:rPr>
                <w:sz w:val="20"/>
              </w:rPr>
              <w:t>Marco Silva</w:t>
            </w:r>
          </w:p>
        </w:tc>
        <w:tc>
          <w:tcPr>
            <w:tcW w:type="dxa" w:w="2316"/>
          </w:tcPr>
          <w:p>
            <w:r>
              <w:rPr>
                <w:sz w:val="20"/>
              </w:rPr>
              <w:t>Data integrity report, bug fix list</w:t>
            </w:r>
          </w:p>
        </w:tc>
      </w:tr>
      <w:tr>
        <w:tc>
          <w:tcPr>
            <w:tcW w:type="dxa" w:w="1141"/>
            <w:shd w:val="clear" w:color="auto" w:fill="F2F6FC"/>
          </w:tcPr>
          <w:p>
            <w:r>
              <w:rPr>
                <w:sz w:val="20"/>
              </w:rPr>
              <w:t>10</w:t>
            </w:r>
          </w:p>
        </w:tc>
        <w:tc>
          <w:tcPr>
            <w:tcW w:type="dxa" w:w="1297"/>
            <w:shd w:val="clear" w:color="auto" w:fill="F2F6FC"/>
          </w:tcPr>
          <w:p>
            <w:r>
              <w:rPr>
                <w:sz w:val="20"/>
              </w:rPr>
              <w:t>2027-01-03</w:t>
            </w:r>
          </w:p>
        </w:tc>
        <w:tc>
          <w:tcPr>
            <w:tcW w:type="dxa" w:w="1297"/>
            <w:shd w:val="clear" w:color="auto" w:fill="F2F6FC"/>
          </w:tcPr>
          <w:p>
            <w:r>
              <w:rPr>
                <w:sz w:val="20"/>
              </w:rPr>
              <w:t>2027-01-09</w:t>
            </w:r>
          </w:p>
        </w:tc>
        <w:tc>
          <w:tcPr>
            <w:tcW w:type="dxa" w:w="1910"/>
            <w:shd w:val="clear" w:color="auto" w:fill="F2F6FC"/>
          </w:tcPr>
          <w:p>
            <w:r>
              <w:rPr>
                <w:sz w:val="20"/>
              </w:rPr>
              <w:t>Full Data Migration</w:t>
            </w:r>
          </w:p>
        </w:tc>
        <w:tc>
          <w:tcPr>
            <w:tcW w:type="dxa" w:w="1336"/>
            <w:shd w:val="clear" w:color="auto" w:fill="F2F6FC"/>
          </w:tcPr>
          <w:p>
            <w:r>
              <w:rPr>
                <w:sz w:val="20"/>
              </w:rPr>
              <w:t>Elena Gomez</w:t>
            </w:r>
          </w:p>
        </w:tc>
        <w:tc>
          <w:tcPr>
            <w:tcW w:type="dxa" w:w="2316"/>
            <w:shd w:val="clear" w:color="auto" w:fill="F2F6FC"/>
          </w:tcPr>
          <w:p>
            <w:r>
              <w:rPr>
                <w:sz w:val="20"/>
              </w:rPr>
              <w:t>Complete data load, verification</w:t>
            </w:r>
          </w:p>
        </w:tc>
      </w:tr>
      <w:tr>
        <w:tc>
          <w:tcPr>
            <w:tcW w:type="dxa" w:w="1141"/>
          </w:tcPr>
          <w:p>
            <w:r>
              <w:rPr>
                <w:sz w:val="20"/>
              </w:rPr>
              <w:t>11</w:t>
            </w:r>
          </w:p>
        </w:tc>
        <w:tc>
          <w:tcPr>
            <w:tcW w:type="dxa" w:w="1297"/>
          </w:tcPr>
          <w:p>
            <w:r>
              <w:rPr>
                <w:sz w:val="20"/>
              </w:rPr>
              <w:t>2027-01-10</w:t>
            </w:r>
          </w:p>
        </w:tc>
        <w:tc>
          <w:tcPr>
            <w:tcW w:type="dxa" w:w="1297"/>
          </w:tcPr>
          <w:p>
            <w:r>
              <w:rPr>
                <w:sz w:val="20"/>
              </w:rPr>
              <w:t>2027-01-16</w:t>
            </w:r>
          </w:p>
        </w:tc>
        <w:tc>
          <w:tcPr>
            <w:tcW w:type="dxa" w:w="1910"/>
          </w:tcPr>
          <w:p>
            <w:r>
              <w:rPr>
                <w:sz w:val="20"/>
              </w:rPr>
              <w:t>User Acceptance Testing</w:t>
            </w:r>
          </w:p>
        </w:tc>
        <w:tc>
          <w:tcPr>
            <w:tcW w:type="dxa" w:w="1336"/>
          </w:tcPr>
          <w:p>
            <w:r>
              <w:rPr>
                <w:sz w:val="20"/>
              </w:rPr>
              <w:t>David Chen</w:t>
            </w:r>
          </w:p>
        </w:tc>
        <w:tc>
          <w:tcPr>
            <w:tcW w:type="dxa" w:w="2316"/>
          </w:tcPr>
          <w:p>
            <w:r>
              <w:rPr>
                <w:sz w:val="20"/>
              </w:rPr>
              <w:t>UAT sign‑off, issue closure</w:t>
            </w:r>
          </w:p>
        </w:tc>
      </w:tr>
      <w:tr>
        <w:tc>
          <w:tcPr>
            <w:tcW w:type="dxa" w:w="1141"/>
            <w:shd w:val="clear" w:color="auto" w:fill="F2F6FC"/>
          </w:tcPr>
          <w:p>
            <w:r>
              <w:rPr>
                <w:sz w:val="20"/>
              </w:rPr>
              <w:t>12</w:t>
            </w:r>
          </w:p>
        </w:tc>
        <w:tc>
          <w:tcPr>
            <w:tcW w:type="dxa" w:w="1297"/>
            <w:shd w:val="clear" w:color="auto" w:fill="F2F6FC"/>
          </w:tcPr>
          <w:p>
            <w:r>
              <w:rPr>
                <w:sz w:val="20"/>
              </w:rPr>
              <w:t>2027-01-17</w:t>
            </w:r>
          </w:p>
        </w:tc>
        <w:tc>
          <w:tcPr>
            <w:tcW w:type="dxa" w:w="1297"/>
            <w:shd w:val="clear" w:color="auto" w:fill="F2F6FC"/>
          </w:tcPr>
          <w:p>
            <w:r>
              <w:rPr>
                <w:sz w:val="20"/>
              </w:rPr>
              <w:t>2027-01-23</w:t>
            </w:r>
          </w:p>
        </w:tc>
        <w:tc>
          <w:tcPr>
            <w:tcW w:type="dxa" w:w="1910"/>
            <w:shd w:val="clear" w:color="auto" w:fill="F2F6FC"/>
          </w:tcPr>
          <w:p>
            <w:r>
              <w:rPr>
                <w:sz w:val="20"/>
              </w:rPr>
              <w:t>Training &amp; Documentation</w:t>
            </w:r>
          </w:p>
        </w:tc>
        <w:tc>
          <w:tcPr>
            <w:tcW w:type="dxa" w:w="1336"/>
            <w:shd w:val="clear" w:color="auto" w:fill="F2F6FC"/>
          </w:tcPr>
          <w:p>
            <w:r>
              <w:rPr>
                <w:sz w:val="20"/>
              </w:rPr>
              <w:t>Alex Morgan</w:t>
            </w:r>
          </w:p>
        </w:tc>
        <w:tc>
          <w:tcPr>
            <w:tcW w:type="dxa" w:w="2316"/>
            <w:shd w:val="clear" w:color="auto" w:fill="F2F6FC"/>
          </w:tcPr>
          <w:p>
            <w:r>
              <w:rPr>
                <w:sz w:val="20"/>
              </w:rPr>
              <w:t>User manuals, training sessions</w:t>
            </w:r>
          </w:p>
        </w:tc>
      </w:tr>
      <w:tr>
        <w:tc>
          <w:tcPr>
            <w:tcW w:type="dxa" w:w="1141"/>
          </w:tcPr>
          <w:p>
            <w:r>
              <w:rPr>
                <w:sz w:val="20"/>
              </w:rPr>
              <w:t>13</w:t>
            </w:r>
          </w:p>
        </w:tc>
        <w:tc>
          <w:tcPr>
            <w:tcW w:type="dxa" w:w="1297"/>
          </w:tcPr>
          <w:p>
            <w:r>
              <w:rPr>
                <w:sz w:val="20"/>
              </w:rPr>
              <w:t>2027-01-24</w:t>
            </w:r>
          </w:p>
        </w:tc>
        <w:tc>
          <w:tcPr>
            <w:tcW w:type="dxa" w:w="1297"/>
          </w:tcPr>
          <w:p>
            <w:r>
              <w:rPr>
                <w:sz w:val="20"/>
              </w:rPr>
              <w:t>2027-01-30</w:t>
            </w:r>
          </w:p>
        </w:tc>
        <w:tc>
          <w:tcPr>
            <w:tcW w:type="dxa" w:w="1910"/>
          </w:tcPr>
          <w:p>
            <w:r>
              <w:rPr>
                <w:sz w:val="20"/>
              </w:rPr>
              <w:t>Go‑Live Preparation</w:t>
            </w:r>
          </w:p>
        </w:tc>
        <w:tc>
          <w:tcPr>
            <w:tcW w:type="dxa" w:w="1336"/>
          </w:tcPr>
          <w:p>
            <w:r>
              <w:rPr>
                <w:sz w:val="20"/>
              </w:rPr>
              <w:t>John Lee</w:t>
            </w:r>
          </w:p>
        </w:tc>
        <w:tc>
          <w:tcPr>
            <w:tcW w:type="dxa" w:w="2316"/>
          </w:tcPr>
          <w:p>
            <w:r>
              <w:rPr>
                <w:sz w:val="20"/>
              </w:rPr>
              <w:t>Cutover plan, rollback strategy</w:t>
            </w:r>
          </w:p>
        </w:tc>
      </w:tr>
      <w:tr>
        <w:tc>
          <w:tcPr>
            <w:tcW w:type="dxa" w:w="1141"/>
            <w:shd w:val="clear" w:color="auto" w:fill="F2F6FC"/>
          </w:tcPr>
          <w:p>
            <w:r>
              <w:rPr>
                <w:sz w:val="20"/>
              </w:rPr>
              <w:t>14</w:t>
            </w:r>
          </w:p>
        </w:tc>
        <w:tc>
          <w:tcPr>
            <w:tcW w:type="dxa" w:w="1297"/>
            <w:shd w:val="clear" w:color="auto" w:fill="F2F6FC"/>
          </w:tcPr>
          <w:p>
            <w:r>
              <w:rPr>
                <w:sz w:val="20"/>
              </w:rPr>
              <w:t>2027-01-31</w:t>
            </w:r>
          </w:p>
        </w:tc>
        <w:tc>
          <w:tcPr>
            <w:tcW w:type="dxa" w:w="1297"/>
            <w:shd w:val="clear" w:color="auto" w:fill="F2F6FC"/>
          </w:tcPr>
          <w:p>
            <w:r>
              <w:rPr>
                <w:sz w:val="20"/>
              </w:rPr>
              <w:t>2027-02-06</w:t>
            </w:r>
          </w:p>
        </w:tc>
        <w:tc>
          <w:tcPr>
            <w:tcW w:type="dxa" w:w="1910"/>
            <w:shd w:val="clear" w:color="auto" w:fill="F2F6FC"/>
          </w:tcPr>
          <w:p>
            <w:r>
              <w:rPr>
                <w:sz w:val="20"/>
              </w:rPr>
              <w:t>Go‑Live</w:t>
            </w:r>
          </w:p>
        </w:tc>
        <w:tc>
          <w:tcPr>
            <w:tcW w:type="dxa" w:w="1336"/>
            <w:shd w:val="clear" w:color="auto" w:fill="F2F6FC"/>
          </w:tcPr>
          <w:p>
            <w:r>
              <w:rPr>
                <w:sz w:val="20"/>
              </w:rPr>
              <w:t>Priya Patel</w:t>
            </w:r>
          </w:p>
        </w:tc>
        <w:tc>
          <w:tcPr>
            <w:tcW w:type="dxa" w:w="2316"/>
            <w:shd w:val="clear" w:color="auto" w:fill="F2F6FC"/>
          </w:tcPr>
          <w:p>
            <w:r>
              <w:rPr>
                <w:sz w:val="20"/>
              </w:rPr>
              <w:t>Production cutover, monitoring</w:t>
            </w:r>
          </w:p>
        </w:tc>
      </w:tr>
      <w:tr>
        <w:tc>
          <w:tcPr>
            <w:tcW w:type="dxa" w:w="1141"/>
          </w:tcPr>
          <w:p>
            <w:r>
              <w:rPr>
                <w:sz w:val="20"/>
              </w:rPr>
              <w:t>15</w:t>
            </w:r>
          </w:p>
        </w:tc>
        <w:tc>
          <w:tcPr>
            <w:tcW w:type="dxa" w:w="1297"/>
          </w:tcPr>
          <w:p>
            <w:r>
              <w:rPr>
                <w:sz w:val="20"/>
              </w:rPr>
              <w:t>2027-02-07</w:t>
            </w:r>
          </w:p>
        </w:tc>
        <w:tc>
          <w:tcPr>
            <w:tcW w:type="dxa" w:w="1297"/>
          </w:tcPr>
          <w:p>
            <w:r>
              <w:rPr>
                <w:sz w:val="20"/>
              </w:rPr>
              <w:t>2027-02-13</w:t>
            </w:r>
          </w:p>
        </w:tc>
        <w:tc>
          <w:tcPr>
            <w:tcW w:type="dxa" w:w="1910"/>
          </w:tcPr>
          <w:p>
            <w:r>
              <w:rPr>
                <w:sz w:val="20"/>
              </w:rPr>
              <w:t>Post‑Go‑Live Support</w:t>
            </w:r>
          </w:p>
        </w:tc>
        <w:tc>
          <w:tcPr>
            <w:tcW w:type="dxa" w:w="1336"/>
          </w:tcPr>
          <w:p>
            <w:r>
              <w:rPr>
                <w:sz w:val="20"/>
              </w:rPr>
              <w:t>Marco Silva</w:t>
            </w:r>
          </w:p>
        </w:tc>
        <w:tc>
          <w:tcPr>
            <w:tcW w:type="dxa" w:w="2316"/>
          </w:tcPr>
          <w:p>
            <w:r>
              <w:rPr>
                <w:sz w:val="20"/>
              </w:rPr>
              <w:t>Issue triage, performance tuning</w:t>
            </w:r>
          </w:p>
        </w:tc>
      </w:tr>
      <w:tr>
        <w:tc>
          <w:tcPr>
            <w:tcW w:type="dxa" w:w="1141"/>
            <w:shd w:val="clear" w:color="auto" w:fill="F2F6FC"/>
          </w:tcPr>
          <w:p>
            <w:r>
              <w:rPr>
                <w:sz w:val="20"/>
              </w:rPr>
              <w:t>16</w:t>
            </w:r>
          </w:p>
        </w:tc>
        <w:tc>
          <w:tcPr>
            <w:tcW w:type="dxa" w:w="1297"/>
            <w:shd w:val="clear" w:color="auto" w:fill="F2F6FC"/>
          </w:tcPr>
          <w:p>
            <w:r>
              <w:rPr>
                <w:sz w:val="20"/>
              </w:rPr>
              <w:t>2027-02-14</w:t>
            </w:r>
          </w:p>
        </w:tc>
        <w:tc>
          <w:tcPr>
            <w:tcW w:type="dxa" w:w="1297"/>
            <w:shd w:val="clear" w:color="auto" w:fill="F2F6FC"/>
          </w:tcPr>
          <w:p>
            <w:r>
              <w:rPr>
                <w:sz w:val="20"/>
              </w:rPr>
              <w:t>2027-02-20</w:t>
            </w:r>
          </w:p>
        </w:tc>
        <w:tc>
          <w:tcPr>
            <w:tcW w:type="dxa" w:w="1910"/>
            <w:shd w:val="clear" w:color="auto" w:fill="F2F6FC"/>
          </w:tcPr>
          <w:p>
            <w:r>
              <w:rPr>
                <w:sz w:val="20"/>
              </w:rPr>
              <w:t>Target Go-Live Review</w:t>
            </w:r>
          </w:p>
        </w:tc>
        <w:tc>
          <w:tcPr>
            <w:tcW w:type="dxa" w:w="1336"/>
            <w:shd w:val="clear" w:color="auto" w:fill="F2F6FC"/>
          </w:tcPr>
          <w:p>
            <w:r>
              <w:rPr>
                <w:sz w:val="20"/>
              </w:rPr>
              <w:t>Alex Morgan</w:t>
            </w:r>
          </w:p>
        </w:tc>
        <w:tc>
          <w:tcPr>
            <w:tcW w:type="dxa" w:w="2316"/>
            <w:shd w:val="clear" w:color="auto" w:fill="F2F6FC"/>
          </w:tcPr>
          <w:p>
            <w:r>
              <w:rPr>
                <w:sz w:val="20"/>
              </w:rPr>
              <w:t>Go-Live validation report</w:t>
            </w:r>
          </w:p>
        </w:tc>
      </w:tr>
      <w:tr>
        <w:tc>
          <w:tcPr>
            <w:tcW w:type="dxa" w:w="1141"/>
          </w:tcPr>
          <w:p>
            <w:r>
              <w:rPr>
                <w:sz w:val="20"/>
              </w:rPr>
              <w:t>17</w:t>
            </w:r>
          </w:p>
        </w:tc>
        <w:tc>
          <w:tcPr>
            <w:tcW w:type="dxa" w:w="1297"/>
          </w:tcPr>
          <w:p>
            <w:r>
              <w:rPr>
                <w:sz w:val="20"/>
              </w:rPr>
              <w:t>2027-02-21</w:t>
            </w:r>
          </w:p>
        </w:tc>
        <w:tc>
          <w:tcPr>
            <w:tcW w:type="dxa" w:w="1297"/>
          </w:tcPr>
          <w:p>
            <w:r>
              <w:rPr>
                <w:sz w:val="20"/>
              </w:rPr>
              <w:t>2027-02-27</w:t>
            </w:r>
          </w:p>
        </w:tc>
        <w:tc>
          <w:tcPr>
            <w:tcW w:type="dxa" w:w="1910"/>
          </w:tcPr>
          <w:p>
            <w:r>
              <w:rPr>
                <w:sz w:val="20"/>
              </w:rPr>
              <w:t>Extended Support &amp; Optimization</w:t>
            </w:r>
          </w:p>
        </w:tc>
        <w:tc>
          <w:tcPr>
            <w:tcW w:type="dxa" w:w="1336"/>
          </w:tcPr>
          <w:p>
            <w:r>
              <w:rPr>
                <w:sz w:val="20"/>
              </w:rPr>
              <w:t>Elena Gomez</w:t>
            </w:r>
          </w:p>
        </w:tc>
        <w:tc>
          <w:tcPr>
            <w:tcW w:type="dxa" w:w="2316"/>
          </w:tcPr>
          <w:p>
            <w:r>
              <w:rPr>
                <w:sz w:val="20"/>
              </w:rPr>
              <w:t>System health check, user feedback review</w:t>
            </w:r>
          </w:p>
        </w:tc>
      </w:tr>
      <w:tr>
        <w:tc>
          <w:tcPr>
            <w:tcW w:type="dxa" w:w="1141"/>
            <w:shd w:val="clear" w:color="auto" w:fill="F2F6FC"/>
          </w:tcPr>
          <w:p>
            <w:r>
              <w:rPr>
                <w:sz w:val="20"/>
              </w:rPr>
              <w:t>18</w:t>
            </w:r>
          </w:p>
        </w:tc>
        <w:tc>
          <w:tcPr>
            <w:tcW w:type="dxa" w:w="1297"/>
            <w:shd w:val="clear" w:color="auto" w:fill="F2F6FC"/>
          </w:tcPr>
          <w:p>
            <w:r>
              <w:rPr>
                <w:sz w:val="20"/>
              </w:rPr>
              <w:t>2027-02-28</w:t>
            </w:r>
          </w:p>
        </w:tc>
        <w:tc>
          <w:tcPr>
            <w:tcW w:type="dxa" w:w="1297"/>
            <w:shd w:val="clear" w:color="auto" w:fill="F2F6FC"/>
          </w:tcPr>
          <w:p>
            <w:r>
              <w:rPr>
                <w:sz w:val="20"/>
              </w:rPr>
              <w:t>2027-02-28</w:t>
            </w:r>
          </w:p>
        </w:tc>
        <w:tc>
          <w:tcPr>
            <w:tcW w:type="dxa" w:w="1910"/>
            <w:shd w:val="clear" w:color="auto" w:fill="F2F6FC"/>
          </w:tcPr>
          <w:p>
            <w:r>
              <w:rPr>
                <w:sz w:val="20"/>
              </w:rPr>
              <w:t>Project Closure</w:t>
            </w:r>
          </w:p>
        </w:tc>
        <w:tc>
          <w:tcPr>
            <w:tcW w:type="dxa" w:w="1336"/>
            <w:shd w:val="clear" w:color="auto" w:fill="F2F6FC"/>
          </w:tcPr>
          <w:p>
            <w:r>
              <w:rPr>
                <w:sz w:val="20"/>
              </w:rPr>
              <w:t>Alex Morgan</w:t>
            </w:r>
          </w:p>
        </w:tc>
        <w:tc>
          <w:tcPr>
            <w:tcW w:type="dxa" w:w="2316"/>
            <w:shd w:val="clear" w:color="auto" w:fill="F2F6FC"/>
          </w:tcPr>
          <w:p>
            <w:r>
              <w:rPr>
                <w:sz w:val="20"/>
              </w:rPr>
              <w:t>Final project report, archive handoff</w:t>
            </w:r>
          </w:p>
        </w:tc>
      </w:tr>
    </w:tbl>
    <w:p>
      <w:pPr>
        <w:spacing w:after="40"/>
      </w:pPr>
    </w:p>
    <w:p>
      <w:pPr>
        <w:pStyle w:val="Heading1"/>
      </w:pPr>
      <w:r>
        <w:t>3. Roles &amp; Responsibilities (RACI)</w:t>
      </w:r>
    </w:p>
    <w:p>
      <w:r>
        <w:rPr/>
        <w:t xml:space="preserve">To ensure absolute clarity of ownership across the Salesforce migration, the project utilizes a strict </w:t>
      </w:r>
      <w:r>
        <w:rPr>
          <w:b/>
        </w:rPr>
        <w:t>RACI</w:t>
      </w:r>
      <w:r>
        <w:rPr/>
        <w:t xml:space="preserve"> framework. Project lead </w:t>
      </w:r>
      <w:r>
        <w:rPr>
          <w:b/>
        </w:rPr>
        <w:t>Alex Morgan</w:t>
      </w:r>
      <w:r>
        <w:rPr/>
        <w:t xml:space="preserve"> holds overall accountability for governance and deliverables, while specific engineering leads (</w:t>
      </w:r>
      <w:r>
        <w:rPr>
          <w:b/>
        </w:rPr>
        <w:t>John Lee</w:t>
      </w:r>
      <w:r>
        <w:rPr/>
        <w:t xml:space="preserve">, </w:t>
      </w:r>
      <w:r>
        <w:rPr>
          <w:b/>
        </w:rPr>
        <w:t>Priya Patel</w:t>
      </w:r>
      <w:r>
        <w:rPr/>
        <w:t xml:space="preserve">, </w:t>
      </w:r>
      <w:r>
        <w:rPr>
          <w:b/>
        </w:rPr>
        <w:t>Marco Silva</w:t>
      </w:r>
      <w:r>
        <w:rPr/>
        <w:t xml:space="preserve">, </w:t>
      </w:r>
      <w:r>
        <w:rPr>
          <w:b/>
        </w:rPr>
        <w:t>Elena Gomez</w:t>
      </w:r>
      <w:r>
        <w:rPr/>
        <w:t xml:space="preserve">, and </w:t>
      </w:r>
      <w:r>
        <w:rPr>
          <w:b/>
        </w:rPr>
        <w:t>David Chen</w:t>
      </w:r>
      <w:r>
        <w:rPr/>
        <w:t>) take direct responsibility for distinct technical work packages.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618"/>
            <w:shd w:val="clear" w:color="auto" w:fill="1F3A5F"/>
          </w:tcPr>
          <w:p>
            <w:r>
              <w:rPr>
                <w:b/>
                <w:color w:val="FFFFFF"/>
                <w:sz w:val="20"/>
              </w:rPr>
              <w:t>Work Package</w:t>
            </w:r>
          </w:p>
        </w:tc>
        <w:tc>
          <w:tcPr>
            <w:tcW w:type="dxa" w:w="1291"/>
            <w:shd w:val="clear" w:color="auto" w:fill="1F3A5F"/>
          </w:tcPr>
          <w:p>
            <w:r>
              <w:rPr>
                <w:b/>
                <w:color w:val="FFFFFF"/>
                <w:sz w:val="20"/>
              </w:rPr>
              <w:t>Alex Morgan</w:t>
            </w:r>
          </w:p>
        </w:tc>
        <w:tc>
          <w:tcPr>
            <w:tcW w:type="dxa" w:w="1281"/>
            <w:shd w:val="clear" w:color="auto" w:fill="1F3A5F"/>
          </w:tcPr>
          <w:p>
            <w:r>
              <w:rPr>
                <w:b/>
                <w:color w:val="FFFFFF"/>
                <w:sz w:val="20"/>
              </w:rPr>
              <w:t>John Lee</w:t>
            </w:r>
          </w:p>
        </w:tc>
        <w:tc>
          <w:tcPr>
            <w:tcW w:type="dxa" w:w="1281"/>
            <w:shd w:val="clear" w:color="auto" w:fill="1F3A5F"/>
          </w:tcPr>
          <w:p>
            <w:r>
              <w:rPr>
                <w:b/>
                <w:color w:val="FFFFFF"/>
                <w:sz w:val="20"/>
              </w:rPr>
              <w:t>Priya Patel</w:t>
            </w:r>
          </w:p>
        </w:tc>
        <w:tc>
          <w:tcPr>
            <w:tcW w:type="dxa" w:w="1281"/>
            <w:shd w:val="clear" w:color="auto" w:fill="1F3A5F"/>
          </w:tcPr>
          <w:p>
            <w:r>
              <w:rPr>
                <w:b/>
                <w:color w:val="FFFFFF"/>
                <w:sz w:val="20"/>
              </w:rPr>
              <w:t>Marco Silva</w:t>
            </w:r>
          </w:p>
        </w:tc>
        <w:tc>
          <w:tcPr>
            <w:tcW w:type="dxa" w:w="1281"/>
            <w:shd w:val="clear" w:color="auto" w:fill="1F3A5F"/>
          </w:tcPr>
          <w:p>
            <w:r>
              <w:rPr>
                <w:b/>
                <w:color w:val="FFFFFF"/>
                <w:sz w:val="20"/>
              </w:rPr>
              <w:t>Elena Gomez</w:t>
            </w:r>
          </w:p>
        </w:tc>
        <w:tc>
          <w:tcPr>
            <w:tcW w:type="dxa" w:w="1263"/>
            <w:shd w:val="clear" w:color="auto" w:fill="1F3A5F"/>
          </w:tcPr>
          <w:p>
            <w:r>
              <w:rPr>
                <w:b/>
                <w:color w:val="FFFFFF"/>
                <w:sz w:val="20"/>
              </w:rPr>
              <w:t>David Chen</w:t>
            </w:r>
          </w:p>
        </w:tc>
      </w:tr>
      <w:tr>
        <w:tc>
          <w:tcPr>
            <w:tcW w:type="dxa" w:w="1618"/>
          </w:tcPr>
          <w:p>
            <w:r>
              <w:rPr>
                <w:sz w:val="20"/>
              </w:rPr>
              <w:t>Requirements &amp; Scope</w:t>
            </w:r>
          </w:p>
        </w:tc>
        <w:tc>
          <w:tcPr>
            <w:tcW w:type="dxa" w:w="1291"/>
          </w:tcPr>
          <w:p>
            <w:r>
              <w:rPr>
                <w:sz w:val="20"/>
              </w:rPr>
              <w:t>Accountable</w:t>
            </w:r>
          </w:p>
        </w:tc>
        <w:tc>
          <w:tcPr>
            <w:tcW w:type="dxa" w:w="1281"/>
          </w:tcPr>
          <w:p>
            <w:r>
              <w:rPr>
                <w:sz w:val="20"/>
              </w:rPr>
              <w:t>Responsible</w:t>
            </w:r>
          </w:p>
        </w:tc>
        <w:tc>
          <w:tcPr>
            <w:tcW w:type="dxa" w:w="1281"/>
          </w:tcPr>
          <w:p>
            <w:r>
              <w:rPr>
                <w:sz w:val="20"/>
              </w:rPr>
              <w:t>Consulted</w:t>
            </w:r>
          </w:p>
        </w:tc>
        <w:tc>
          <w:tcPr>
            <w:tcW w:type="dxa" w:w="1281"/>
          </w:tcPr>
          <w:p>
            <w:r>
              <w:rPr>
                <w:sz w:val="20"/>
              </w:rPr>
              <w:t>Consulted</w:t>
            </w:r>
          </w:p>
        </w:tc>
        <w:tc>
          <w:tcPr>
            <w:tcW w:type="dxa" w:w="1281"/>
          </w:tcPr>
          <w:p>
            <w:r>
              <w:rPr>
                <w:sz w:val="20"/>
              </w:rPr>
              <w:t>Consulted</w:t>
            </w:r>
          </w:p>
        </w:tc>
        <w:tc>
          <w:tcPr>
            <w:tcW w:type="dxa" w:w="1263"/>
          </w:tcPr>
          <w:p>
            <w:r>
              <w:rPr>
                <w:sz w:val="20"/>
              </w:rPr>
              <w:t>Consulted</w:t>
            </w:r>
          </w:p>
        </w:tc>
      </w:tr>
      <w:tr>
        <w:tc>
          <w:tcPr>
            <w:tcW w:type="dxa" w:w="1618"/>
            <w:shd w:val="clear" w:color="auto" w:fill="F2F6FC"/>
          </w:tcPr>
          <w:p>
            <w:r>
              <w:rPr>
                <w:sz w:val="20"/>
              </w:rPr>
              <w:t>Data Migration &amp; ETL</w:t>
            </w:r>
          </w:p>
        </w:tc>
        <w:tc>
          <w:tcPr>
            <w:tcW w:type="dxa" w:w="1291"/>
            <w:shd w:val="clear" w:color="auto" w:fill="F2F6FC"/>
          </w:tcPr>
          <w:p>
            <w:r>
              <w:rPr>
                <w:sz w:val="20"/>
              </w:rPr>
              <w:t>Informed</w:t>
            </w:r>
          </w:p>
        </w:tc>
        <w:tc>
          <w:tcPr>
            <w:tcW w:type="dxa" w:w="1281"/>
            <w:shd w:val="clear" w:color="auto" w:fill="F2F6FC"/>
          </w:tcPr>
          <w:p>
            <w:r>
              <w:rPr>
                <w:sz w:val="20"/>
              </w:rPr>
              <w:t>Responsible</w:t>
            </w:r>
          </w:p>
        </w:tc>
        <w:tc>
          <w:tcPr>
            <w:tcW w:type="dxa" w:w="1281"/>
            <w:shd w:val="clear" w:color="auto" w:fill="F2F6FC"/>
          </w:tcPr>
          <w:p>
            <w:r>
              <w:rPr>
                <w:sz w:val="20"/>
              </w:rPr>
              <w:t>Consulted</w:t>
            </w:r>
          </w:p>
        </w:tc>
        <w:tc>
          <w:tcPr>
            <w:tcW w:type="dxa" w:w="1281"/>
            <w:shd w:val="clear" w:color="auto" w:fill="F2F6FC"/>
          </w:tcPr>
          <w:p>
            <w:r>
              <w:rPr>
                <w:sz w:val="20"/>
              </w:rPr>
              <w:t>Consulted</w:t>
            </w:r>
          </w:p>
        </w:tc>
        <w:tc>
          <w:tcPr>
            <w:tcW w:type="dxa" w:w="1281"/>
            <w:shd w:val="clear" w:color="auto" w:fill="F2F6FC"/>
          </w:tcPr>
          <w:p>
            <w:r>
              <w:rPr>
                <w:sz w:val="20"/>
              </w:rPr>
              <w:t>Consulted</w:t>
            </w:r>
          </w:p>
        </w:tc>
        <w:tc>
          <w:tcPr>
            <w:tcW w:type="dxa" w:w="1263"/>
            <w:shd w:val="clear" w:color="auto" w:fill="F2F6FC"/>
          </w:tcPr>
          <w:p>
            <w:r>
              <w:rPr>
                <w:sz w:val="20"/>
              </w:rPr>
              <w:t>Informed</w:t>
            </w:r>
          </w:p>
        </w:tc>
      </w:tr>
      <w:tr>
        <w:tc>
          <w:tcPr>
            <w:tcW w:type="dxa" w:w="1618"/>
          </w:tcPr>
          <w:p>
            <w:r>
              <w:rPr>
                <w:sz w:val="20"/>
              </w:rPr>
              <w:t>System Integration</w:t>
            </w:r>
          </w:p>
        </w:tc>
        <w:tc>
          <w:tcPr>
            <w:tcW w:type="dxa" w:w="1291"/>
          </w:tcPr>
          <w:p>
            <w:r>
              <w:rPr>
                <w:sz w:val="20"/>
              </w:rPr>
              <w:t>Informed</w:t>
            </w:r>
          </w:p>
        </w:tc>
        <w:tc>
          <w:tcPr>
            <w:tcW w:type="dxa" w:w="1281"/>
          </w:tcPr>
          <w:p>
            <w:r>
              <w:rPr>
                <w:sz w:val="20"/>
              </w:rPr>
              <w:t>Consulted</w:t>
            </w:r>
          </w:p>
        </w:tc>
        <w:tc>
          <w:tcPr>
            <w:tcW w:type="dxa" w:w="1281"/>
          </w:tcPr>
          <w:p>
            <w:r>
              <w:rPr>
                <w:sz w:val="20"/>
              </w:rPr>
              <w:t>Responsible</w:t>
            </w:r>
          </w:p>
        </w:tc>
        <w:tc>
          <w:tcPr>
            <w:tcW w:type="dxa" w:w="1281"/>
          </w:tcPr>
          <w:p>
            <w:r>
              <w:rPr>
                <w:sz w:val="20"/>
              </w:rPr>
              <w:t>Consulted</w:t>
            </w:r>
          </w:p>
        </w:tc>
        <w:tc>
          <w:tcPr>
            <w:tcW w:type="dxa" w:w="1281"/>
          </w:tcPr>
          <w:p>
            <w:r>
              <w:rPr>
                <w:sz w:val="20"/>
              </w:rPr>
              <w:t>Consulted</w:t>
            </w:r>
          </w:p>
        </w:tc>
        <w:tc>
          <w:tcPr>
            <w:tcW w:type="dxa" w:w="1263"/>
          </w:tcPr>
          <w:p>
            <w:r>
              <w:rPr>
                <w:sz w:val="20"/>
              </w:rPr>
              <w:t>Informed</w:t>
            </w:r>
          </w:p>
        </w:tc>
      </w:tr>
      <w:tr>
        <w:tc>
          <w:tcPr>
            <w:tcW w:type="dxa" w:w="1618"/>
            <w:shd w:val="clear" w:color="auto" w:fill="F2F6FC"/>
          </w:tcPr>
          <w:p>
            <w:r>
              <w:rPr>
                <w:sz w:val="20"/>
              </w:rPr>
              <w:t>Sandbox &amp; Config</w:t>
            </w:r>
          </w:p>
        </w:tc>
        <w:tc>
          <w:tcPr>
            <w:tcW w:type="dxa" w:w="1291"/>
            <w:shd w:val="clear" w:color="auto" w:fill="F2F6FC"/>
          </w:tcPr>
          <w:p>
            <w:r>
              <w:rPr>
                <w:sz w:val="20"/>
              </w:rPr>
              <w:t>Informed</w:t>
            </w:r>
          </w:p>
        </w:tc>
        <w:tc>
          <w:tcPr>
            <w:tcW w:type="dxa" w:w="1281"/>
            <w:shd w:val="clear" w:color="auto" w:fill="F2F6FC"/>
          </w:tcPr>
          <w:p>
            <w:r>
              <w:rPr>
                <w:sz w:val="20"/>
              </w:rPr>
              <w:t>Consulted</w:t>
            </w:r>
          </w:p>
        </w:tc>
        <w:tc>
          <w:tcPr>
            <w:tcW w:type="dxa" w:w="1281"/>
            <w:shd w:val="clear" w:color="auto" w:fill="F2F6FC"/>
          </w:tcPr>
          <w:p>
            <w:r>
              <w:rPr>
                <w:sz w:val="20"/>
              </w:rPr>
              <w:t>Consulted</w:t>
            </w:r>
          </w:p>
        </w:tc>
        <w:tc>
          <w:tcPr>
            <w:tcW w:type="dxa" w:w="1281"/>
            <w:shd w:val="clear" w:color="auto" w:fill="F2F6FC"/>
          </w:tcPr>
          <w:p>
            <w:r>
              <w:rPr>
                <w:sz w:val="20"/>
              </w:rPr>
              <w:t>Responsible</w:t>
            </w:r>
          </w:p>
        </w:tc>
        <w:tc>
          <w:tcPr>
            <w:tcW w:type="dxa" w:w="1281"/>
            <w:shd w:val="clear" w:color="auto" w:fill="F2F6FC"/>
          </w:tcPr>
          <w:p>
            <w:r>
              <w:rPr>
                <w:sz w:val="20"/>
              </w:rPr>
              <w:t>Consulted</w:t>
            </w:r>
          </w:p>
        </w:tc>
        <w:tc>
          <w:tcPr>
            <w:tcW w:type="dxa" w:w="1263"/>
            <w:shd w:val="clear" w:color="auto" w:fill="F2F6FC"/>
          </w:tcPr>
          <w:p>
            <w:r>
              <w:rPr>
                <w:sz w:val="20"/>
              </w:rPr>
              <w:t>Informed</w:t>
            </w:r>
          </w:p>
        </w:tc>
      </w:tr>
      <w:tr>
        <w:tc>
          <w:tcPr>
            <w:tcW w:type="dxa" w:w="1618"/>
          </w:tcPr>
          <w:p>
            <w:r>
              <w:rPr>
                <w:sz w:val="20"/>
              </w:rPr>
              <w:t>Custom Development</w:t>
            </w:r>
          </w:p>
        </w:tc>
        <w:tc>
          <w:tcPr>
            <w:tcW w:type="dxa" w:w="1291"/>
          </w:tcPr>
          <w:p>
            <w:r>
              <w:rPr>
                <w:sz w:val="20"/>
              </w:rPr>
              <w:t>Informed</w:t>
            </w:r>
          </w:p>
        </w:tc>
        <w:tc>
          <w:tcPr>
            <w:tcW w:type="dxa" w:w="1281"/>
          </w:tcPr>
          <w:p>
            <w:r>
              <w:rPr>
                <w:sz w:val="20"/>
              </w:rPr>
              <w:t>Consulted</w:t>
            </w:r>
          </w:p>
        </w:tc>
        <w:tc>
          <w:tcPr>
            <w:tcW w:type="dxa" w:w="1281"/>
          </w:tcPr>
          <w:p>
            <w:r>
              <w:rPr>
                <w:sz w:val="20"/>
              </w:rPr>
              <w:t>Consulted</w:t>
            </w:r>
          </w:p>
        </w:tc>
        <w:tc>
          <w:tcPr>
            <w:tcW w:type="dxa" w:w="1281"/>
          </w:tcPr>
          <w:p>
            <w:r>
              <w:rPr>
                <w:sz w:val="20"/>
              </w:rPr>
              <w:t>Consulted</w:t>
            </w:r>
          </w:p>
        </w:tc>
        <w:tc>
          <w:tcPr>
            <w:tcW w:type="dxa" w:w="1281"/>
          </w:tcPr>
          <w:p>
            <w:r>
              <w:rPr>
                <w:sz w:val="20"/>
              </w:rPr>
              <w:t>Responsible</w:t>
            </w:r>
          </w:p>
        </w:tc>
        <w:tc>
          <w:tcPr>
            <w:tcW w:type="dxa" w:w="1263"/>
          </w:tcPr>
          <w:p>
            <w:r>
              <w:rPr>
                <w:sz w:val="20"/>
              </w:rPr>
              <w:t>Informed</w:t>
            </w:r>
          </w:p>
        </w:tc>
      </w:tr>
      <w:tr>
        <w:tc>
          <w:tcPr>
            <w:tcW w:type="dxa" w:w="1618"/>
            <w:shd w:val="clear" w:color="auto" w:fill="F2F6FC"/>
          </w:tcPr>
          <w:p>
            <w:r>
              <w:rPr>
                <w:sz w:val="20"/>
              </w:rPr>
              <w:t>Testing &amp; QA</w:t>
            </w:r>
          </w:p>
        </w:tc>
        <w:tc>
          <w:tcPr>
            <w:tcW w:type="dxa" w:w="1291"/>
            <w:shd w:val="clear" w:color="auto" w:fill="F2F6FC"/>
          </w:tcPr>
          <w:p>
            <w:r>
              <w:rPr>
                <w:sz w:val="20"/>
              </w:rPr>
              <w:t>Accountable</w:t>
            </w:r>
          </w:p>
        </w:tc>
        <w:tc>
          <w:tcPr>
            <w:tcW w:type="dxa" w:w="1281"/>
            <w:shd w:val="clear" w:color="auto" w:fill="F2F6FC"/>
          </w:tcPr>
          <w:p>
            <w:r>
              <w:rPr>
                <w:sz w:val="20"/>
              </w:rPr>
              <w:t>Consulted</w:t>
            </w:r>
          </w:p>
        </w:tc>
        <w:tc>
          <w:tcPr>
            <w:tcW w:type="dxa" w:w="1281"/>
            <w:shd w:val="clear" w:color="auto" w:fill="F2F6FC"/>
          </w:tcPr>
          <w:p>
            <w:r>
              <w:rPr>
                <w:sz w:val="20"/>
              </w:rPr>
              <w:t>Consulted</w:t>
            </w:r>
          </w:p>
        </w:tc>
        <w:tc>
          <w:tcPr>
            <w:tcW w:type="dxa" w:w="1281"/>
            <w:shd w:val="clear" w:color="auto" w:fill="F2F6FC"/>
          </w:tcPr>
          <w:p>
            <w:r>
              <w:rPr>
                <w:sz w:val="20"/>
              </w:rPr>
              <w:t>Consulted</w:t>
            </w:r>
          </w:p>
        </w:tc>
        <w:tc>
          <w:tcPr>
            <w:tcW w:type="dxa" w:w="1281"/>
            <w:shd w:val="clear" w:color="auto" w:fill="F2F6FC"/>
          </w:tcPr>
          <w:p>
            <w:r>
              <w:rPr>
                <w:sz w:val="20"/>
              </w:rPr>
              <w:t>Consulted</w:t>
            </w:r>
          </w:p>
        </w:tc>
        <w:tc>
          <w:tcPr>
            <w:tcW w:type="dxa" w:w="1263"/>
            <w:shd w:val="clear" w:color="auto" w:fill="F2F6FC"/>
          </w:tcPr>
          <w:p>
            <w:r>
              <w:rPr>
                <w:sz w:val="20"/>
              </w:rPr>
              <w:t>Responsible</w:t>
            </w:r>
          </w:p>
        </w:tc>
      </w:tr>
    </w:tbl>
    <w:p>
      <w:pPr>
        <w:spacing w:after="40"/>
      </w:pPr>
    </w:p>
    <w:p>
      <w:pPr>
        <w:pStyle w:val="Heading1"/>
      </w:pPr>
      <w:r>
        <w:t>4. Budget Breakdown</w:t>
      </w:r>
    </w:p>
    <w:p>
      <w:r>
        <w:rPr/>
        <w:t xml:space="preserve">The total approved budget for the Salesforce migration project is </w:t>
      </w:r>
      <w:r>
        <w:rPr>
          <w:b/>
        </w:rPr>
        <w:t>$120,000</w:t>
      </w:r>
      <w:r>
        <w:rPr/>
        <w:t xml:space="preserve">, which covers software licensing, external specialist consulting, staff training, and an operational contingency fund. Financial allocations are strictly managed by </w:t>
      </w:r>
      <w:r>
        <w:rPr>
          <w:b/>
        </w:rPr>
        <w:t>Alex Morgan</w:t>
      </w:r>
      <w:r>
        <w:rPr/>
        <w:t>, IT Program Manager, and are mapped directly to corresponding project activities and deliverables to ensure optimal resource utilization throughout the four-month timeline.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3211"/>
        <w:gridCol w:w="3211"/>
        <w:gridCol w:w="3211"/>
      </w:tblGrid>
      <w:tr>
        <w:trPr>
          <w:tblHeader w:val="true"/>
        </w:trPr>
        <w:tc>
          <w:tcPr>
            <w:tcW w:type="dxa" w:w="2268"/>
            <w:shd w:val="clear" w:color="auto" w:fill="1F3A5F"/>
          </w:tcPr>
          <w:p>
            <w:r>
              <w:rPr>
                <w:b/>
                <w:color w:val="FFFFFF"/>
                <w:sz w:val="20"/>
              </w:rPr>
              <w:t>Category</w:t>
            </w:r>
          </w:p>
        </w:tc>
        <w:tc>
          <w:tcPr>
            <w:tcW w:type="dxa" w:w="1996"/>
            <w:shd w:val="clear" w:color="auto" w:fill="1F3A5F"/>
          </w:tcPr>
          <w:p>
            <w:r>
              <w:rPr>
                <w:b/>
                <w:color w:val="FFFFFF"/>
                <w:sz w:val="20"/>
              </w:rPr>
              <w:t>Allocation</w:t>
            </w:r>
          </w:p>
        </w:tc>
        <w:tc>
          <w:tcPr>
            <w:tcW w:type="dxa" w:w="5034"/>
            <w:shd w:val="clear" w:color="auto" w:fill="1F3A5F"/>
          </w:tcPr>
          <w:p>
            <w:r>
              <w:rPr>
                <w:b/>
                <w:color w:val="FFFFFF"/>
                <w:sz w:val="20"/>
              </w:rPr>
              <w:t>Linked Activity / Milestone</w:t>
            </w:r>
          </w:p>
        </w:tc>
      </w:tr>
      <w:tr>
        <w:tc>
          <w:tcPr>
            <w:tcW w:type="dxa" w:w="2268"/>
          </w:tcPr>
          <w:p>
            <w:r>
              <w:rPr>
                <w:sz w:val="20"/>
              </w:rPr>
              <w:t>Licensing</w:t>
            </w:r>
          </w:p>
        </w:tc>
        <w:tc>
          <w:tcPr>
            <w:tcW w:type="dxa" w:w="1996"/>
          </w:tcPr>
          <w:p>
            <w:r>
              <w:rPr>
                <w:sz w:val="20"/>
              </w:rPr>
              <w:t>$70,000</w:t>
            </w:r>
          </w:p>
        </w:tc>
        <w:tc>
          <w:tcPr>
            <w:tcW w:type="dxa" w:w="5034"/>
          </w:tcPr>
          <w:p>
            <w:r>
              <w:rPr>
                <w:sz w:val="20"/>
              </w:rPr>
              <w:t>Project Kick‑off &amp; Environment Setup</w:t>
            </w:r>
          </w:p>
        </w:tc>
      </w:tr>
      <w:tr>
        <w:tc>
          <w:tcPr>
            <w:tcW w:type="dxa" w:w="2268"/>
            <w:shd w:val="clear" w:color="auto" w:fill="F2F6FC"/>
          </w:tcPr>
          <w:p>
            <w:r>
              <w:rPr>
                <w:sz w:val="20"/>
              </w:rPr>
              <w:t>Consulting</w:t>
            </w:r>
          </w:p>
        </w:tc>
        <w:tc>
          <w:tcPr>
            <w:tcW w:type="dxa" w:w="1996"/>
            <w:shd w:val="clear" w:color="auto" w:fill="F2F6FC"/>
          </w:tcPr>
          <w:p>
            <w:r>
              <w:rPr>
                <w:sz w:val="20"/>
              </w:rPr>
              <w:t>$20,000</w:t>
            </w:r>
          </w:p>
        </w:tc>
        <w:tc>
          <w:tcPr>
            <w:tcW w:type="dxa" w:w="5034"/>
            <w:shd w:val="clear" w:color="auto" w:fill="F2F6FC"/>
          </w:tcPr>
          <w:p>
            <w:r>
              <w:rPr>
                <w:sz w:val="20"/>
              </w:rPr>
              <w:t>Data Migration &amp; Integration</w:t>
            </w:r>
          </w:p>
        </w:tc>
      </w:tr>
      <w:tr>
        <w:tc>
          <w:tcPr>
            <w:tcW w:type="dxa" w:w="2268"/>
          </w:tcPr>
          <w:p>
            <w:r>
              <w:rPr>
                <w:sz w:val="20"/>
              </w:rPr>
              <w:t>Contingency</w:t>
            </w:r>
          </w:p>
        </w:tc>
        <w:tc>
          <w:tcPr>
            <w:tcW w:type="dxa" w:w="1996"/>
          </w:tcPr>
          <w:p>
            <w:r>
              <w:rPr>
                <w:sz w:val="20"/>
              </w:rPr>
              <w:t>$15,000</w:t>
            </w:r>
          </w:p>
        </w:tc>
        <w:tc>
          <w:tcPr>
            <w:tcW w:type="dxa" w:w="5034"/>
          </w:tcPr>
          <w:p>
            <w:r>
              <w:rPr>
                <w:sz w:val="20"/>
              </w:rPr>
              <w:t>All phases</w:t>
            </w:r>
          </w:p>
        </w:tc>
      </w:tr>
      <w:tr>
        <w:tc>
          <w:tcPr>
            <w:tcW w:type="dxa" w:w="2268"/>
            <w:shd w:val="clear" w:color="auto" w:fill="F2F6FC"/>
          </w:tcPr>
          <w:p>
            <w:r>
              <w:rPr>
                <w:sz w:val="20"/>
              </w:rPr>
              <w:t>Training</w:t>
            </w:r>
          </w:p>
        </w:tc>
        <w:tc>
          <w:tcPr>
            <w:tcW w:type="dxa" w:w="1996"/>
            <w:shd w:val="clear" w:color="auto" w:fill="F2F6FC"/>
          </w:tcPr>
          <w:p>
            <w:r>
              <w:rPr>
                <w:sz w:val="20"/>
              </w:rPr>
              <w:t>$15,000</w:t>
            </w:r>
          </w:p>
        </w:tc>
        <w:tc>
          <w:tcPr>
            <w:tcW w:type="dxa" w:w="5034"/>
            <w:shd w:val="clear" w:color="auto" w:fill="F2F6FC"/>
          </w:tcPr>
          <w:p>
            <w:r>
              <w:rPr>
                <w:sz w:val="20"/>
              </w:rPr>
              <w:t>Training &amp; Documentation</w:t>
            </w:r>
          </w:p>
        </w:tc>
      </w:tr>
    </w:tbl>
    <w:p>
      <w:pPr>
        <w:spacing w:after="40"/>
      </w:pPr>
    </w:p>
    <w:p>
      <w:pPr>
        <w:pStyle w:val="Heading1"/>
      </w:pPr>
      <w:r>
        <w:t>5. Risk Management</w:t>
      </w:r>
    </w:p>
    <w:p>
      <w:r>
        <w:rPr/>
        <w:t xml:space="preserve">To ensure the migration remains on track within the four-month window and </w:t>
      </w:r>
      <w:r>
        <w:rPr>
          <w:b/>
        </w:rPr>
        <w:t>$120,000</w:t>
      </w:r>
      <w:r>
        <w:rPr/>
        <w:t xml:space="preserve"> budget, the project team has identified four primary risk areas. Project lead </w:t>
      </w:r>
      <w:r>
        <w:rPr>
          <w:b/>
        </w:rPr>
        <w:t>Alex Morgan</w:t>
      </w:r>
      <w:r>
        <w:rPr/>
        <w:t xml:space="preserve"> and the engineering team will proactively monitor these risks and execute mitigation strategies to prevent project delays or quality compromises.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tblHeader w:val="true"/>
        </w:trPr>
        <w:tc>
          <w:tcPr>
            <w:tcW w:type="dxa" w:w="2882"/>
            <w:shd w:val="clear" w:color="auto" w:fill="1F3A5F"/>
          </w:tcPr>
          <w:p>
            <w:r>
              <w:rPr>
                <w:b/>
                <w:color w:val="FFFFFF"/>
                <w:sz w:val="20"/>
              </w:rPr>
              <w:t>Risk Description</w:t>
            </w:r>
          </w:p>
        </w:tc>
        <w:tc>
          <w:tcPr>
            <w:tcW w:type="dxa" w:w="1159"/>
            <w:shd w:val="clear" w:color="auto" w:fill="1F3A5F"/>
          </w:tcPr>
          <w:p>
            <w:r>
              <w:rPr>
                <w:b/>
                <w:color w:val="FFFFFF"/>
                <w:sz w:val="20"/>
              </w:rPr>
              <w:t>Probability</w:t>
            </w:r>
          </w:p>
        </w:tc>
        <w:tc>
          <w:tcPr>
            <w:tcW w:type="dxa" w:w="1105"/>
            <w:shd w:val="clear" w:color="auto" w:fill="1F3A5F"/>
          </w:tcPr>
          <w:p>
            <w:r>
              <w:rPr>
                <w:b/>
                <w:color w:val="FFFFFF"/>
                <w:sz w:val="20"/>
              </w:rPr>
              <w:t>Impact</w:t>
            </w:r>
          </w:p>
        </w:tc>
        <w:tc>
          <w:tcPr>
            <w:tcW w:type="dxa" w:w="1269"/>
            <w:shd w:val="clear" w:color="auto" w:fill="1F3A5F"/>
          </w:tcPr>
          <w:p>
            <w:r>
              <w:rPr>
                <w:b/>
                <w:color w:val="FFFFFF"/>
                <w:sz w:val="20"/>
              </w:rPr>
              <w:t>Owner</w:t>
            </w:r>
          </w:p>
        </w:tc>
        <w:tc>
          <w:tcPr>
            <w:tcW w:type="dxa" w:w="2882"/>
            <w:shd w:val="clear" w:color="auto" w:fill="1F3A5F"/>
          </w:tcPr>
          <w:p>
            <w:r>
              <w:rPr>
                <w:b/>
                <w:color w:val="FFFFFF"/>
                <w:sz w:val="20"/>
              </w:rPr>
              <w:t>Mitigation Strategy</w:t>
            </w:r>
          </w:p>
        </w:tc>
      </w:tr>
      <w:tr>
        <w:tc>
          <w:tcPr>
            <w:tcW w:type="dxa" w:w="2882"/>
          </w:tcPr>
          <w:p>
            <w:r>
              <w:rPr>
                <w:sz w:val="20"/>
              </w:rPr>
              <w:t>Data migration corruption or loss from legacy on-premise CRM</w:t>
            </w:r>
          </w:p>
        </w:tc>
        <w:tc>
          <w:tcPr>
            <w:tcW w:type="dxa" w:w="1159"/>
          </w:tcPr>
          <w:p>
            <w:r>
              <w:rPr>
                <w:sz w:val="20"/>
              </w:rPr>
              <w:t>Medium</w:t>
            </w:r>
          </w:p>
        </w:tc>
        <w:tc>
          <w:tcPr>
            <w:tcW w:type="dxa" w:w="1105"/>
          </w:tcPr>
          <w:p>
            <w:r>
              <w:rPr>
                <w:sz w:val="20"/>
              </w:rPr>
              <w:t>High</w:t>
            </w:r>
          </w:p>
        </w:tc>
        <w:tc>
          <w:tcPr>
            <w:tcW w:type="dxa" w:w="1269"/>
          </w:tcPr>
          <w:p>
            <w:r>
              <w:rPr>
                <w:sz w:val="20"/>
              </w:rPr>
              <w:t>John Lee</w:t>
            </w:r>
          </w:p>
        </w:tc>
        <w:tc>
          <w:tcPr>
            <w:tcW w:type="dxa" w:w="2882"/>
          </w:tcPr>
          <w:p>
            <w:r>
              <w:rPr>
                <w:sz w:val="20"/>
              </w:rPr>
              <w:t>Perform three full dry-run migrations in staging environment prior to go-live.</w:t>
            </w:r>
          </w:p>
        </w:tc>
      </w:tr>
      <w:tr>
        <w:tc>
          <w:tcPr>
            <w:tcW w:type="dxa" w:w="2882"/>
            <w:shd w:val="clear" w:color="auto" w:fill="F2F6FC"/>
          </w:tcPr>
          <w:p>
            <w:r>
              <w:rPr>
                <w:sz w:val="20"/>
              </w:rPr>
              <w:t>Scope creep from stakeholders requesting additional custom modules</w:t>
            </w:r>
          </w:p>
        </w:tc>
        <w:tc>
          <w:tcPr>
            <w:tcW w:type="dxa" w:w="1159"/>
            <w:shd w:val="clear" w:color="auto" w:fill="F2F6FC"/>
          </w:tcPr>
          <w:p>
            <w:r>
              <w:rPr>
                <w:sz w:val="20"/>
              </w:rPr>
              <w:t>Low</w:t>
            </w:r>
          </w:p>
        </w:tc>
        <w:tc>
          <w:tcPr>
            <w:tcW w:type="dxa" w:w="1105"/>
            <w:shd w:val="clear" w:color="auto" w:fill="F2F6FC"/>
          </w:tcPr>
          <w:p>
            <w:r>
              <w:rPr>
                <w:sz w:val="20"/>
              </w:rPr>
              <w:t>High</w:t>
            </w:r>
          </w:p>
        </w:tc>
        <w:tc>
          <w:tcPr>
            <w:tcW w:type="dxa" w:w="1269"/>
            <w:shd w:val="clear" w:color="auto" w:fill="F2F6FC"/>
          </w:tcPr>
          <w:p>
            <w:r>
              <w:rPr>
                <w:sz w:val="20"/>
              </w:rPr>
              <w:t>Alex Morgan</w:t>
            </w:r>
          </w:p>
        </w:tc>
        <w:tc>
          <w:tcPr>
            <w:tcW w:type="dxa" w:w="2882"/>
            <w:shd w:val="clear" w:color="auto" w:fill="F2F6FC"/>
          </w:tcPr>
          <w:p>
            <w:r>
              <w:rPr>
                <w:sz w:val="20"/>
              </w:rPr>
              <w:t>Enforce strict change request freeze post-design phase as per project assumptions.</w:t>
            </w:r>
          </w:p>
        </w:tc>
      </w:tr>
      <w:tr>
        <w:tc>
          <w:tcPr>
            <w:tcW w:type="dxa" w:w="2882"/>
          </w:tcPr>
          <w:p>
            <w:r>
              <w:rPr>
                <w:sz w:val="20"/>
              </w:rPr>
              <w:t>Integration failures with existing third-party enterprise tools</w:t>
            </w:r>
          </w:p>
        </w:tc>
        <w:tc>
          <w:tcPr>
            <w:tcW w:type="dxa" w:w="1159"/>
          </w:tcPr>
          <w:p>
            <w:r>
              <w:rPr>
                <w:sz w:val="20"/>
              </w:rPr>
              <w:t>Medium</w:t>
            </w:r>
          </w:p>
        </w:tc>
        <w:tc>
          <w:tcPr>
            <w:tcW w:type="dxa" w:w="1105"/>
          </w:tcPr>
          <w:p>
            <w:r>
              <w:rPr>
                <w:sz w:val="20"/>
              </w:rPr>
              <w:t>Medium</w:t>
            </w:r>
          </w:p>
        </w:tc>
        <w:tc>
          <w:tcPr>
            <w:tcW w:type="dxa" w:w="1269"/>
          </w:tcPr>
          <w:p>
            <w:r>
              <w:rPr>
                <w:sz w:val="20"/>
              </w:rPr>
              <w:t>Priya Patel</w:t>
            </w:r>
          </w:p>
        </w:tc>
        <w:tc>
          <w:tcPr>
            <w:tcW w:type="dxa" w:w="2882"/>
          </w:tcPr>
          <w:p>
            <w:r>
              <w:rPr>
                <w:sz w:val="20"/>
              </w:rPr>
              <w:t>Allocate $20,000 consulting budget for specialized API integration support.</w:t>
            </w:r>
          </w:p>
        </w:tc>
      </w:tr>
      <w:tr>
        <w:tc>
          <w:tcPr>
            <w:tcW w:type="dxa" w:w="2882"/>
            <w:shd w:val="clear" w:color="auto" w:fill="F2F6FC"/>
          </w:tcPr>
          <w:p>
            <w:r>
              <w:rPr>
                <w:sz w:val="20"/>
              </w:rPr>
              <w:t>Low user adoption of Salesforce platform post-launch</w:t>
            </w:r>
          </w:p>
        </w:tc>
        <w:tc>
          <w:tcPr>
            <w:tcW w:type="dxa" w:w="1159"/>
            <w:shd w:val="clear" w:color="auto" w:fill="F2F6FC"/>
          </w:tcPr>
          <w:p>
            <w:r>
              <w:rPr>
                <w:sz w:val="20"/>
              </w:rPr>
              <w:t>Medium</w:t>
            </w:r>
          </w:p>
        </w:tc>
        <w:tc>
          <w:tcPr>
            <w:tcW w:type="dxa" w:w="1105"/>
            <w:shd w:val="clear" w:color="auto" w:fill="F2F6FC"/>
          </w:tcPr>
          <w:p>
            <w:r>
              <w:rPr>
                <w:sz w:val="20"/>
              </w:rPr>
              <w:t>High</w:t>
            </w:r>
          </w:p>
        </w:tc>
        <w:tc>
          <w:tcPr>
            <w:tcW w:type="dxa" w:w="1269"/>
            <w:shd w:val="clear" w:color="auto" w:fill="F2F6FC"/>
          </w:tcPr>
          <w:p>
            <w:r>
              <w:rPr>
                <w:sz w:val="20"/>
              </w:rPr>
              <w:t>Elena Gomez</w:t>
            </w:r>
          </w:p>
        </w:tc>
        <w:tc>
          <w:tcPr>
            <w:tcW w:type="dxa" w:w="2882"/>
            <w:shd w:val="clear" w:color="auto" w:fill="F2F6FC"/>
          </w:tcPr>
          <w:p>
            <w:r>
              <w:rPr>
                <w:sz w:val="20"/>
              </w:rPr>
              <w:t>Utilize the $15,000 training budget for comprehensive mandatory staff workshops.</w:t>
            </w:r>
          </w:p>
        </w:tc>
      </w:tr>
    </w:tbl>
    <w:p>
      <w:pPr>
        <w:spacing w:after="40"/>
      </w:pPr>
    </w:p>
    <w:p>
      <w:pPr>
        <w:pStyle w:val="Heading1"/>
      </w:pPr>
      <w:r>
        <w:t>6. Communication &amp; Reporting Plan</w:t>
      </w:r>
    </w:p>
    <w:p>
      <w:pPr>
        <w:pStyle w:val="ListBullet"/>
      </w:pPr>
      <w:r>
        <w:rPr>
          <w:b/>
        </w:rPr>
        <w:t>Meeting Cadence</w:t>
      </w:r>
      <w:r>
        <w:rPr/>
        <w:t xml:space="preserve"> – Weekly 30-minute engineering stand-ups every Monday at 10:00 AM via Zoom, attended by Alex Morgan and the five engineers (John Lee, Priya Patel, Marco Silva, Elena Gomez, and David Chen); bi-weekly 60-minute steering reviews every other Friday at 2:00 PM via Teams with executive stakeholders to monitor the $120,000 budget and project milestones.</w:t>
      </w:r>
    </w:p>
    <w:p>
      <w:pPr>
        <w:pStyle w:val="ListBullet"/>
      </w:pPr>
      <w:r>
        <w:rPr>
          <w:b/>
        </w:rPr>
        <w:t>Status Reporting</w:t>
      </w:r>
      <w:r>
        <w:rPr/>
        <w:t xml:space="preserve"> – A concise one-page PDF status report generated automatically from Jira dashboards every Friday afternoon, detailing percentage completion, upcoming tasks, risk scores, budget burn against the licensing and consulting allocations, and progress toward the </w:t>
      </w:r>
      <w:r>
        <w:rPr>
          <w:b/>
        </w:rPr>
        <w:t>2027-02-20</w:t>
      </w:r>
      <w:r>
        <w:rPr/>
        <w:t xml:space="preserve"> target go-live date.</w:t>
      </w:r>
    </w:p>
    <w:p>
      <w:pPr>
        <w:pStyle w:val="ListBullet"/>
      </w:pPr>
      <w:r>
        <w:rPr>
          <w:b/>
        </w:rPr>
        <w:t>Post-Go-Live Reporting</w:t>
      </w:r>
      <w:r>
        <w:rPr/>
        <w:t xml:space="preserve"> – Dedicated daily tracking reports during the final project phase running from </w:t>
      </w:r>
      <w:r>
        <w:rPr>
          <w:b/>
        </w:rPr>
        <w:t>2027-02-21</w:t>
      </w:r>
      <w:r>
        <w:rPr/>
        <w:t xml:space="preserve"> to </w:t>
      </w:r>
      <w:r>
        <w:rPr>
          <w:b/>
        </w:rPr>
        <w:t>2027-02-28</w:t>
      </w:r>
      <w:r>
        <w:rPr/>
        <w:t>, ensuring all post-launch issues are logged, triaged, and resolved prior to project closure.</w:t>
      </w:r>
    </w:p>
    <w:p>
      <w:pPr>
        <w:pStyle w:val="ListBullet"/>
      </w:pPr>
      <w:r>
        <w:rPr>
          <w:b/>
        </w:rPr>
        <w:t>Communication Channels</w:t>
      </w:r>
      <w:r>
        <w:rPr/>
        <w:t xml:space="preserve"> – A centralized SharePoint site dedicated to all official project artifacts and meeting minutes; Slack channel #crm-migration-escalations for day-to-day team updates; email for formal change approvals and executive summaries.</w:t>
      </w:r>
    </w:p>
    <w:p>
      <w:pPr>
        <w:pStyle w:val="ListBullet"/>
      </w:pPr>
      <w:r>
        <w:rPr>
          <w:b/>
        </w:rPr>
        <w:t>Escalation Procedures</w:t>
      </w:r>
      <w:r>
        <w:rPr/>
        <w:t xml:space="preserve"> – Issues threatening the project schedule or budget are escalated via Slack immediately, followed by a written report to Project Lead Alex Morgan within 4 hours; the formal escalation path follows Engineer to Project Lead to IT Director to Executive Sponsor, with a mandatory 24-hour response SLA at each tier.</w:t>
      </w:r>
    </w:p>
    <w:p>
      <w:pPr>
        <w:pStyle w:val="ListBullet"/>
      </w:pPr>
      <w:r>
        <w:rPr>
          <w:b/>
        </w:rPr>
        <w:t>Change Management &amp; Review</w:t>
      </w:r>
      <w:r>
        <w:rPr/>
        <w:t xml:space="preserve"> – Any proposed scope modification triggers a formal change request form in Jira, evaluated during the bi-weekly steering review and documented in the project archives to prevent scope creep.</w:t>
      </w:r>
    </w:p>
    <w:p>
      <w:r>
        <w:br w:type="page"/>
      </w:r>
    </w:p>
    <w:p>
      <w:pPr>
        <w:pStyle w:val="Heading1"/>
      </w:pPr>
      <w:r>
        <w:t>Appendix A - How this document was produced</w:t>
      </w:r>
    </w:p>
    <w:p>
      <w:r>
        <w:rPr>
          <w:color w:val="595959"/>
          <w:sz w:val="20"/>
        </w:rPr>
        <w:t>This document was planned, written and quality-checked autonomously by a multi-agent pipeline (Planner → parallel Writers → Reviewer). The table below is the agent's own task list, including tasks it added for itself during the run.</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tblHeader w:val="true"/>
        </w:trPr>
        <w:tc>
          <w:tcPr>
            <w:tcW w:type="dxa" w:w="567"/>
            <w:shd w:val="clear" w:color="auto" w:fill="1F3A5F"/>
          </w:tcPr>
          <w:p>
            <w:r>
              <w:rPr>
                <w:b/>
                <w:color w:val="FFFFFF"/>
                <w:sz w:val="20"/>
              </w:rPr>
              <w:t>#</w:t>
            </w:r>
          </w:p>
        </w:tc>
        <w:tc>
          <w:tcPr>
            <w:tcW w:type="dxa" w:w="5216"/>
            <w:shd w:val="clear" w:color="auto" w:fill="1F3A5F"/>
          </w:tcPr>
          <w:p>
            <w:r>
              <w:rPr>
                <w:b/>
                <w:color w:val="FFFFFF"/>
                <w:sz w:val="20"/>
              </w:rPr>
              <w:t>Task</w:t>
            </w:r>
          </w:p>
        </w:tc>
        <w:tc>
          <w:tcPr>
            <w:tcW w:type="dxa" w:w="1361"/>
            <w:shd w:val="clear" w:color="auto" w:fill="1F3A5F"/>
          </w:tcPr>
          <w:p>
            <w:r>
              <w:rPr>
                <w:b/>
                <w:color w:val="FFFFFF"/>
                <w:sz w:val="20"/>
              </w:rPr>
              <w:t>Agent</w:t>
            </w:r>
          </w:p>
        </w:tc>
        <w:tc>
          <w:tcPr>
            <w:tcW w:type="dxa" w:w="1020"/>
            <w:shd w:val="clear" w:color="auto" w:fill="1F3A5F"/>
          </w:tcPr>
          <w:p>
            <w:r>
              <w:rPr>
                <w:b/>
                <w:color w:val="FFFFFF"/>
                <w:sz w:val="20"/>
              </w:rPr>
              <w:t>Status</w:t>
            </w:r>
          </w:p>
        </w:tc>
        <w:tc>
          <w:tcPr>
            <w:tcW w:type="dxa" w:w="907"/>
            <w:shd w:val="clear" w:color="auto" w:fill="1F3A5F"/>
          </w:tcPr>
          <w:p>
            <w:r>
              <w:rPr>
                <w:b/>
                <w:color w:val="FFFFFF"/>
                <w:sz w:val="20"/>
              </w:rPr>
              <w:t>Time</w:t>
            </w:r>
          </w:p>
        </w:tc>
      </w:tr>
      <w:tr>
        <w:tc>
          <w:tcPr>
            <w:tcW w:type="dxa" w:w="567"/>
          </w:tcPr>
          <w:p>
            <w:r>
              <w:rPr>
                <w:sz w:val="20"/>
              </w:rPr>
              <w:t>1</w:t>
            </w:r>
          </w:p>
        </w:tc>
        <w:tc>
          <w:tcPr>
            <w:tcW w:type="dxa" w:w="5216"/>
          </w:tcPr>
          <w:p>
            <w:r>
              <w:rPr>
                <w:sz w:val="20"/>
              </w:rPr>
              <w:t>Validate request and apply guardrails</w:t>
            </w:r>
          </w:p>
        </w:tc>
        <w:tc>
          <w:tcPr>
            <w:tcW w:type="dxa" w:w="1361"/>
          </w:tcPr>
          <w:p>
            <w:r>
              <w:rPr>
                <w:sz w:val="20"/>
              </w:rPr>
              <w:t>Guardrails</w:t>
            </w:r>
          </w:p>
        </w:tc>
        <w:tc>
          <w:tcPr>
            <w:tcW w:type="dxa" w:w="1020"/>
          </w:tcPr>
          <w:p>
            <w:r>
              <w:rPr>
                <w:sz w:val="20"/>
              </w:rPr>
              <w:t>Done</w:t>
            </w:r>
          </w:p>
        </w:tc>
        <w:tc>
          <w:tcPr>
            <w:tcW w:type="dxa" w:w="907"/>
          </w:tcPr>
          <w:p>
            <w:r>
              <w:rPr>
                <w:sz w:val="20"/>
              </w:rPr>
              <w:t>0.0s</w:t>
            </w:r>
          </w:p>
        </w:tc>
      </w:tr>
      <w:tr>
        <w:tc>
          <w:tcPr>
            <w:tcW w:type="dxa" w:w="567"/>
            <w:shd w:val="clear" w:color="auto" w:fill="F2F6FC"/>
          </w:tcPr>
          <w:p>
            <w:r>
              <w:rPr>
                <w:sz w:val="20"/>
              </w:rPr>
              <w:t>2</w:t>
            </w:r>
          </w:p>
        </w:tc>
        <w:tc>
          <w:tcPr>
            <w:tcW w:type="dxa" w:w="5216"/>
            <w:shd w:val="clear" w:color="auto" w:fill="F2F6FC"/>
          </w:tcPr>
          <w:p>
            <w:r>
              <w:rPr>
                <w:sz w:val="20"/>
              </w:rPr>
              <w:t>Analyse request and build execution plan</w:t>
            </w:r>
          </w:p>
        </w:tc>
        <w:tc>
          <w:tcPr>
            <w:tcW w:type="dxa" w:w="1361"/>
            <w:shd w:val="clear" w:color="auto" w:fill="F2F6FC"/>
          </w:tcPr>
          <w:p>
            <w:r>
              <w:rPr>
                <w:sz w:val="20"/>
              </w:rPr>
              <w:t>Planner</w:t>
            </w:r>
          </w:p>
        </w:tc>
        <w:tc>
          <w:tcPr>
            <w:tcW w:type="dxa" w:w="1020"/>
            <w:shd w:val="clear" w:color="auto" w:fill="F2F6FC"/>
          </w:tcPr>
          <w:p>
            <w:r>
              <w:rPr>
                <w:sz w:val="20"/>
              </w:rPr>
              <w:t>Done</w:t>
            </w:r>
          </w:p>
        </w:tc>
        <w:tc>
          <w:tcPr>
            <w:tcW w:type="dxa" w:w="907"/>
            <w:shd w:val="clear" w:color="auto" w:fill="F2F6FC"/>
          </w:tcPr>
          <w:p>
            <w:r>
              <w:rPr>
                <w:sz w:val="20"/>
              </w:rPr>
              <w:t>5.2s</w:t>
            </w:r>
          </w:p>
        </w:tc>
      </w:tr>
      <w:tr>
        <w:tc>
          <w:tcPr>
            <w:tcW w:type="dxa" w:w="567"/>
          </w:tcPr>
          <w:p>
            <w:r>
              <w:rPr>
                <w:sz w:val="20"/>
              </w:rPr>
              <w:t>3</w:t>
            </w:r>
          </w:p>
        </w:tc>
        <w:tc>
          <w:tcPr>
            <w:tcW w:type="dxa" w:w="5216"/>
          </w:tcPr>
          <w:p>
            <w:r>
              <w:rPr>
                <w:sz w:val="20"/>
              </w:rPr>
              <w:t>Write section 1: Executive Summary</w:t>
            </w:r>
          </w:p>
        </w:tc>
        <w:tc>
          <w:tcPr>
            <w:tcW w:type="dxa" w:w="1361"/>
          </w:tcPr>
          <w:p>
            <w:r>
              <w:rPr>
                <w:sz w:val="20"/>
              </w:rPr>
              <w:t>Writer</w:t>
            </w:r>
          </w:p>
        </w:tc>
        <w:tc>
          <w:tcPr>
            <w:tcW w:type="dxa" w:w="1020"/>
          </w:tcPr>
          <w:p>
            <w:r>
              <w:rPr>
                <w:sz w:val="20"/>
              </w:rPr>
              <w:t>Done</w:t>
            </w:r>
          </w:p>
        </w:tc>
        <w:tc>
          <w:tcPr>
            <w:tcW w:type="dxa" w:w="907"/>
          </w:tcPr>
          <w:p>
            <w:r>
              <w:rPr>
                <w:sz w:val="20"/>
              </w:rPr>
              <w:t>2.2s</w:t>
            </w:r>
          </w:p>
        </w:tc>
      </w:tr>
      <w:tr>
        <w:tc>
          <w:tcPr>
            <w:tcW w:type="dxa" w:w="567"/>
            <w:shd w:val="clear" w:color="auto" w:fill="F2F6FC"/>
          </w:tcPr>
          <w:p>
            <w:r>
              <w:rPr>
                <w:sz w:val="20"/>
              </w:rPr>
              <w:t>4</w:t>
            </w:r>
          </w:p>
        </w:tc>
        <w:tc>
          <w:tcPr>
            <w:tcW w:type="dxa" w:w="5216"/>
            <w:shd w:val="clear" w:color="auto" w:fill="F2F6FC"/>
          </w:tcPr>
          <w:p>
            <w:r>
              <w:rPr>
                <w:sz w:val="20"/>
              </w:rPr>
              <w:t>Write section 2: Timeline &amp; Milestones</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1.3s</w:t>
            </w:r>
          </w:p>
        </w:tc>
      </w:tr>
      <w:tr>
        <w:tc>
          <w:tcPr>
            <w:tcW w:type="dxa" w:w="567"/>
          </w:tcPr>
          <w:p>
            <w:r>
              <w:rPr>
                <w:sz w:val="20"/>
              </w:rPr>
              <w:t>5</w:t>
            </w:r>
          </w:p>
        </w:tc>
        <w:tc>
          <w:tcPr>
            <w:tcW w:type="dxa" w:w="5216"/>
          </w:tcPr>
          <w:p>
            <w:r>
              <w:rPr>
                <w:sz w:val="20"/>
              </w:rPr>
              <w:t>Write section 3: Roles &amp; Responsibilities (RACI)</w:t>
            </w:r>
          </w:p>
        </w:tc>
        <w:tc>
          <w:tcPr>
            <w:tcW w:type="dxa" w:w="1361"/>
          </w:tcPr>
          <w:p>
            <w:r>
              <w:rPr>
                <w:sz w:val="20"/>
              </w:rPr>
              <w:t>Writer</w:t>
            </w:r>
          </w:p>
        </w:tc>
        <w:tc>
          <w:tcPr>
            <w:tcW w:type="dxa" w:w="1020"/>
          </w:tcPr>
          <w:p>
            <w:r>
              <w:rPr>
                <w:sz w:val="20"/>
              </w:rPr>
              <w:t>Done</w:t>
            </w:r>
          </w:p>
        </w:tc>
        <w:tc>
          <w:tcPr>
            <w:tcW w:type="dxa" w:w="907"/>
          </w:tcPr>
          <w:p>
            <w:r>
              <w:rPr>
                <w:sz w:val="20"/>
              </w:rPr>
              <w:t>2.0s</w:t>
            </w:r>
          </w:p>
        </w:tc>
      </w:tr>
      <w:tr>
        <w:tc>
          <w:tcPr>
            <w:tcW w:type="dxa" w:w="567"/>
            <w:shd w:val="clear" w:color="auto" w:fill="F2F6FC"/>
          </w:tcPr>
          <w:p>
            <w:r>
              <w:rPr>
                <w:sz w:val="20"/>
              </w:rPr>
              <w:t>6</w:t>
            </w:r>
          </w:p>
        </w:tc>
        <w:tc>
          <w:tcPr>
            <w:tcW w:type="dxa" w:w="5216"/>
            <w:shd w:val="clear" w:color="auto" w:fill="F2F6FC"/>
          </w:tcPr>
          <w:p>
            <w:r>
              <w:rPr>
                <w:sz w:val="20"/>
              </w:rPr>
              <w:t>Write section 4: Budget Breakdown</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0.7s</w:t>
            </w:r>
          </w:p>
        </w:tc>
      </w:tr>
      <w:tr>
        <w:tc>
          <w:tcPr>
            <w:tcW w:type="dxa" w:w="567"/>
          </w:tcPr>
          <w:p>
            <w:r>
              <w:rPr>
                <w:sz w:val="20"/>
              </w:rPr>
              <w:t>7</w:t>
            </w:r>
          </w:p>
        </w:tc>
        <w:tc>
          <w:tcPr>
            <w:tcW w:type="dxa" w:w="5216"/>
          </w:tcPr>
          <w:p>
            <w:r>
              <w:rPr>
                <w:sz w:val="20"/>
              </w:rPr>
              <w:t>Write section 5: Risk Management</w:t>
            </w:r>
          </w:p>
        </w:tc>
        <w:tc>
          <w:tcPr>
            <w:tcW w:type="dxa" w:w="1361"/>
          </w:tcPr>
          <w:p>
            <w:r>
              <w:rPr>
                <w:sz w:val="20"/>
              </w:rPr>
              <w:t>Writer</w:t>
            </w:r>
          </w:p>
        </w:tc>
        <w:tc>
          <w:tcPr>
            <w:tcW w:type="dxa" w:w="1020"/>
          </w:tcPr>
          <w:p>
            <w:r>
              <w:rPr>
                <w:sz w:val="20"/>
              </w:rPr>
              <w:t>Done</w:t>
            </w:r>
          </w:p>
        </w:tc>
        <w:tc>
          <w:tcPr>
            <w:tcW w:type="dxa" w:w="907"/>
          </w:tcPr>
          <w:p>
            <w:r>
              <w:rPr>
                <w:sz w:val="20"/>
              </w:rPr>
              <w:t>2.0s</w:t>
            </w:r>
          </w:p>
        </w:tc>
      </w:tr>
      <w:tr>
        <w:tc>
          <w:tcPr>
            <w:tcW w:type="dxa" w:w="567"/>
            <w:shd w:val="clear" w:color="auto" w:fill="F2F6FC"/>
          </w:tcPr>
          <w:p>
            <w:r>
              <w:rPr>
                <w:sz w:val="20"/>
              </w:rPr>
              <w:t>8</w:t>
            </w:r>
          </w:p>
        </w:tc>
        <w:tc>
          <w:tcPr>
            <w:tcW w:type="dxa" w:w="5216"/>
            <w:shd w:val="clear" w:color="auto" w:fill="F2F6FC"/>
          </w:tcPr>
          <w:p>
            <w:r>
              <w:rPr>
                <w:sz w:val="20"/>
              </w:rPr>
              <w:t>Write section 6: Communication &amp; Reporting Plan</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0.7s</w:t>
            </w:r>
          </w:p>
        </w:tc>
      </w:tr>
      <w:tr>
        <w:tc>
          <w:tcPr>
            <w:tcW w:type="dxa" w:w="567"/>
          </w:tcPr>
          <w:p>
            <w:r>
              <w:rPr>
                <w:sz w:val="20"/>
              </w:rPr>
              <w:t>9</w:t>
            </w:r>
          </w:p>
        </w:tc>
        <w:tc>
          <w:tcPr>
            <w:tcW w:type="dxa" w:w="5216"/>
          </w:tcPr>
          <w:p>
            <w:r>
              <w:rPr>
                <w:sz w:val="20"/>
              </w:rPr>
              <w:t>Self-review the full draft against the request</w:t>
            </w:r>
          </w:p>
        </w:tc>
        <w:tc>
          <w:tcPr>
            <w:tcW w:type="dxa" w:w="1361"/>
          </w:tcPr>
          <w:p>
            <w:r>
              <w:rPr>
                <w:sz w:val="20"/>
              </w:rPr>
              <w:t>Reviewer</w:t>
            </w:r>
          </w:p>
        </w:tc>
        <w:tc>
          <w:tcPr>
            <w:tcW w:type="dxa" w:w="1020"/>
          </w:tcPr>
          <w:p>
            <w:r>
              <w:rPr>
                <w:sz w:val="20"/>
              </w:rPr>
              <w:t>Done</w:t>
            </w:r>
          </w:p>
        </w:tc>
        <w:tc>
          <w:tcPr>
            <w:tcW w:type="dxa" w:w="907"/>
          </w:tcPr>
          <w:p>
            <w:r>
              <w:rPr>
                <w:sz w:val="20"/>
              </w:rPr>
              <w:t>2.7s</w:t>
            </w:r>
          </w:p>
        </w:tc>
      </w:tr>
      <w:tr>
        <w:tc>
          <w:tcPr>
            <w:tcW w:type="dxa" w:w="567"/>
            <w:shd w:val="clear" w:color="auto" w:fill="F2F6FC"/>
          </w:tcPr>
          <w:p>
            <w:r>
              <w:rPr>
                <w:sz w:val="20"/>
              </w:rPr>
              <w:t>10</w:t>
            </w:r>
          </w:p>
        </w:tc>
        <w:tc>
          <w:tcPr>
            <w:tcW w:type="dxa" w:w="5216"/>
            <w:shd w:val="clear" w:color="auto" w:fill="F2F6FC"/>
          </w:tcPr>
          <w:p>
            <w:r>
              <w:rPr>
                <w:sz w:val="20"/>
              </w:rPr>
              <w:t>Revise section 2: Timeline &amp; Milestones</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6.7s</w:t>
            </w:r>
          </w:p>
        </w:tc>
      </w:tr>
      <w:tr>
        <w:tc>
          <w:tcPr>
            <w:tcW w:type="dxa" w:w="567"/>
          </w:tcPr>
          <w:p>
            <w:r>
              <w:rPr>
                <w:sz w:val="20"/>
              </w:rPr>
              <w:t>11</w:t>
            </w:r>
          </w:p>
        </w:tc>
        <w:tc>
          <w:tcPr>
            <w:tcW w:type="dxa" w:w="5216"/>
          </w:tcPr>
          <w:p>
            <w:r>
              <w:rPr>
                <w:sz w:val="20"/>
              </w:rPr>
              <w:t>Revise section 1: Executive Summary</w:t>
            </w:r>
          </w:p>
        </w:tc>
        <w:tc>
          <w:tcPr>
            <w:tcW w:type="dxa" w:w="1361"/>
          </w:tcPr>
          <w:p>
            <w:r>
              <w:rPr>
                <w:sz w:val="20"/>
              </w:rPr>
              <w:t>Writer</w:t>
            </w:r>
          </w:p>
        </w:tc>
        <w:tc>
          <w:tcPr>
            <w:tcW w:type="dxa" w:w="1020"/>
          </w:tcPr>
          <w:p>
            <w:r>
              <w:rPr>
                <w:sz w:val="20"/>
              </w:rPr>
              <w:t>Done</w:t>
            </w:r>
          </w:p>
        </w:tc>
        <w:tc>
          <w:tcPr>
            <w:tcW w:type="dxa" w:w="907"/>
          </w:tcPr>
          <w:p>
            <w:r>
              <w:rPr>
                <w:sz w:val="20"/>
              </w:rPr>
              <w:t>0.9s</w:t>
            </w:r>
          </w:p>
        </w:tc>
      </w:tr>
      <w:tr>
        <w:tc>
          <w:tcPr>
            <w:tcW w:type="dxa" w:w="567"/>
            <w:shd w:val="clear" w:color="auto" w:fill="F2F6FC"/>
          </w:tcPr>
          <w:p>
            <w:r>
              <w:rPr>
                <w:sz w:val="20"/>
              </w:rPr>
              <w:t>12</w:t>
            </w:r>
          </w:p>
        </w:tc>
        <w:tc>
          <w:tcPr>
            <w:tcW w:type="dxa" w:w="5216"/>
            <w:shd w:val="clear" w:color="auto" w:fill="F2F6FC"/>
          </w:tcPr>
          <w:p>
            <w:r>
              <w:rPr>
                <w:sz w:val="20"/>
              </w:rPr>
              <w:t>Revise section 6: Communication &amp; Reporting Plan</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2.6s</w:t>
            </w:r>
          </w:p>
        </w:tc>
      </w:tr>
      <w:tr>
        <w:tc>
          <w:tcPr>
            <w:tcW w:type="dxa" w:w="567"/>
          </w:tcPr>
          <w:p>
            <w:r>
              <w:rPr>
                <w:sz w:val="20"/>
              </w:rPr>
              <w:t>13</w:t>
            </w:r>
          </w:p>
        </w:tc>
        <w:tc>
          <w:tcPr>
            <w:tcW w:type="dxa" w:w="5216"/>
          </w:tcPr>
          <w:p>
            <w:r>
              <w:rPr>
                <w:sz w:val="20"/>
              </w:rPr>
              <w:t>Revise section 4: Budget Breakdown</w:t>
            </w:r>
          </w:p>
        </w:tc>
        <w:tc>
          <w:tcPr>
            <w:tcW w:type="dxa" w:w="1361"/>
          </w:tcPr>
          <w:p>
            <w:r>
              <w:rPr>
                <w:sz w:val="20"/>
              </w:rPr>
              <w:t>Writer</w:t>
            </w:r>
          </w:p>
        </w:tc>
        <w:tc>
          <w:tcPr>
            <w:tcW w:type="dxa" w:w="1020"/>
          </w:tcPr>
          <w:p>
            <w:r>
              <w:rPr>
                <w:sz w:val="20"/>
              </w:rPr>
              <w:t>Done</w:t>
            </w:r>
          </w:p>
        </w:tc>
        <w:tc>
          <w:tcPr>
            <w:tcW w:type="dxa" w:w="907"/>
          </w:tcPr>
          <w:p>
            <w:r>
              <w:rPr>
                <w:sz w:val="20"/>
              </w:rPr>
              <w:t>1.5s</w:t>
            </w:r>
          </w:p>
        </w:tc>
      </w:tr>
      <w:tr>
        <w:tc>
          <w:tcPr>
            <w:tcW w:type="dxa" w:w="567"/>
            <w:shd w:val="clear" w:color="auto" w:fill="F2F6FC"/>
          </w:tcPr>
          <w:p>
            <w:r>
              <w:rPr>
                <w:sz w:val="20"/>
              </w:rPr>
              <w:t>14</w:t>
            </w:r>
          </w:p>
        </w:tc>
        <w:tc>
          <w:tcPr>
            <w:tcW w:type="dxa" w:w="5216"/>
            <w:shd w:val="clear" w:color="auto" w:fill="F2F6FC"/>
          </w:tcPr>
          <w:p>
            <w:r>
              <w:rPr>
                <w:sz w:val="20"/>
              </w:rPr>
              <w:t>Revise section 3: Roles &amp; Responsibilities (RACI)</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2.4s</w:t>
            </w:r>
          </w:p>
        </w:tc>
      </w:tr>
      <w:tr>
        <w:tc>
          <w:tcPr>
            <w:tcW w:type="dxa" w:w="567"/>
          </w:tcPr>
          <w:p>
            <w:r>
              <w:rPr>
                <w:sz w:val="20"/>
              </w:rPr>
              <w:t>15</w:t>
            </w:r>
          </w:p>
        </w:tc>
        <w:tc>
          <w:tcPr>
            <w:tcW w:type="dxa" w:w="5216"/>
          </w:tcPr>
          <w:p>
            <w:r>
              <w:rPr>
                <w:sz w:val="20"/>
              </w:rPr>
              <w:t>Revise section 5: Risk Management</w:t>
            </w:r>
          </w:p>
        </w:tc>
        <w:tc>
          <w:tcPr>
            <w:tcW w:type="dxa" w:w="1361"/>
          </w:tcPr>
          <w:p>
            <w:r>
              <w:rPr>
                <w:sz w:val="20"/>
              </w:rPr>
              <w:t>Writer</w:t>
            </w:r>
          </w:p>
        </w:tc>
        <w:tc>
          <w:tcPr>
            <w:tcW w:type="dxa" w:w="1020"/>
          </w:tcPr>
          <w:p>
            <w:r>
              <w:rPr>
                <w:sz w:val="20"/>
              </w:rPr>
              <w:t>Done</w:t>
            </w:r>
          </w:p>
        </w:tc>
        <w:tc>
          <w:tcPr>
            <w:tcW w:type="dxa" w:w="907"/>
          </w:tcPr>
          <w:p>
            <w:r>
              <w:rPr>
                <w:sz w:val="20"/>
              </w:rPr>
              <w:t>1.8s</w:t>
            </w:r>
          </w:p>
        </w:tc>
      </w:tr>
      <w:tr>
        <w:tc>
          <w:tcPr>
            <w:tcW w:type="dxa" w:w="567"/>
            <w:shd w:val="clear" w:color="auto" w:fill="F2F6FC"/>
          </w:tcPr>
          <w:p>
            <w:r>
              <w:rPr>
                <w:sz w:val="20"/>
              </w:rPr>
              <w:t>16</w:t>
            </w:r>
          </w:p>
        </w:tc>
        <w:tc>
          <w:tcPr>
            <w:tcW w:type="dxa" w:w="5216"/>
            <w:shd w:val="clear" w:color="auto" w:fill="F2F6FC"/>
          </w:tcPr>
          <w:p>
            <w:r>
              <w:rPr>
                <w:sz w:val="20"/>
              </w:rPr>
              <w:t>Verify fixes: re-review revised draft (round 2)</w:t>
            </w:r>
          </w:p>
        </w:tc>
        <w:tc>
          <w:tcPr>
            <w:tcW w:type="dxa" w:w="1361"/>
            <w:shd w:val="clear" w:color="auto" w:fill="F2F6FC"/>
          </w:tcPr>
          <w:p>
            <w:r>
              <w:rPr>
                <w:sz w:val="20"/>
              </w:rPr>
              <w:t>Reviewer</w:t>
            </w:r>
          </w:p>
        </w:tc>
        <w:tc>
          <w:tcPr>
            <w:tcW w:type="dxa" w:w="1020"/>
            <w:shd w:val="clear" w:color="auto" w:fill="F2F6FC"/>
          </w:tcPr>
          <w:p>
            <w:r>
              <w:rPr>
                <w:sz w:val="20"/>
              </w:rPr>
              <w:t>Done</w:t>
            </w:r>
          </w:p>
        </w:tc>
        <w:tc>
          <w:tcPr>
            <w:tcW w:type="dxa" w:w="907"/>
            <w:shd w:val="clear" w:color="auto" w:fill="F2F6FC"/>
          </w:tcPr>
          <w:p>
            <w:r>
              <w:rPr>
                <w:sz w:val="20"/>
              </w:rPr>
              <w:t>3.5s</w:t>
            </w:r>
          </w:p>
        </w:tc>
      </w:tr>
      <w:tr>
        <w:tc>
          <w:tcPr>
            <w:tcW w:type="dxa" w:w="567"/>
          </w:tcPr>
          <w:p>
            <w:r>
              <w:rPr>
                <w:sz w:val="20"/>
              </w:rPr>
              <w:t>17</w:t>
            </w:r>
          </w:p>
        </w:tc>
        <w:tc>
          <w:tcPr>
            <w:tcW w:type="dxa" w:w="5216"/>
          </w:tcPr>
          <w:p>
            <w:r>
              <w:rPr>
                <w:sz w:val="20"/>
              </w:rPr>
              <w:t>Render Microsoft Word document</w:t>
            </w:r>
          </w:p>
        </w:tc>
        <w:tc>
          <w:tcPr>
            <w:tcW w:type="dxa" w:w="1361"/>
          </w:tcPr>
          <w:p>
            <w:r>
              <w:rPr>
                <w:sz w:val="20"/>
              </w:rPr>
              <w:t>Renderer</w:t>
            </w:r>
          </w:p>
        </w:tc>
        <w:tc>
          <w:tcPr>
            <w:tcW w:type="dxa" w:w="1020"/>
          </w:tcPr>
          <w:p>
            <w:r>
              <w:rPr>
                <w:sz w:val="20"/>
              </w:rPr>
              <w:t>Done</w:t>
            </w:r>
          </w:p>
        </w:tc>
        <w:tc>
          <w:tcPr>
            <w:tcW w:type="dxa" w:w="907"/>
          </w:tcPr>
          <w:p>
            <w:r>
              <w:rPr>
                <w:sz w:val="20"/>
              </w:rPr>
              <w:t>-</w:t>
            </w:r>
          </w:p>
        </w:tc>
      </w:tr>
    </w:tbl>
    <w:p>
      <w:pPr>
        <w:spacing w:after="40"/>
      </w:pPr>
    </w:p>
    <w:p>
      <w:pPr>
        <w:pStyle w:val="Heading2"/>
      </w:pPr>
      <w:r>
        <w:t>Quality review</w:t>
      </w:r>
    </w:p>
    <w:p>
      <w:r>
        <w:rPr/>
        <w:t xml:space="preserve">Initial score </w:t>
      </w:r>
      <w:r>
        <w:rPr>
          <w:b/>
        </w:rPr>
        <w:t>2/10</w:t>
      </w:r>
      <w:r>
        <w:rPr/>
        <w:t xml:space="preserve">, final score </w:t>
      </w:r>
      <w:r>
        <w:rPr>
          <w:b/>
        </w:rPr>
        <w:t>10/10</w:t>
      </w:r>
      <w:r>
        <w:rPr/>
        <w:t xml:space="preserve"> after revising: Timeline &amp; Milestones, Executive Summary, Communication &amp; Reporting Plan, Budget Breakdown, Roles &amp; Responsibilities (RACI), Risk Management. Acceptance threshold: 8/10.</w:t>
      </w:r>
    </w:p>
    <w:p>
      <w:r>
        <w:rPr/>
        <w:t>Reviewer summary: The draft successfully addresses all previous critical and major issues, including the timeline extension to 2027-02-28, specific RACI assignments, and consistent risk probabilities. All key facts from the plan are accurately reflected in the document.</w:t>
      </w:r>
    </w:p>
    <w:p>
      <w:r>
        <w:rPr>
          <w:b/>
          <w:color w:val="595959"/>
          <w:sz w:val="18"/>
        </w:rPr>
        <w:t>Language models used by each agent:</w:t>
      </w:r>
    </w:p>
    <w:p>
      <w:pPr>
        <w:pStyle w:val="ListBullet"/>
      </w:pPr>
      <w:r>
        <w:rPr>
          <w:color w:val="595959"/>
          <w:sz w:val="18"/>
        </w:rPr>
        <w:t>Planner: groq/openai/gpt-oss-120b (1 call)</w:t>
      </w:r>
    </w:p>
    <w:p>
      <w:pPr>
        <w:pStyle w:val="ListBullet"/>
      </w:pPr>
      <w:r>
        <w:rPr>
          <w:color w:val="595959"/>
          <w:sz w:val="18"/>
        </w:rPr>
        <w:t>Writer: groq/openai/gpt-oss-20b (4 calls), gemini/gemini-3.5-flash-lite (8 calls)</w:t>
      </w:r>
    </w:p>
    <w:p>
      <w:pPr>
        <w:pStyle w:val="ListBullet"/>
      </w:pPr>
      <w:r>
        <w:rPr>
          <w:color w:val="595959"/>
          <w:sz w:val="18"/>
        </w:rPr>
        <w:t>Reviewer: groq/openai/gpt-oss-120b (1 call), groq/qwen/qwen3.8-27b (1 call)</w:t>
      </w: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r>
      <w:rPr>
        <w:color w:val="595959"/>
        <w:sz w:val="18"/>
      </w:rPr>
      <w:t xml:space="preserve">   |   Ref 9a4d878079ee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CRM Migration to Salesforce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