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200"/>
      </w:pPr>
    </w:p>
    <w:p>
      <w:r>
        <w:rPr>
          <w:b/>
          <w:color w:val="2E75B6"/>
          <w:sz w:val="22"/>
        </w:rPr>
        <w:t>PROJECT PLAN</w:t>
      </w:r>
    </w:p>
    <w:p>
      <w:pPr>
        <w:spacing w:after="200"/>
      </w:pPr>
      <w:r>
        <w:rPr>
          <w:b/>
          <w:color w:val="1F3A5F"/>
          <w:sz w:val="56"/>
        </w:rPr>
        <w:t>Residential Building Construction Cost Estimate and Master Plan</w:t>
      </w:r>
    </w:p>
    <w:p>
      <w:r>
        <w:rPr>
          <w:i/>
          <w:color w:val="595959"/>
          <w:sz w:val="26"/>
        </w:rPr>
        <w:t>A comprehensive financial breakdown and construction schedule for building a residential home within a 1 crore INR budget.</w:t>
      </w:r>
    </w:p>
    <w:p>
      <w:pPr>
        <w:pBdr>
          <w:bottom w:val="single" w:sz="12" w:space="1" w:color="2E75B6"/>
        </w:pBdr>
        <w:spacing w:after="480"/>
      </w:pPr>
    </w:p>
    <w:tbl>
      <w:tblPr>
        <w:tblStyle w:val="TableGrid"/>
        <w:tblW w:type="auto" w:w="0"/>
        <w:tblBorders>
          <w:top w:val="single" w:sz="4" w:space="0" w:color="BFCBDA"/>
          <w:left w:val="single" w:sz="4" w:space="0" w:color="BFCBDA"/>
          <w:bottom w:val="single" w:sz="4" w:space="0" w:color="BFCBDA"/>
          <w:right w:val="single" w:sz="4" w:space="0" w:color="BFCBDA"/>
          <w:insideH w:val="single" w:sz="4" w:space="0" w:color="BFCBDA"/>
          <w:insideV w:val="single" w:sz="4" w:space="0" w:color="BFCBDA"/>
        </w:tblBorders>
        <w:tblLayout w:type="fixed"/>
        <w:tblLook w:firstColumn="1" w:firstRow="1" w:lastColumn="0" w:lastRow="0" w:noHBand="0" w:noVBand="1" w:val="04A0"/>
      </w:tblPr>
      <w:tblGrid>
        <w:gridCol w:w="4816"/>
        <w:gridCol w:w="4816"/>
      </w:tblGrid>
      <w:tr>
        <w:tc>
          <w:tcPr>
            <w:tcW w:type="dxa" w:w="2551"/>
            <w:shd w:val="clear" w:color="auto" w:fill="E8EEF6"/>
          </w:tcPr>
          <w:p>
            <w:r>
              <w:rPr>
                <w:b/>
                <w:color w:val="1F3A5F"/>
                <w:sz w:val="20"/>
              </w:rPr>
              <w:t>Prepared for</w:t>
            </w:r>
          </w:p>
        </w:tc>
        <w:tc>
          <w:tcPr>
            <w:tcW w:type="dxa" w:w="6520"/>
          </w:tcPr>
          <w:p>
            <w:r>
              <w:rPr>
                <w:sz w:val="20"/>
              </w:rPr>
              <w:t>Property owner and family</w:t>
            </w:r>
          </w:p>
        </w:tc>
      </w:tr>
      <w:tr>
        <w:tc>
          <w:tcPr>
            <w:tcW w:type="dxa" w:w="2551"/>
            <w:shd w:val="clear" w:color="auto" w:fill="E8EEF6"/>
          </w:tcPr>
          <w:p>
            <w:r>
              <w:rPr>
                <w:b/>
                <w:color w:val="1F3A5F"/>
                <w:sz w:val="20"/>
              </w:rPr>
              <w:t>Document type</w:t>
            </w:r>
          </w:p>
        </w:tc>
        <w:tc>
          <w:tcPr>
            <w:tcW w:type="dxa" w:w="6520"/>
          </w:tcPr>
          <w:p>
            <w:r>
              <w:rPr>
                <w:sz w:val="20"/>
              </w:rPr>
              <w:t>Project Plan</w:t>
            </w:r>
          </w:p>
        </w:tc>
      </w:tr>
      <w:tr>
        <w:tc>
          <w:tcPr>
            <w:tcW w:type="dxa" w:w="2551"/>
            <w:shd w:val="clear" w:color="auto" w:fill="E8EEF6"/>
          </w:tcPr>
          <w:p>
            <w:r>
              <w:rPr>
                <w:b/>
                <w:color w:val="1F3A5F"/>
                <w:sz w:val="20"/>
              </w:rPr>
              <w:t>Date</w:t>
            </w:r>
          </w:p>
        </w:tc>
        <w:tc>
          <w:tcPr>
            <w:tcW w:type="dxa" w:w="6520"/>
          </w:tcPr>
          <w:p>
            <w:r>
              <w:rPr>
                <w:sz w:val="20"/>
              </w:rPr>
              <w:t>22 October 2026</w:t>
            </w:r>
          </w:p>
        </w:tc>
      </w:tr>
      <w:tr>
        <w:tc>
          <w:tcPr>
            <w:tcW w:type="dxa" w:w="2551"/>
            <w:shd w:val="clear" w:color="auto" w:fill="E8EEF6"/>
          </w:tcPr>
          <w:p>
            <w:r>
              <w:rPr>
                <w:b/>
                <w:color w:val="1F3A5F"/>
                <w:sz w:val="20"/>
              </w:rPr>
              <w:t>Quality review</w:t>
            </w:r>
          </w:p>
        </w:tc>
        <w:tc>
          <w:tcPr>
            <w:tcW w:type="dxa" w:w="6520"/>
          </w:tcPr>
          <w:p>
            <w:r>
              <w:rPr>
                <w:sz w:val="20"/>
              </w:rPr>
              <w:t>10/10 (automated review)</w:t>
            </w:r>
          </w:p>
        </w:tc>
      </w:tr>
      <w:tr>
        <w:tc>
          <w:tcPr>
            <w:tcW w:type="dxa" w:w="2551"/>
            <w:shd w:val="clear" w:color="auto" w:fill="E8EEF6"/>
          </w:tcPr>
          <w:p>
            <w:r>
              <w:rPr>
                <w:b/>
                <w:color w:val="1F3A5F"/>
                <w:sz w:val="20"/>
              </w:rPr>
              <w:t>Reference</w:t>
            </w:r>
          </w:p>
        </w:tc>
        <w:tc>
          <w:tcPr>
            <w:tcW w:type="dxa" w:w="6520"/>
          </w:tcPr>
          <w:p>
            <w:r>
              <w:rPr>
                <w:sz w:val="20"/>
              </w:rPr>
              <w:t>7b4be1037ea6</w:t>
            </w:r>
          </w:p>
        </w:tc>
      </w:tr>
    </w:tbl>
    <w:p>
      <w:r>
        <w:br w:type="page"/>
      </w:r>
    </w:p>
    <w:p>
      <w:pPr>
        <w:pStyle w:val="Heading1"/>
      </w:pPr>
      <w:r>
        <w:t>Contents</w:t>
      </w:r>
    </w:p>
    <w:p>
      <w:pPr>
        <w:spacing w:after="40"/>
        <w:ind w:left="283"/>
      </w:pPr>
      <w:r>
        <w:rPr>
          <w:b/>
          <w:color w:val="2E75B6"/>
        </w:rPr>
        <w:t xml:space="preserve">1.  </w:t>
      </w:r>
      <w:r>
        <w:rPr/>
        <w:t>Executive Summary &amp; Project Scope</w:t>
      </w:r>
    </w:p>
    <w:p>
      <w:pPr>
        <w:spacing w:after="40"/>
        <w:ind w:left="283"/>
      </w:pPr>
      <w:r>
        <w:rPr>
          <w:b/>
          <w:color w:val="2E75B6"/>
        </w:rPr>
        <w:t xml:space="preserve">2.  </w:t>
      </w:r>
      <w:r>
        <w:rPr/>
        <w:t>Detailed Cost Estimation Breakdown</w:t>
      </w:r>
    </w:p>
    <w:p>
      <w:pPr>
        <w:spacing w:after="40"/>
        <w:ind w:left="283"/>
      </w:pPr>
      <w:r>
        <w:rPr>
          <w:b/>
          <w:color w:val="2E75B6"/>
        </w:rPr>
        <w:t xml:space="preserve">3.  </w:t>
      </w:r>
      <w:r>
        <w:rPr/>
        <w:t>Construction Phasing &amp; Milestone Schedule</w:t>
      </w:r>
    </w:p>
    <w:p>
      <w:pPr>
        <w:spacing w:after="40"/>
        <w:ind w:left="283"/>
      </w:pPr>
      <w:r>
        <w:rPr>
          <w:b/>
          <w:color w:val="2E75B6"/>
        </w:rPr>
        <w:t xml:space="preserve">4.  </w:t>
      </w:r>
      <w:r>
        <w:rPr/>
        <w:t>Material Specifications &amp; Procurement Plan</w:t>
      </w:r>
    </w:p>
    <w:p>
      <w:pPr>
        <w:spacing w:after="40"/>
        <w:ind w:left="283"/>
      </w:pPr>
      <w:r>
        <w:rPr>
          <w:b/>
          <w:color w:val="2E75B6"/>
        </w:rPr>
        <w:t xml:space="preserve">5.  </w:t>
      </w:r>
      <w:r>
        <w:rPr/>
        <w:t>Risk Management &amp; Cost Contingency</w:t>
      </w:r>
    </w:p>
    <w:p>
      <w:pPr>
        <w:pStyle w:val="Heading1"/>
      </w:pPr>
      <w:r>
        <w:t>Key Facts at a Glance</w:t>
      </w:r>
    </w:p>
    <w:tbl>
      <w:tblPr>
        <w:tblStyle w:val="TableGrid"/>
        <w:tblW w:type="auto" w:w="0"/>
        <w:jc w:val="center"/>
        <w:tblBorders>
          <w:top w:val="single" w:sz="4" w:space="0" w:color="BFCBDA"/>
          <w:left w:val="single" w:sz="4" w:space="0" w:color="BFCBDA"/>
          <w:bottom w:val="single" w:sz="4" w:space="0" w:color="BFCBDA"/>
          <w:right w:val="single" w:sz="4" w:space="0" w:color="BFCBDA"/>
          <w:insideH w:val="single" w:sz="4" w:space="0" w:color="BFCBDA"/>
          <w:insideV w:val="single" w:sz="4" w:space="0" w:color="BFCBDA"/>
        </w:tblBorders>
        <w:tblLayout w:type="fixed"/>
        <w:tblLook w:firstColumn="1" w:firstRow="1" w:lastColumn="0" w:lastRow="0" w:noHBand="0" w:noVBand="1" w:val="04A0"/>
      </w:tblPr>
      <w:tblGrid>
        <w:gridCol w:w="4816"/>
        <w:gridCol w:w="4816"/>
      </w:tblGrid>
      <w:tr>
        <w:trPr>
          <w:cantSplit/>
          <w:tblHeader w:val="true"/>
        </w:trPr>
        <w:tc>
          <w:tcPr>
            <w:tcW w:type="dxa" w:w="2835"/>
            <w:tcBorders>
              <w:top w:val="single" w:sz="4" w:space="0" w:color="1F3A5F"/>
              <w:left w:val="single" w:sz="4" w:space="0" w:color="1F3A5F"/>
              <w:bottom w:val="single" w:sz="4" w:space="0" w:color="1F3A5F"/>
              <w:right w:val="single" w:sz="4" w:space="0" w:color="1F3A5F"/>
            </w:tcBorders>
            <w:shd w:val="clear" w:color="auto" w:fill="1F3A5F"/>
          </w:tcPr>
          <w:p>
            <w:pPr>
              <w:keepNext/>
            </w:pPr>
            <w:r>
              <w:rPr>
                <w:b/>
                <w:color w:val="FFFFFF"/>
                <w:sz w:val="20"/>
              </w:rPr>
              <w:t>Item</w:t>
            </w:r>
          </w:p>
        </w:tc>
        <w:tc>
          <w:tcPr>
            <w:tcW w:type="dxa" w:w="6236"/>
            <w:tcBorders>
              <w:top w:val="single" w:sz="4" w:space="0" w:color="1F3A5F"/>
              <w:left w:val="single" w:sz="4" w:space="0" w:color="1F3A5F"/>
              <w:bottom w:val="single" w:sz="4" w:space="0" w:color="1F3A5F"/>
              <w:right w:val="single" w:sz="4" w:space="0" w:color="1F3A5F"/>
            </w:tcBorders>
            <w:shd w:val="clear" w:color="auto" w:fill="1F3A5F"/>
          </w:tcPr>
          <w:p>
            <w:pPr>
              <w:keepNext/>
            </w:pPr>
            <w:r>
              <w:rPr>
                <w:b/>
                <w:color w:val="FFFFFF"/>
                <w:sz w:val="20"/>
              </w:rPr>
              <w:t>Detail</w:t>
            </w:r>
          </w:p>
        </w:tc>
      </w:tr>
      <w:tr>
        <w:trPr>
          <w:cantSplit/>
        </w:trPr>
        <w:tc>
          <w:tcPr>
            <w:tcW w:type="dxa" w:w="2835"/>
          </w:tcPr>
          <w:p>
            <w:pPr>
              <w:keepNext/>
            </w:pPr>
            <w:r>
              <w:rPr>
                <w:sz w:val="20"/>
              </w:rPr>
              <w:t>Total Construction Budget</w:t>
            </w:r>
          </w:p>
        </w:tc>
        <w:tc>
          <w:tcPr>
            <w:tcW w:type="dxa" w:w="6236"/>
          </w:tcPr>
          <w:p>
            <w:pPr>
              <w:keepNext/>
            </w:pPr>
            <w:r>
              <w:rPr>
                <w:sz w:val="20"/>
              </w:rPr>
              <w:t>₹1,00,00,000 (1 Crore INR)</w:t>
            </w:r>
          </w:p>
        </w:tc>
      </w:tr>
      <w:tr>
        <w:trPr>
          <w:cantSplit/>
        </w:trPr>
        <w:tc>
          <w:tcPr>
            <w:tcW w:type="dxa" w:w="2835"/>
            <w:shd w:val="clear" w:color="auto" w:fill="F2F6FC"/>
          </w:tcPr>
          <w:p>
            <w:pPr>
              <w:keepNext/>
            </w:pPr>
            <w:r>
              <w:rPr>
                <w:sz w:val="20"/>
              </w:rPr>
              <w:t>Project Start Date</w:t>
            </w:r>
          </w:p>
        </w:tc>
        <w:tc>
          <w:tcPr>
            <w:tcW w:type="dxa" w:w="6236"/>
            <w:shd w:val="clear" w:color="auto" w:fill="F2F6FC"/>
          </w:tcPr>
          <w:p>
            <w:pPr>
              <w:keepNext/>
            </w:pPr>
            <w:r>
              <w:rPr>
                <w:sz w:val="20"/>
              </w:rPr>
              <w:t>November 15, 2026</w:t>
            </w:r>
          </w:p>
        </w:tc>
      </w:tr>
      <w:tr>
        <w:trPr>
          <w:cantSplit/>
        </w:trPr>
        <w:tc>
          <w:tcPr>
            <w:tcW w:type="dxa" w:w="2835"/>
          </w:tcPr>
          <w:p>
            <w:pPr>
              <w:keepNext/>
            </w:pPr>
            <w:r>
              <w:rPr>
                <w:sz w:val="20"/>
              </w:rPr>
              <w:t>Project Completion Date</w:t>
            </w:r>
          </w:p>
        </w:tc>
        <w:tc>
          <w:tcPr>
            <w:tcW w:type="dxa" w:w="6236"/>
          </w:tcPr>
          <w:p>
            <w:pPr>
              <w:keepNext/>
            </w:pPr>
            <w:r>
              <w:rPr>
                <w:sz w:val="20"/>
              </w:rPr>
              <w:t>November 15, 2027</w:t>
            </w:r>
          </w:p>
        </w:tc>
      </w:tr>
      <w:tr>
        <w:trPr>
          <w:cantSplit/>
        </w:trPr>
        <w:tc>
          <w:tcPr>
            <w:tcW w:type="dxa" w:w="2835"/>
            <w:shd w:val="clear" w:color="auto" w:fill="F2F6FC"/>
          </w:tcPr>
          <w:p>
            <w:pPr>
              <w:keepNext/>
            </w:pPr>
            <w:r>
              <w:rPr>
                <w:sz w:val="20"/>
              </w:rPr>
              <w:t>Project Location</w:t>
            </w:r>
          </w:p>
        </w:tc>
        <w:tc>
          <w:tcPr>
            <w:tcW w:type="dxa" w:w="6236"/>
            <w:shd w:val="clear" w:color="auto" w:fill="F2F6FC"/>
          </w:tcPr>
          <w:p>
            <w:pPr>
              <w:keepNext/>
            </w:pPr>
            <w:r>
              <w:rPr>
                <w:sz w:val="20"/>
              </w:rPr>
              <w:t>Bengaluru, Karnataka (Assumption)</w:t>
            </w:r>
          </w:p>
        </w:tc>
      </w:tr>
      <w:tr>
        <w:trPr>
          <w:cantSplit/>
        </w:trPr>
        <w:tc>
          <w:tcPr>
            <w:tcW w:type="dxa" w:w="2835"/>
          </w:tcPr>
          <w:p>
            <w:pPr>
              <w:keepNext/>
            </w:pPr>
            <w:r>
              <w:rPr>
                <w:sz w:val="20"/>
              </w:rPr>
              <w:t>Built-up Area</w:t>
            </w:r>
          </w:p>
        </w:tc>
        <w:tc>
          <w:tcPr>
            <w:tcW w:type="dxa" w:w="6236"/>
          </w:tcPr>
          <w:p>
            <w:pPr>
              <w:keepNext/>
            </w:pPr>
            <w:r>
              <w:rPr>
                <w:sz w:val="20"/>
              </w:rPr>
              <w:t>2,000 sq. ft. (Ground + First Floor)</w:t>
            </w:r>
          </w:p>
        </w:tc>
      </w:tr>
      <w:tr>
        <w:trPr>
          <w:cantSplit/>
        </w:trPr>
        <w:tc>
          <w:tcPr>
            <w:tcW w:type="dxa" w:w="2835"/>
            <w:shd w:val="clear" w:color="auto" w:fill="F2F6FC"/>
          </w:tcPr>
          <w:p>
            <w:pPr>
              <w:keepNext/>
            </w:pPr>
            <w:r>
              <w:rPr>
                <w:sz w:val="20"/>
              </w:rPr>
              <w:t>Structural Cost Allocation</w:t>
            </w:r>
          </w:p>
        </w:tc>
        <w:tc>
          <w:tcPr>
            <w:tcW w:type="dxa" w:w="6236"/>
            <w:shd w:val="clear" w:color="auto" w:fill="F2F6FC"/>
          </w:tcPr>
          <w:p>
            <w:pPr>
              <w:keepNext/>
            </w:pPr>
            <w:r>
              <w:rPr>
                <w:sz w:val="20"/>
              </w:rPr>
              <w:t>₹45,00,000 (Foundation, columns, slab, masonry)</w:t>
            </w:r>
          </w:p>
        </w:tc>
      </w:tr>
      <w:tr>
        <w:trPr>
          <w:cantSplit/>
        </w:trPr>
        <w:tc>
          <w:tcPr>
            <w:tcW w:type="dxa" w:w="2835"/>
          </w:tcPr>
          <w:p>
            <w:pPr>
              <w:keepNext/>
            </w:pPr>
            <w:r>
              <w:rPr>
                <w:sz w:val="20"/>
              </w:rPr>
              <w:t>Finishing Cost Allocation</w:t>
            </w:r>
          </w:p>
        </w:tc>
        <w:tc>
          <w:tcPr>
            <w:tcW w:type="dxa" w:w="6236"/>
          </w:tcPr>
          <w:p>
            <w:pPr>
              <w:keepNext/>
            </w:pPr>
            <w:r>
              <w:rPr>
                <w:sz w:val="20"/>
              </w:rPr>
              <w:t>₹35,00,000 (Flooring, painting, fixtures, woodwork)</w:t>
            </w:r>
          </w:p>
        </w:tc>
      </w:tr>
      <w:tr>
        <w:trPr>
          <w:cantSplit/>
        </w:trPr>
        <w:tc>
          <w:tcPr>
            <w:tcW w:type="dxa" w:w="2835"/>
            <w:shd w:val="clear" w:color="auto" w:fill="F2F6FC"/>
          </w:tcPr>
          <w:p>
            <w:pPr>
              <w:keepNext/>
            </w:pPr>
            <w:r>
              <w:rPr>
                <w:sz w:val="20"/>
              </w:rPr>
              <w:t>Services and Utilities</w:t>
            </w:r>
          </w:p>
        </w:tc>
        <w:tc>
          <w:tcPr>
            <w:tcW w:type="dxa" w:w="6236"/>
            <w:shd w:val="clear" w:color="auto" w:fill="F2F6FC"/>
          </w:tcPr>
          <w:p>
            <w:pPr>
              <w:keepNext/>
            </w:pPr>
            <w:r>
              <w:rPr>
                <w:sz w:val="20"/>
              </w:rPr>
              <w:t>₹10,00,000 (Electrical, plumbing, HVAC, water tank)</w:t>
            </w:r>
          </w:p>
        </w:tc>
      </w:tr>
      <w:tr>
        <w:trPr>
          <w:cantSplit/>
        </w:trPr>
        <w:tc>
          <w:tcPr>
            <w:tcW w:type="dxa" w:w="2835"/>
          </w:tcPr>
          <w:p>
            <w:r>
              <w:rPr>
                <w:sz w:val="20"/>
              </w:rPr>
              <w:t>Approvals, Architect &amp; Contingency</w:t>
            </w:r>
          </w:p>
        </w:tc>
        <w:tc>
          <w:tcPr>
            <w:tcW w:type="dxa" w:w="6236"/>
          </w:tcPr>
          <w:p>
            <w:r>
              <w:rPr>
                <w:sz w:val="20"/>
              </w:rPr>
              <w:t>₹10,00,000 (Plan approval, legal, unexpected costs)</w:t>
            </w:r>
          </w:p>
        </w:tc>
      </w:tr>
    </w:tbl>
    <w:p>
      <w:pPr>
        <w:spacing w:after="40"/>
      </w:pPr>
    </w:p>
    <w:p>
      <w:pPr>
        <w:pStyle w:val="Heading1"/>
      </w:pPr>
      <w:r>
        <w:t>Assumptions and Clarifications</w:t>
      </w:r>
    </w:p>
    <w:p>
      <w:r>
        <w:rPr>
          <w:color w:val="595959"/>
        </w:rPr>
        <w:t>The request did not specify everything needed, so the agent made the following explicit decisions. Please confirm or correct them.</w:t>
      </w:r>
    </w:p>
    <w:tbl>
      <w:tblPr>
        <w:tblW w:type="auto" w:w="0"/>
        <w:tblBorders>
          <w:top w:val="single" w:sz="4" w:space="0" w:color="2E75B6"/>
          <w:left w:val="single" w:sz="4" w:space="0" w:color="2E75B6"/>
          <w:bottom w:val="single" w:sz="4" w:space="0" w:color="2E75B6"/>
          <w:right w:val="single" w:sz="4" w:space="0" w:color="2E75B6"/>
          <w:insideH w:val="single" w:sz="4" w:space="0" w:color="2E75B6"/>
          <w:insideV w:val="single" w:sz="4" w:space="0" w:color="2E75B6"/>
        </w:tblBorders>
        <w:tblLook w:firstColumn="1" w:firstRow="1" w:lastColumn="0" w:lastRow="0" w:noHBand="0" w:noVBand="1" w:val="04A0"/>
      </w:tblPr>
      <w:tblGrid>
        <w:gridCol w:w="9632"/>
      </w:tblGrid>
      <w:tr>
        <w:tc>
          <w:tcPr>
            <w:tcW w:type="dxa" w:w="9632"/>
            <w:shd w:val="clear" w:color="auto" w:fill="EAF1FB"/>
          </w:tcPr>
          <w:p>
            <w:r>
              <w:rPr>
                <w:b/>
                <w:color w:val="1F3A5F"/>
              </w:rPr>
              <w:t>Assumptions</w:t>
            </w:r>
          </w:p>
          <w:p>
            <w:pPr>
              <w:pStyle w:val="ListBullet"/>
            </w:pPr>
            <w:r>
              <w:rPr>
                <w:sz w:val="20"/>
              </w:rPr>
              <w:t>Currency is Indian Rupees (INR) based on requester_locale en-IN.</w:t>
            </w:r>
          </w:p>
          <w:p>
            <w:pPr>
              <w:pStyle w:val="ListBullet"/>
            </w:pPr>
            <w:r>
              <w:rPr>
                <w:sz w:val="20"/>
              </w:rPr>
              <w:t>The budget of 1,00,00,000 INR (1 crore) is allocated for constructing a 2,000 sq.ft. double-story residential house in Bengaluru, Karnataka.</w:t>
            </w:r>
          </w:p>
          <w:p>
            <w:pPr>
              <w:pStyle w:val="ListBullet"/>
            </w:pPr>
            <w:r>
              <w:rPr>
                <w:sz w:val="20"/>
              </w:rPr>
              <w:t>Construction start date is assumed as November 15, 2026, with an estimated completion date of November 15, 2027.</w:t>
            </w:r>
          </w:p>
          <w:p>
            <w:pPr>
              <w:pStyle w:val="ListBullet"/>
            </w:pPr>
            <w:r>
              <w:rPr>
                <w:sz w:val="20"/>
              </w:rPr>
              <w:t>Land acquisition cost is excluded; the budget covers construction, materials, labor, approvals, and contingency only.</w:t>
            </w:r>
          </w:p>
        </w:tc>
      </w:tr>
    </w:tbl>
    <w:p>
      <w:pPr>
        <w:pStyle w:val="Heading1"/>
      </w:pPr>
      <w:r>
        <w:t>1. Executive Summary &amp; Project Scope</w:t>
      </w:r>
    </w:p>
    <w:p>
      <w:r>
        <w:rPr/>
        <w:t xml:space="preserve">This master plan outlines the comprehensive financial breakdown and execution strategy for building your new residential home in Bengaluru, Karnataka. Designed to accommodate your total construction budget of </w:t>
      </w:r>
      <w:r>
        <w:rPr>
          <w:b/>
        </w:rPr>
        <w:t>₹1,00,00,000</w:t>
      </w:r>
      <w:r>
        <w:rPr/>
        <w:t xml:space="preserve">, the project encompasses the complete development of a </w:t>
      </w:r>
      <w:r>
        <w:rPr>
          <w:b/>
        </w:rPr>
        <w:t>2,000 sq. ft.</w:t>
      </w:r>
      <w:r>
        <w:rPr/>
        <w:t xml:space="preserve"> double-story structure covering both the ground and first floors. Please note that the land acquisition cost is strictly excluded from this figure; your entire </w:t>
      </w:r>
      <w:r>
        <w:rPr>
          <w:b/>
        </w:rPr>
        <w:t>₹1,00,00,000</w:t>
      </w:r>
      <w:r>
        <w:rPr/>
        <w:t xml:space="preserve"> financial allocation is dedicated exclusively to structural works, premium finishes, essential services, regulatory approvals, and contingency management.</w:t>
      </w:r>
    </w:p>
    <w:p>
      <w:r>
        <w:rPr/>
        <w:t xml:space="preserve">Construction is formally scheduled to commence on </w:t>
      </w:r>
      <w:r>
        <w:rPr>
          <w:b/>
        </w:rPr>
        <w:t>November 15, 2026</w:t>
      </w:r>
      <w:r>
        <w:rPr/>
        <w:t xml:space="preserve">, with an estimated project completion date of </w:t>
      </w:r>
      <w:r>
        <w:rPr>
          <w:b/>
        </w:rPr>
        <w:t>November 15, 2027</w:t>
      </w:r>
      <w:r>
        <w:rPr/>
        <w:t xml:space="preserve">, spanning a total delivery timeline of 12 months. To maintain strict financial control, the budget has been distributed across four core pillars: </w:t>
      </w:r>
      <w:r>
        <w:rPr>
          <w:b/>
        </w:rPr>
        <w:t>₹45,00,000</w:t>
      </w:r>
      <w:r>
        <w:rPr/>
        <w:t xml:space="preserve"> for structural foundation, columns, slabs, and masonry; </w:t>
      </w:r>
      <w:r>
        <w:rPr>
          <w:b/>
        </w:rPr>
        <w:t>₹35,00,000</w:t>
      </w:r>
      <w:r>
        <w:rPr/>
        <w:t xml:space="preserve"> allocated for interior and exterior finishing including flooring, painting, and woodwork; </w:t>
      </w:r>
      <w:r>
        <w:rPr>
          <w:b/>
        </w:rPr>
        <w:t>₹10,00,000</w:t>
      </w:r>
      <w:r>
        <w:rPr/>
        <w:t xml:space="preserve"> dedicated to essential services such as electrical, plumbing, HVAC, and water systems; and a final </w:t>
      </w:r>
      <w:r>
        <w:rPr>
          <w:b/>
        </w:rPr>
        <w:t>₹10,00,000</w:t>
      </w:r>
      <w:r>
        <w:rPr/>
        <w:t xml:space="preserve"> reserved for statutory plan approvals, architectural fees, legal clearances, and unexpected contingencies.</w:t>
      </w:r>
    </w:p>
    <w:p>
      <w:pPr>
        <w:pStyle w:val="Heading1"/>
      </w:pPr>
      <w:r>
        <w:t>2. Detailed Cost Estimation Breakdown</w:t>
      </w:r>
    </w:p>
    <w:p>
      <w:r>
        <w:rPr/>
        <w:t xml:space="preserve">Your total construction budget of </w:t>
      </w:r>
      <w:r>
        <w:rPr>
          <w:b/>
        </w:rPr>
        <w:t>₹1,00,00,000</w:t>
      </w:r>
      <w:r>
        <w:rPr/>
        <w:t xml:space="preserve"> is allocated across four core categories to build your 2,000 sq. ft. double-story home in Bengaluru, Karnataka. This breakdown ensures strict financial control from the start date of </w:t>
      </w:r>
      <w:r>
        <w:rPr>
          <w:b/>
        </w:rPr>
        <w:t>November 15, 2026</w:t>
      </w:r>
      <w:r>
        <w:rPr/>
        <w:t xml:space="preserve">, through completion on </w:t>
      </w:r>
      <w:r>
        <w:rPr>
          <w:b/>
        </w:rPr>
        <w:t>November 15, 2027</w:t>
      </w:r>
      <w:r>
        <w:rPr/>
        <w:t>. The structural foundation consumes the largest share, while the remaining funds cover premium finishes, essential services, and a dedicated contingency for regulatory approvals and unexpected costs.</w:t>
      </w:r>
    </w:p>
    <w:tbl>
      <w:tblPr>
        <w:tblStyle w:val="TableGrid"/>
        <w:tblW w:type="auto" w:w="0"/>
        <w:jc w:val="center"/>
        <w:tblBorders>
          <w:top w:val="single" w:sz="4" w:space="0" w:color="BFCBDA"/>
          <w:left w:val="single" w:sz="4" w:space="0" w:color="BFCBDA"/>
          <w:bottom w:val="single" w:sz="4" w:space="0" w:color="BFCBDA"/>
          <w:right w:val="single" w:sz="4" w:space="0" w:color="BFCBDA"/>
          <w:insideH w:val="single" w:sz="4" w:space="0" w:color="BFCBDA"/>
          <w:insideV w:val="single" w:sz="4" w:space="0" w:color="BFCBDA"/>
        </w:tblBorders>
        <w:tblLayout w:type="fixed"/>
        <w:tblLook w:firstColumn="1" w:firstRow="1" w:lastColumn="0" w:lastRow="0" w:noHBand="0" w:noVBand="1" w:val="04A0"/>
      </w:tblPr>
      <w:tblGrid>
        <w:gridCol w:w="2408"/>
        <w:gridCol w:w="2408"/>
        <w:gridCol w:w="2408"/>
        <w:gridCol w:w="2408"/>
      </w:tblGrid>
      <w:tr>
        <w:trPr>
          <w:cantSplit/>
          <w:tblHeader w:val="true"/>
        </w:trPr>
        <w:tc>
          <w:tcPr>
            <w:tcW w:type="dxa" w:w="2349"/>
            <w:tcBorders>
              <w:top w:val="single" w:sz="4" w:space="0" w:color="1F3A5F"/>
              <w:left w:val="single" w:sz="4" w:space="0" w:color="1F3A5F"/>
              <w:bottom w:val="single" w:sz="4" w:space="0" w:color="1F3A5F"/>
              <w:right w:val="single" w:sz="4" w:space="0" w:color="1F3A5F"/>
            </w:tcBorders>
            <w:shd w:val="clear" w:color="auto" w:fill="1F3A5F"/>
          </w:tcPr>
          <w:p>
            <w:pPr>
              <w:keepNext/>
            </w:pPr>
            <w:r>
              <w:rPr>
                <w:b/>
                <w:color w:val="FFFFFF"/>
                <w:sz w:val="20"/>
              </w:rPr>
              <w:t>Cost Category</w:t>
            </w:r>
          </w:p>
        </w:tc>
        <w:tc>
          <w:tcPr>
            <w:tcW w:type="dxa" w:w="1787"/>
            <w:tcBorders>
              <w:top w:val="single" w:sz="4" w:space="0" w:color="1F3A5F"/>
              <w:left w:val="single" w:sz="4" w:space="0" w:color="1F3A5F"/>
              <w:bottom w:val="single" w:sz="4" w:space="0" w:color="1F3A5F"/>
              <w:right w:val="single" w:sz="4" w:space="0" w:color="1F3A5F"/>
            </w:tcBorders>
            <w:shd w:val="clear" w:color="auto" w:fill="1F3A5F"/>
          </w:tcPr>
          <w:p>
            <w:pPr>
              <w:keepNext/>
            </w:pPr>
            <w:r>
              <w:rPr>
                <w:b/>
                <w:color w:val="FFFFFF"/>
                <w:sz w:val="20"/>
              </w:rPr>
              <w:t>Allocation (INR)</w:t>
            </w:r>
          </w:p>
        </w:tc>
        <w:tc>
          <w:tcPr>
            <w:tcW w:type="dxa" w:w="3815"/>
            <w:tcBorders>
              <w:top w:val="single" w:sz="4" w:space="0" w:color="1F3A5F"/>
              <w:left w:val="single" w:sz="4" w:space="0" w:color="1F3A5F"/>
              <w:bottom w:val="single" w:sz="4" w:space="0" w:color="1F3A5F"/>
              <w:right w:val="single" w:sz="4" w:space="0" w:color="1F3A5F"/>
            </w:tcBorders>
            <w:shd w:val="clear" w:color="auto" w:fill="1F3A5F"/>
          </w:tcPr>
          <w:p>
            <w:pPr>
              <w:keepNext/>
            </w:pPr>
            <w:r>
              <w:rPr>
                <w:b/>
                <w:color w:val="FFFFFF"/>
                <w:sz w:val="20"/>
              </w:rPr>
              <w:t>Key Components Included</w:t>
            </w:r>
          </w:p>
        </w:tc>
        <w:tc>
          <w:tcPr>
            <w:tcW w:type="dxa" w:w="1347"/>
            <w:tcBorders>
              <w:top w:val="single" w:sz="4" w:space="0" w:color="1F3A5F"/>
              <w:left w:val="single" w:sz="4" w:space="0" w:color="1F3A5F"/>
              <w:bottom w:val="single" w:sz="4" w:space="0" w:color="1F3A5F"/>
              <w:right w:val="single" w:sz="4" w:space="0" w:color="1F3A5F"/>
            </w:tcBorders>
            <w:shd w:val="clear" w:color="auto" w:fill="1F3A5F"/>
          </w:tcPr>
          <w:p>
            <w:pPr>
              <w:keepNext/>
            </w:pPr>
            <w:r>
              <w:rPr>
                <w:b/>
                <w:color w:val="FFFFFF"/>
                <w:sz w:val="20"/>
              </w:rPr>
              <w:t>Percentage</w:t>
            </w:r>
          </w:p>
        </w:tc>
      </w:tr>
      <w:tr>
        <w:trPr>
          <w:cantSplit/>
        </w:trPr>
        <w:tc>
          <w:tcPr>
            <w:tcW w:type="dxa" w:w="2349"/>
          </w:tcPr>
          <w:p>
            <w:pPr>
              <w:keepNext/>
            </w:pPr>
            <w:r>
              <w:rPr>
                <w:sz w:val="20"/>
              </w:rPr>
              <w:t>Structural Works</w:t>
            </w:r>
          </w:p>
        </w:tc>
        <w:tc>
          <w:tcPr>
            <w:tcW w:type="dxa" w:w="1787"/>
          </w:tcPr>
          <w:p>
            <w:pPr>
              <w:keepNext/>
            </w:pPr>
            <w:r>
              <w:rPr>
                <w:sz w:val="20"/>
              </w:rPr>
              <w:t>₹45,00,000</w:t>
            </w:r>
          </w:p>
        </w:tc>
        <w:tc>
          <w:tcPr>
            <w:tcW w:type="dxa" w:w="3815"/>
          </w:tcPr>
          <w:p>
            <w:pPr>
              <w:keepNext/>
            </w:pPr>
            <w:r>
              <w:rPr>
                <w:sz w:val="20"/>
              </w:rPr>
              <w:t>Foundation, columns, slab, masonry</w:t>
            </w:r>
          </w:p>
        </w:tc>
        <w:tc>
          <w:tcPr>
            <w:tcW w:type="dxa" w:w="1347"/>
          </w:tcPr>
          <w:p>
            <w:pPr>
              <w:keepNext/>
            </w:pPr>
            <w:r>
              <w:rPr>
                <w:sz w:val="20"/>
              </w:rPr>
              <w:t>45%</w:t>
            </w:r>
          </w:p>
        </w:tc>
      </w:tr>
      <w:tr>
        <w:trPr>
          <w:cantSplit/>
        </w:trPr>
        <w:tc>
          <w:tcPr>
            <w:tcW w:type="dxa" w:w="2349"/>
            <w:shd w:val="clear" w:color="auto" w:fill="F2F6FC"/>
          </w:tcPr>
          <w:p>
            <w:pPr>
              <w:keepNext/>
            </w:pPr>
            <w:r>
              <w:rPr>
                <w:sz w:val="20"/>
              </w:rPr>
              <w:t>Finishing Works</w:t>
            </w:r>
          </w:p>
        </w:tc>
        <w:tc>
          <w:tcPr>
            <w:tcW w:type="dxa" w:w="1787"/>
            <w:shd w:val="clear" w:color="auto" w:fill="F2F6FC"/>
          </w:tcPr>
          <w:p>
            <w:pPr>
              <w:keepNext/>
            </w:pPr>
            <w:r>
              <w:rPr>
                <w:sz w:val="20"/>
              </w:rPr>
              <w:t>₹35,00,000</w:t>
            </w:r>
          </w:p>
        </w:tc>
        <w:tc>
          <w:tcPr>
            <w:tcW w:type="dxa" w:w="3815"/>
            <w:shd w:val="clear" w:color="auto" w:fill="F2F6FC"/>
          </w:tcPr>
          <w:p>
            <w:pPr>
              <w:keepNext/>
            </w:pPr>
            <w:r>
              <w:rPr>
                <w:sz w:val="20"/>
              </w:rPr>
              <w:t>Flooring, painting, fixtures, woodwork</w:t>
            </w:r>
          </w:p>
        </w:tc>
        <w:tc>
          <w:tcPr>
            <w:tcW w:type="dxa" w:w="1347"/>
            <w:shd w:val="clear" w:color="auto" w:fill="F2F6FC"/>
          </w:tcPr>
          <w:p>
            <w:pPr>
              <w:keepNext/>
            </w:pPr>
            <w:r>
              <w:rPr>
                <w:sz w:val="20"/>
              </w:rPr>
              <w:t>35%</w:t>
            </w:r>
          </w:p>
        </w:tc>
      </w:tr>
      <w:tr>
        <w:trPr>
          <w:cantSplit/>
        </w:trPr>
        <w:tc>
          <w:tcPr>
            <w:tcW w:type="dxa" w:w="2349"/>
          </w:tcPr>
          <w:p>
            <w:pPr>
              <w:keepNext/>
            </w:pPr>
            <w:r>
              <w:rPr>
                <w:sz w:val="20"/>
              </w:rPr>
              <w:t>Services &amp; Utilities</w:t>
            </w:r>
          </w:p>
        </w:tc>
        <w:tc>
          <w:tcPr>
            <w:tcW w:type="dxa" w:w="1787"/>
          </w:tcPr>
          <w:p>
            <w:pPr>
              <w:keepNext/>
            </w:pPr>
            <w:r>
              <w:rPr>
                <w:sz w:val="20"/>
              </w:rPr>
              <w:t>₹10,00,000</w:t>
            </w:r>
          </w:p>
        </w:tc>
        <w:tc>
          <w:tcPr>
            <w:tcW w:type="dxa" w:w="3815"/>
          </w:tcPr>
          <w:p>
            <w:pPr>
              <w:keepNext/>
            </w:pPr>
            <w:r>
              <w:rPr>
                <w:sz w:val="20"/>
              </w:rPr>
              <w:t>Electrical, plumbing, HVAC, water tank</w:t>
            </w:r>
          </w:p>
        </w:tc>
        <w:tc>
          <w:tcPr>
            <w:tcW w:type="dxa" w:w="1347"/>
          </w:tcPr>
          <w:p>
            <w:pPr>
              <w:keepNext/>
            </w:pPr>
            <w:r>
              <w:rPr>
                <w:sz w:val="20"/>
              </w:rPr>
              <w:t>10%</w:t>
            </w:r>
          </w:p>
        </w:tc>
      </w:tr>
      <w:tr>
        <w:trPr>
          <w:cantSplit/>
        </w:trPr>
        <w:tc>
          <w:tcPr>
            <w:tcW w:type="dxa" w:w="2349"/>
            <w:shd w:val="clear" w:color="auto" w:fill="F2F6FC"/>
          </w:tcPr>
          <w:p>
            <w:r>
              <w:rPr>
                <w:sz w:val="20"/>
              </w:rPr>
              <w:t>Approvals &amp; Contingency</w:t>
            </w:r>
          </w:p>
        </w:tc>
        <w:tc>
          <w:tcPr>
            <w:tcW w:type="dxa" w:w="1787"/>
            <w:shd w:val="clear" w:color="auto" w:fill="F2F6FC"/>
          </w:tcPr>
          <w:p>
            <w:r>
              <w:rPr>
                <w:sz w:val="20"/>
              </w:rPr>
              <w:t>₹10,00,000</w:t>
            </w:r>
          </w:p>
        </w:tc>
        <w:tc>
          <w:tcPr>
            <w:tcW w:type="dxa" w:w="3815"/>
            <w:shd w:val="clear" w:color="auto" w:fill="F2F6FC"/>
          </w:tcPr>
          <w:p>
            <w:r>
              <w:rPr>
                <w:sz w:val="20"/>
              </w:rPr>
              <w:t>Plan approval, legal fees, unexpected costs</w:t>
            </w:r>
          </w:p>
        </w:tc>
        <w:tc>
          <w:tcPr>
            <w:tcW w:type="dxa" w:w="1347"/>
            <w:shd w:val="clear" w:color="auto" w:fill="F2F6FC"/>
          </w:tcPr>
          <w:p>
            <w:r>
              <w:rPr>
                <w:sz w:val="20"/>
              </w:rPr>
              <w:t>10%</w:t>
            </w:r>
          </w:p>
        </w:tc>
      </w:tr>
    </w:tbl>
    <w:p>
      <w:pPr>
        <w:spacing w:after="40"/>
      </w:pPr>
    </w:p>
    <w:p>
      <w:r>
        <w:rPr/>
        <w:t xml:space="preserve">The </w:t>
      </w:r>
      <w:r>
        <w:rPr>
          <w:b/>
        </w:rPr>
        <w:t>₹45,00,000</w:t>
      </w:r>
      <w:r>
        <w:rPr/>
        <w:t xml:space="preserve"> structural allocation is strictly managed to prevent cost overruns. This includes </w:t>
      </w:r>
      <w:r>
        <w:rPr>
          <w:b/>
        </w:rPr>
        <w:t>₹10,00,000</w:t>
      </w:r>
      <w:r>
        <w:rPr/>
        <w:t xml:space="preserve"> for cement, </w:t>
      </w:r>
      <w:r>
        <w:rPr>
          <w:b/>
        </w:rPr>
        <w:t>₹12,00,000</w:t>
      </w:r>
      <w:r>
        <w:rPr/>
        <w:t xml:space="preserve"> for steel reinforcement, and </w:t>
      </w:r>
      <w:r>
        <w:rPr>
          <w:b/>
        </w:rPr>
        <w:t>₹8,00,000</w:t>
      </w:r>
      <w:r>
        <w:rPr/>
        <w:t xml:space="preserve"> for masonry materials, with the remaining balance covering formwork, labor, and foundation excavation. The </w:t>
      </w:r>
      <w:r>
        <w:rPr>
          <w:b/>
        </w:rPr>
        <w:t>₹35,00,000</w:t>
      </w:r>
      <w:r>
        <w:rPr/>
        <w:t xml:space="preserve"> finishing budget ensures high-quality livability, while </w:t>
      </w:r>
      <w:r>
        <w:rPr>
          <w:b/>
        </w:rPr>
        <w:t>₹10,00,000</w:t>
      </w:r>
      <w:r>
        <w:rPr/>
        <w:t xml:space="preserve"> covers services and </w:t>
      </w:r>
      <w:r>
        <w:rPr>
          <w:b/>
        </w:rPr>
        <w:t>₹10,00,000</w:t>
      </w:r>
      <w:r>
        <w:rPr/>
        <w:t xml:space="preserve"> safeguards the project against regulatory expenses and market fluctuations until the final handover.</w:t>
      </w:r>
    </w:p>
    <w:p>
      <w:pPr>
        <w:pStyle w:val="Heading1"/>
      </w:pPr>
      <w:r>
        <w:t>3. Construction Phasing &amp; Milestone Schedule</w:t>
      </w:r>
    </w:p>
    <w:p>
      <w:r>
        <w:rPr/>
        <w:t>To deliver your 2,000 sq. ft. double-story residential home within the one-year timeframe, the project is organized into four sequential phases. Construction will commence on November 15, 2026, and conclude by November 15, 2027, in Bengaluru, Karnataka. Each phase aligns directly with your allocated budget categories, ensuring strict oversight of both timeline and expenditures.</w:t>
      </w:r>
    </w:p>
    <w:tbl>
      <w:tblPr>
        <w:tblStyle w:val="TableGrid"/>
        <w:tblW w:type="auto" w:w="0"/>
        <w:jc w:val="center"/>
        <w:tblBorders>
          <w:top w:val="single" w:sz="4" w:space="0" w:color="BFCBDA"/>
          <w:left w:val="single" w:sz="4" w:space="0" w:color="BFCBDA"/>
          <w:bottom w:val="single" w:sz="4" w:space="0" w:color="BFCBDA"/>
          <w:right w:val="single" w:sz="4" w:space="0" w:color="BFCBDA"/>
          <w:insideH w:val="single" w:sz="4" w:space="0" w:color="BFCBDA"/>
          <w:insideV w:val="single" w:sz="4" w:space="0" w:color="BFCBDA"/>
        </w:tblBorders>
        <w:tblLayout w:type="fixed"/>
        <w:tblLook w:firstColumn="1" w:firstRow="1" w:lastColumn="0" w:lastRow="0" w:noHBand="0" w:noVBand="1" w:val="04A0"/>
      </w:tblPr>
      <w:tblGrid>
        <w:gridCol w:w="2408"/>
        <w:gridCol w:w="2408"/>
        <w:gridCol w:w="2408"/>
        <w:gridCol w:w="2408"/>
      </w:tblGrid>
      <w:tr>
        <w:trPr>
          <w:cantSplit/>
          <w:tblHeader w:val="true"/>
        </w:trPr>
        <w:tc>
          <w:tcPr>
            <w:tcW w:type="dxa" w:w="1713"/>
            <w:tcBorders>
              <w:top w:val="single" w:sz="4" w:space="0" w:color="1F3A5F"/>
              <w:left w:val="single" w:sz="4" w:space="0" w:color="1F3A5F"/>
              <w:bottom w:val="single" w:sz="4" w:space="0" w:color="1F3A5F"/>
              <w:right w:val="single" w:sz="4" w:space="0" w:color="1F3A5F"/>
            </w:tcBorders>
            <w:shd w:val="clear" w:color="auto" w:fill="1F3A5F"/>
          </w:tcPr>
          <w:p>
            <w:pPr>
              <w:keepNext/>
            </w:pPr>
            <w:r>
              <w:rPr>
                <w:b/>
                <w:color w:val="FFFFFF"/>
                <w:sz w:val="20"/>
              </w:rPr>
              <w:t>Phase</w:t>
            </w:r>
          </w:p>
        </w:tc>
        <w:tc>
          <w:tcPr>
            <w:tcW w:type="dxa" w:w="3593"/>
            <w:tcBorders>
              <w:top w:val="single" w:sz="4" w:space="0" w:color="1F3A5F"/>
              <w:left w:val="single" w:sz="4" w:space="0" w:color="1F3A5F"/>
              <w:bottom w:val="single" w:sz="4" w:space="0" w:color="1F3A5F"/>
              <w:right w:val="single" w:sz="4" w:space="0" w:color="1F3A5F"/>
            </w:tcBorders>
            <w:shd w:val="clear" w:color="auto" w:fill="1F3A5F"/>
          </w:tcPr>
          <w:p>
            <w:pPr>
              <w:keepNext/>
            </w:pPr>
            <w:r>
              <w:rPr>
                <w:b/>
                <w:color w:val="FFFFFF"/>
                <w:sz w:val="20"/>
              </w:rPr>
              <w:t>Key Milestone Description</w:t>
            </w:r>
          </w:p>
        </w:tc>
        <w:tc>
          <w:tcPr>
            <w:tcW w:type="dxa" w:w="1668"/>
            <w:tcBorders>
              <w:top w:val="single" w:sz="4" w:space="0" w:color="1F3A5F"/>
              <w:left w:val="single" w:sz="4" w:space="0" w:color="1F3A5F"/>
              <w:bottom w:val="single" w:sz="4" w:space="0" w:color="1F3A5F"/>
              <w:right w:val="single" w:sz="4" w:space="0" w:color="1F3A5F"/>
            </w:tcBorders>
            <w:shd w:val="clear" w:color="auto" w:fill="1F3A5F"/>
          </w:tcPr>
          <w:p>
            <w:pPr>
              <w:keepNext/>
            </w:pPr>
            <w:r>
              <w:rPr>
                <w:b/>
                <w:color w:val="FFFFFF"/>
                <w:sz w:val="20"/>
              </w:rPr>
              <w:t>Target Completion</w:t>
            </w:r>
          </w:p>
        </w:tc>
        <w:tc>
          <w:tcPr>
            <w:tcW w:type="dxa" w:w="2324"/>
            <w:tcBorders>
              <w:top w:val="single" w:sz="4" w:space="0" w:color="1F3A5F"/>
              <w:left w:val="single" w:sz="4" w:space="0" w:color="1F3A5F"/>
              <w:bottom w:val="single" w:sz="4" w:space="0" w:color="1F3A5F"/>
              <w:right w:val="single" w:sz="4" w:space="0" w:color="1F3A5F"/>
            </w:tcBorders>
            <w:shd w:val="clear" w:color="auto" w:fill="1F3A5F"/>
          </w:tcPr>
          <w:p>
            <w:pPr>
              <w:keepNext/>
            </w:pPr>
            <w:r>
              <w:rPr>
                <w:b/>
                <w:color w:val="FFFFFF"/>
                <w:sz w:val="20"/>
              </w:rPr>
              <w:t>Associated Budget Allocation</w:t>
            </w:r>
          </w:p>
        </w:tc>
      </w:tr>
      <w:tr>
        <w:trPr>
          <w:cantSplit/>
        </w:trPr>
        <w:tc>
          <w:tcPr>
            <w:tcW w:type="dxa" w:w="1713"/>
          </w:tcPr>
          <w:p>
            <w:pPr>
              <w:keepNext/>
            </w:pPr>
            <w:r>
              <w:rPr>
                <w:sz w:val="20"/>
              </w:rPr>
              <w:t>Pre-Construction</w:t>
            </w:r>
          </w:p>
        </w:tc>
        <w:tc>
          <w:tcPr>
            <w:tcW w:type="dxa" w:w="3593"/>
          </w:tcPr>
          <w:p>
            <w:pPr>
              <w:keepNext/>
            </w:pPr>
            <w:r>
              <w:rPr>
                <w:sz w:val="20"/>
              </w:rPr>
              <w:t>Architectural finalization, BBMP plan approvals, and contractor mobilization</w:t>
            </w:r>
          </w:p>
        </w:tc>
        <w:tc>
          <w:tcPr>
            <w:tcW w:type="dxa" w:w="1668"/>
          </w:tcPr>
          <w:p>
            <w:pPr>
              <w:keepNext/>
            </w:pPr>
            <w:r>
              <w:rPr>
                <w:sz w:val="20"/>
              </w:rPr>
              <w:t>December 31, 2026</w:t>
            </w:r>
          </w:p>
        </w:tc>
        <w:tc>
          <w:tcPr>
            <w:tcW w:type="dxa" w:w="2324"/>
          </w:tcPr>
          <w:p>
            <w:pPr>
              <w:keepNext/>
            </w:pPr>
            <w:r>
              <w:rPr>
                <w:sz w:val="20"/>
              </w:rPr>
              <w:t>₹10,00,000 (Approvals &amp; Architect)</w:t>
            </w:r>
          </w:p>
        </w:tc>
      </w:tr>
      <w:tr>
        <w:trPr>
          <w:cantSplit/>
        </w:trPr>
        <w:tc>
          <w:tcPr>
            <w:tcW w:type="dxa" w:w="1713"/>
            <w:shd w:val="clear" w:color="auto" w:fill="F2F6FC"/>
          </w:tcPr>
          <w:p>
            <w:pPr>
              <w:keepNext/>
            </w:pPr>
            <w:r>
              <w:rPr>
                <w:sz w:val="20"/>
              </w:rPr>
              <w:t>Phase 1: Structural</w:t>
            </w:r>
          </w:p>
        </w:tc>
        <w:tc>
          <w:tcPr>
            <w:tcW w:type="dxa" w:w="3593"/>
            <w:shd w:val="clear" w:color="auto" w:fill="F2F6FC"/>
          </w:tcPr>
          <w:p>
            <w:pPr>
              <w:keepNext/>
            </w:pPr>
            <w:r>
              <w:rPr>
                <w:sz w:val="20"/>
              </w:rPr>
              <w:t>Excavation, foundation, ground/first-floor columns, slabs, and masonry work</w:t>
            </w:r>
          </w:p>
        </w:tc>
        <w:tc>
          <w:tcPr>
            <w:tcW w:type="dxa" w:w="1668"/>
            <w:shd w:val="clear" w:color="auto" w:fill="F2F6FC"/>
          </w:tcPr>
          <w:p>
            <w:pPr>
              <w:keepNext/>
            </w:pPr>
            <w:r>
              <w:rPr>
                <w:sz w:val="20"/>
              </w:rPr>
              <w:t>May 31, 2027</w:t>
            </w:r>
          </w:p>
        </w:tc>
        <w:tc>
          <w:tcPr>
            <w:tcW w:type="dxa" w:w="2324"/>
            <w:shd w:val="clear" w:color="auto" w:fill="F2F6FC"/>
          </w:tcPr>
          <w:p>
            <w:pPr>
              <w:keepNext/>
            </w:pPr>
            <w:r>
              <w:rPr>
                <w:sz w:val="20"/>
              </w:rPr>
              <w:t>₹45,00,000 (Structural)</w:t>
            </w:r>
          </w:p>
        </w:tc>
      </w:tr>
      <w:tr>
        <w:trPr>
          <w:cantSplit/>
        </w:trPr>
        <w:tc>
          <w:tcPr>
            <w:tcW w:type="dxa" w:w="1713"/>
          </w:tcPr>
          <w:p>
            <w:pPr>
              <w:keepNext/>
            </w:pPr>
            <w:r>
              <w:rPr>
                <w:sz w:val="20"/>
              </w:rPr>
              <w:t>Phase 2: Services</w:t>
            </w:r>
          </w:p>
        </w:tc>
        <w:tc>
          <w:tcPr>
            <w:tcW w:type="dxa" w:w="3593"/>
          </w:tcPr>
          <w:p>
            <w:pPr>
              <w:keepNext/>
            </w:pPr>
            <w:r>
              <w:rPr>
                <w:sz w:val="20"/>
              </w:rPr>
              <w:t>Concealed electrical wiring, plumbing piping, HVAC routing, and underground water tank</w:t>
            </w:r>
          </w:p>
        </w:tc>
        <w:tc>
          <w:tcPr>
            <w:tcW w:type="dxa" w:w="1668"/>
          </w:tcPr>
          <w:p>
            <w:pPr>
              <w:keepNext/>
            </w:pPr>
            <w:r>
              <w:rPr>
                <w:sz w:val="20"/>
              </w:rPr>
              <w:t>August 31, 2027</w:t>
            </w:r>
          </w:p>
        </w:tc>
        <w:tc>
          <w:tcPr>
            <w:tcW w:type="dxa" w:w="2324"/>
          </w:tcPr>
          <w:p>
            <w:pPr>
              <w:keepNext/>
            </w:pPr>
            <w:r>
              <w:rPr>
                <w:sz w:val="20"/>
              </w:rPr>
              <w:t>₹10,00,000 (Services &amp; Utilities)</w:t>
            </w:r>
          </w:p>
        </w:tc>
      </w:tr>
      <w:tr>
        <w:trPr>
          <w:cantSplit/>
        </w:trPr>
        <w:tc>
          <w:tcPr>
            <w:tcW w:type="dxa" w:w="1713"/>
            <w:shd w:val="clear" w:color="auto" w:fill="F2F6FC"/>
          </w:tcPr>
          <w:p>
            <w:pPr>
              <w:keepNext/>
            </w:pPr>
            <w:r>
              <w:rPr>
                <w:sz w:val="20"/>
              </w:rPr>
              <w:t>Phase 3: Finishing</w:t>
            </w:r>
          </w:p>
        </w:tc>
        <w:tc>
          <w:tcPr>
            <w:tcW w:type="dxa" w:w="3593"/>
            <w:shd w:val="clear" w:color="auto" w:fill="F2F6FC"/>
          </w:tcPr>
          <w:p>
            <w:pPr>
              <w:keepNext/>
            </w:pPr>
            <w:r>
              <w:rPr>
                <w:sz w:val="20"/>
              </w:rPr>
              <w:t>Flooring installation, internal/external painting, bathroom fixtures, and woodwork</w:t>
            </w:r>
          </w:p>
        </w:tc>
        <w:tc>
          <w:tcPr>
            <w:tcW w:type="dxa" w:w="1668"/>
            <w:shd w:val="clear" w:color="auto" w:fill="F2F6FC"/>
          </w:tcPr>
          <w:p>
            <w:pPr>
              <w:keepNext/>
            </w:pPr>
            <w:r>
              <w:rPr>
                <w:sz w:val="20"/>
              </w:rPr>
              <w:t>October 31, 2027</w:t>
            </w:r>
          </w:p>
        </w:tc>
        <w:tc>
          <w:tcPr>
            <w:tcW w:type="dxa" w:w="2324"/>
            <w:shd w:val="clear" w:color="auto" w:fill="F2F6FC"/>
          </w:tcPr>
          <w:p>
            <w:pPr>
              <w:keepNext/>
            </w:pPr>
            <w:r>
              <w:rPr>
                <w:sz w:val="20"/>
              </w:rPr>
              <w:t>₹35,00,000 (Finishing)</w:t>
            </w:r>
          </w:p>
        </w:tc>
      </w:tr>
      <w:tr>
        <w:trPr>
          <w:cantSplit/>
        </w:trPr>
        <w:tc>
          <w:tcPr>
            <w:tcW w:type="dxa" w:w="1713"/>
          </w:tcPr>
          <w:p>
            <w:r>
              <w:rPr>
                <w:sz w:val="20"/>
              </w:rPr>
              <w:t>Handover</w:t>
            </w:r>
          </w:p>
        </w:tc>
        <w:tc>
          <w:tcPr>
            <w:tcW w:type="dxa" w:w="3593"/>
          </w:tcPr>
          <w:p>
            <w:r>
              <w:rPr>
                <w:sz w:val="20"/>
              </w:rPr>
              <w:t>Final site cleanup, utility meter connections, and formal property handover</w:t>
            </w:r>
          </w:p>
        </w:tc>
        <w:tc>
          <w:tcPr>
            <w:tcW w:type="dxa" w:w="1668"/>
          </w:tcPr>
          <w:p>
            <w:r>
              <w:rPr>
                <w:sz w:val="20"/>
              </w:rPr>
              <w:t>November 15, 2027</w:t>
            </w:r>
          </w:p>
        </w:tc>
        <w:tc>
          <w:tcPr>
            <w:tcW w:type="dxa" w:w="2324"/>
          </w:tcPr>
          <w:p>
            <w:r>
              <w:rPr>
                <w:sz w:val="20"/>
              </w:rPr>
              <w:t>Contingency balance</w:t>
            </w:r>
          </w:p>
        </w:tc>
      </w:tr>
    </w:tbl>
    <w:p>
      <w:pPr>
        <w:spacing w:after="40"/>
      </w:pPr>
    </w:p>
    <w:p>
      <w:pPr>
        <w:pStyle w:val="Heading1"/>
      </w:pPr>
      <w:r>
        <w:t>4. Material Specifications &amp; Procurement Plan</w:t>
      </w:r>
    </w:p>
    <w:p>
      <w:pPr>
        <w:pStyle w:val="ListBullet"/>
      </w:pPr>
      <w:r>
        <w:rPr/>
        <w:t>Cement Procurement: You will source OPC 53 grade cement from UltraTech or equivalent certified suppliers for structural work, using approximately 2,500 bags with an estimated cost of ₹10,00,000 sourced from the structural allocation.</w:t>
      </w:r>
    </w:p>
    <w:p>
      <w:pPr>
        <w:pStyle w:val="ListBullet"/>
      </w:pPr>
      <w:r>
        <w:rPr/>
        <w:t>Steel Reinforcement: Ultra-high-ductility TMT bars (Fe 500D grade) from Tata Tiscon or Jindal Panther will be procured for columns, beams, and slabs to ensure seismic compliance in Bengaluru, utilizing ₹12,00,000 of the structural budget for roughly 12 metric tonnes.</w:t>
      </w:r>
    </w:p>
    <w:p>
      <w:pPr>
        <w:pStyle w:val="ListBullet"/>
      </w:pPr>
      <w:r>
        <w:rPr/>
        <w:t>Masonry Materials: First-quality wire-cut clay bricks for external walls and eco-friendly AAC blocks for internal partitions will be procured with an estimated realistic expense of ₹8,00,000, leaving the remaining structural budget for foundation and concrete works.</w:t>
      </w:r>
    </w:p>
    <w:p>
      <w:pPr>
        <w:pStyle w:val="ListBullet"/>
      </w:pPr>
      <w:r>
        <w:rPr/>
        <w:t>Flooring Specifications: Vitrified tiles (800x1200 mm) from Kajaria or Somany are selected for living and bedrooms, while anti-skid ceramic tiles are designated for bathrooms and balconies, funded via ₹8,00,000 allocated from the finishing budget.</w:t>
      </w:r>
    </w:p>
    <w:p>
      <w:pPr>
        <w:pStyle w:val="ListBullet"/>
      </w:pPr>
      <w:r>
        <w:rPr/>
        <w:t>Sanitaryware and Fixtures: Kohler or Jaquar concealed flush tanks, wall-hung toilets, and CP fittings will be installed across all three bathrooms, utilizing ₹5,00,000 of the finishing allocation.</w:t>
      </w:r>
    </w:p>
    <w:p>
      <w:pPr>
        <w:pStyle w:val="ListBullet"/>
      </w:pPr>
      <w:r>
        <w:rPr/>
        <w:t>Electrical and Plumbing Supplies: Finolex flame-retardant copper wiring, Schneider modular switches, and Supreme PVC pipes will be procured directly from authorized dealers in Bengaluru to prevent supply delays before the November 15, 2026 start date.</w:t>
      </w:r>
    </w:p>
    <w:p>
      <w:pPr>
        <w:pStyle w:val="Heading1"/>
      </w:pPr>
      <w:r>
        <w:t>5. Risk Management &amp; Cost Contingency</w:t>
      </w:r>
    </w:p>
    <w:p>
      <w:r>
        <w:rPr/>
        <w:t xml:space="preserve">To ensure your residential construction project in Bengaluru stays within the total budget of ₹1,00,00,000, we have established a dedicated </w:t>
      </w:r>
      <w:r>
        <w:rPr>
          <w:b/>
        </w:rPr>
        <w:t>Risk Management &amp; Cost Contingency</w:t>
      </w:r>
      <w:r>
        <w:rPr/>
        <w:t xml:space="preserve"> framework. Out of the ₹10,00,000 allocated for approvals, architect fees, and contingency, exactly ₹5,00,000 is sequestered specifically as your contingency fund. This financial buffer guards against unforeseen site conditions, design adjustments, and market volatility between November 15, 2026, and November 15, 2027. Below is the mitigation matrix detailing primary construction risks and active countermeasures.</w:t>
      </w:r>
    </w:p>
    <w:tbl>
      <w:tblPr>
        <w:tblStyle w:val="TableGrid"/>
        <w:tblW w:type="auto" w:w="0"/>
        <w:jc w:val="center"/>
        <w:tblBorders>
          <w:top w:val="single" w:sz="4" w:space="0" w:color="BFCBDA"/>
          <w:left w:val="single" w:sz="4" w:space="0" w:color="BFCBDA"/>
          <w:bottom w:val="single" w:sz="4" w:space="0" w:color="BFCBDA"/>
          <w:right w:val="single" w:sz="4" w:space="0" w:color="BFCBDA"/>
          <w:insideH w:val="single" w:sz="4" w:space="0" w:color="BFCBDA"/>
          <w:insideV w:val="single" w:sz="4" w:space="0" w:color="BFCBDA"/>
        </w:tblBorders>
        <w:tblLayout w:type="fixed"/>
        <w:tblLook w:firstColumn="1" w:firstRow="1" w:lastColumn="0" w:lastRow="0" w:noHBand="0" w:noVBand="1" w:val="04A0"/>
      </w:tblPr>
      <w:tblGrid>
        <w:gridCol w:w="2408"/>
        <w:gridCol w:w="2408"/>
        <w:gridCol w:w="2408"/>
        <w:gridCol w:w="2408"/>
      </w:tblGrid>
      <w:tr>
        <w:trPr>
          <w:cantSplit/>
          <w:tblHeader w:val="true"/>
        </w:trPr>
        <w:tc>
          <w:tcPr>
            <w:tcW w:type="dxa" w:w="1623"/>
            <w:tcBorders>
              <w:top w:val="single" w:sz="4" w:space="0" w:color="1F3A5F"/>
              <w:left w:val="single" w:sz="4" w:space="0" w:color="1F3A5F"/>
              <w:bottom w:val="single" w:sz="4" w:space="0" w:color="1F3A5F"/>
              <w:right w:val="single" w:sz="4" w:space="0" w:color="1F3A5F"/>
            </w:tcBorders>
            <w:shd w:val="clear" w:color="auto" w:fill="1F3A5F"/>
          </w:tcPr>
          <w:p>
            <w:pPr>
              <w:keepNext/>
            </w:pPr>
            <w:r>
              <w:rPr>
                <w:b/>
                <w:color w:val="FFFFFF"/>
                <w:sz w:val="20"/>
              </w:rPr>
              <w:t>Risk Factor</w:t>
            </w:r>
          </w:p>
        </w:tc>
        <w:tc>
          <w:tcPr>
            <w:tcW w:type="dxa" w:w="3020"/>
            <w:tcBorders>
              <w:top w:val="single" w:sz="4" w:space="0" w:color="1F3A5F"/>
              <w:left w:val="single" w:sz="4" w:space="0" w:color="1F3A5F"/>
              <w:bottom w:val="single" w:sz="4" w:space="0" w:color="1F3A5F"/>
              <w:right w:val="single" w:sz="4" w:space="0" w:color="1F3A5F"/>
            </w:tcBorders>
            <w:shd w:val="clear" w:color="auto" w:fill="1F3A5F"/>
          </w:tcPr>
          <w:p>
            <w:pPr>
              <w:keepNext/>
            </w:pPr>
            <w:r>
              <w:rPr>
                <w:b/>
                <w:color w:val="FFFFFF"/>
                <w:sz w:val="20"/>
              </w:rPr>
              <w:t>Potential Impact</w:t>
            </w:r>
          </w:p>
        </w:tc>
        <w:tc>
          <w:tcPr>
            <w:tcW w:type="dxa" w:w="3020"/>
            <w:tcBorders>
              <w:top w:val="single" w:sz="4" w:space="0" w:color="1F3A5F"/>
              <w:left w:val="single" w:sz="4" w:space="0" w:color="1F3A5F"/>
              <w:bottom w:val="single" w:sz="4" w:space="0" w:color="1F3A5F"/>
              <w:right w:val="single" w:sz="4" w:space="0" w:color="1F3A5F"/>
            </w:tcBorders>
            <w:shd w:val="clear" w:color="auto" w:fill="1F3A5F"/>
          </w:tcPr>
          <w:p>
            <w:pPr>
              <w:keepNext/>
            </w:pPr>
            <w:r>
              <w:rPr>
                <w:b/>
                <w:color w:val="FFFFFF"/>
                <w:sz w:val="20"/>
              </w:rPr>
              <w:t>Mitigation Strategy</w:t>
            </w:r>
          </w:p>
        </w:tc>
        <w:tc>
          <w:tcPr>
            <w:tcW w:type="dxa" w:w="1635"/>
            <w:tcBorders>
              <w:top w:val="single" w:sz="4" w:space="0" w:color="1F3A5F"/>
              <w:left w:val="single" w:sz="4" w:space="0" w:color="1F3A5F"/>
              <w:bottom w:val="single" w:sz="4" w:space="0" w:color="1F3A5F"/>
              <w:right w:val="single" w:sz="4" w:space="0" w:color="1F3A5F"/>
            </w:tcBorders>
            <w:shd w:val="clear" w:color="auto" w:fill="1F3A5F"/>
          </w:tcPr>
          <w:p>
            <w:pPr>
              <w:keepNext/>
            </w:pPr>
            <w:r>
              <w:rPr>
                <w:b/>
                <w:color w:val="FFFFFF"/>
                <w:sz w:val="20"/>
              </w:rPr>
              <w:t>Contingency Allocation</w:t>
            </w:r>
          </w:p>
        </w:tc>
      </w:tr>
      <w:tr>
        <w:trPr>
          <w:cantSplit/>
        </w:trPr>
        <w:tc>
          <w:tcPr>
            <w:tcW w:type="dxa" w:w="1623"/>
          </w:tcPr>
          <w:p>
            <w:pPr>
              <w:keepNext/>
            </w:pPr>
            <w:r>
              <w:rPr>
                <w:sz w:val="20"/>
              </w:rPr>
              <w:t>Material Price Escalation</w:t>
            </w:r>
          </w:p>
        </w:tc>
        <w:tc>
          <w:tcPr>
            <w:tcW w:type="dxa" w:w="3020"/>
          </w:tcPr>
          <w:p>
            <w:pPr>
              <w:keepNext/>
            </w:pPr>
            <w:r>
              <w:rPr>
                <w:sz w:val="20"/>
              </w:rPr>
              <w:t>Increased cost for steel and cement exceeding structural estimates</w:t>
            </w:r>
          </w:p>
        </w:tc>
        <w:tc>
          <w:tcPr>
            <w:tcW w:type="dxa" w:w="3020"/>
          </w:tcPr>
          <w:p>
            <w:pPr>
              <w:keepNext/>
            </w:pPr>
            <w:r>
              <w:rPr>
                <w:sz w:val="20"/>
              </w:rPr>
              <w:t>Bulk advance procurement and fixed-price vendor contracts signed prior to November 15, 2026</w:t>
            </w:r>
          </w:p>
        </w:tc>
        <w:tc>
          <w:tcPr>
            <w:tcW w:type="dxa" w:w="1635"/>
          </w:tcPr>
          <w:p>
            <w:pPr>
              <w:keepNext/>
            </w:pPr>
            <w:r>
              <w:rPr>
                <w:sz w:val="20"/>
              </w:rPr>
              <w:t>₹2,00,000 (Estimate)</w:t>
            </w:r>
          </w:p>
        </w:tc>
      </w:tr>
      <w:tr>
        <w:trPr>
          <w:cantSplit/>
        </w:trPr>
        <w:tc>
          <w:tcPr>
            <w:tcW w:type="dxa" w:w="1623"/>
            <w:shd w:val="clear" w:color="auto" w:fill="F2F6FC"/>
          </w:tcPr>
          <w:p>
            <w:pPr>
              <w:keepNext/>
            </w:pPr>
            <w:r>
              <w:rPr>
                <w:sz w:val="20"/>
              </w:rPr>
              <w:t>Labor Shortages</w:t>
            </w:r>
          </w:p>
        </w:tc>
        <w:tc>
          <w:tcPr>
            <w:tcW w:type="dxa" w:w="3020"/>
            <w:shd w:val="clear" w:color="auto" w:fill="F2F6FC"/>
          </w:tcPr>
          <w:p>
            <w:pPr>
              <w:keepNext/>
            </w:pPr>
            <w:r>
              <w:rPr>
                <w:sz w:val="20"/>
              </w:rPr>
              <w:t>Project delays during peak festival seasons in Bengaluru</w:t>
            </w:r>
          </w:p>
        </w:tc>
        <w:tc>
          <w:tcPr>
            <w:tcW w:type="dxa" w:w="3020"/>
            <w:shd w:val="clear" w:color="auto" w:fill="F2F6FC"/>
          </w:tcPr>
          <w:p>
            <w:pPr>
              <w:keepNext/>
            </w:pPr>
            <w:r>
              <w:rPr>
                <w:sz w:val="20"/>
              </w:rPr>
              <w:t>Retaining a primary contractor with a dedicated labor pool and pre-agreed milestone timelines</w:t>
            </w:r>
          </w:p>
        </w:tc>
        <w:tc>
          <w:tcPr>
            <w:tcW w:type="dxa" w:w="1635"/>
            <w:shd w:val="clear" w:color="auto" w:fill="F2F6FC"/>
          </w:tcPr>
          <w:p>
            <w:pPr>
              <w:keepNext/>
            </w:pPr>
            <w:r>
              <w:rPr>
                <w:sz w:val="20"/>
              </w:rPr>
              <w:t>₹1,50,000 (Estimate)</w:t>
            </w:r>
          </w:p>
        </w:tc>
      </w:tr>
      <w:tr>
        <w:trPr>
          <w:cantSplit/>
        </w:trPr>
        <w:tc>
          <w:tcPr>
            <w:tcW w:type="dxa" w:w="1623"/>
          </w:tcPr>
          <w:p>
            <w:pPr>
              <w:keepNext/>
            </w:pPr>
            <w:r>
              <w:rPr>
                <w:sz w:val="20"/>
              </w:rPr>
              <w:t>Weather Disruptions</w:t>
            </w:r>
          </w:p>
        </w:tc>
        <w:tc>
          <w:tcPr>
            <w:tcW w:type="dxa" w:w="3020"/>
          </w:tcPr>
          <w:p>
            <w:pPr>
              <w:keepNext/>
            </w:pPr>
            <w:r>
              <w:rPr>
                <w:sz w:val="20"/>
              </w:rPr>
              <w:t>Monsoon delays affecting foundation and exterior masonry work</w:t>
            </w:r>
          </w:p>
        </w:tc>
        <w:tc>
          <w:tcPr>
            <w:tcW w:type="dxa" w:w="3020"/>
          </w:tcPr>
          <w:p>
            <w:pPr>
              <w:keepNext/>
            </w:pPr>
            <w:r>
              <w:rPr>
                <w:sz w:val="20"/>
              </w:rPr>
              <w:t>Scheduling heavy structural work ahead of the rainy season and utilizing quick-setting admixtures</w:t>
            </w:r>
          </w:p>
        </w:tc>
        <w:tc>
          <w:tcPr>
            <w:tcW w:type="dxa" w:w="1635"/>
          </w:tcPr>
          <w:p>
            <w:pPr>
              <w:keepNext/>
            </w:pPr>
            <w:r>
              <w:rPr>
                <w:sz w:val="20"/>
              </w:rPr>
              <w:t>₹1,00,000 (Estimate)</w:t>
            </w:r>
          </w:p>
        </w:tc>
      </w:tr>
      <w:tr>
        <w:trPr>
          <w:cantSplit/>
        </w:trPr>
        <w:tc>
          <w:tcPr>
            <w:tcW w:type="dxa" w:w="1623"/>
            <w:shd w:val="clear" w:color="auto" w:fill="F2F6FC"/>
          </w:tcPr>
          <w:p>
            <w:r>
              <w:rPr>
                <w:sz w:val="20"/>
              </w:rPr>
              <w:t>Regulatory Delays</w:t>
            </w:r>
          </w:p>
        </w:tc>
        <w:tc>
          <w:tcPr>
            <w:tcW w:type="dxa" w:w="3020"/>
            <w:shd w:val="clear" w:color="auto" w:fill="F2F6FC"/>
          </w:tcPr>
          <w:p>
            <w:r>
              <w:rPr>
                <w:sz w:val="20"/>
              </w:rPr>
              <w:t>Holding up finishing phases due to municipal utility connections</w:t>
            </w:r>
          </w:p>
        </w:tc>
        <w:tc>
          <w:tcPr>
            <w:tcW w:type="dxa" w:w="3020"/>
            <w:shd w:val="clear" w:color="auto" w:fill="F2F6FC"/>
          </w:tcPr>
          <w:p>
            <w:r>
              <w:rPr>
                <w:sz w:val="20"/>
              </w:rPr>
              <w:t>Initiating all statutory approvals with local Bengaluru authorities well in advance of site work</w:t>
            </w:r>
          </w:p>
        </w:tc>
        <w:tc>
          <w:tcPr>
            <w:tcW w:type="dxa" w:w="1635"/>
            <w:shd w:val="clear" w:color="auto" w:fill="F2F6FC"/>
          </w:tcPr>
          <w:p>
            <w:r>
              <w:rPr>
                <w:sz w:val="20"/>
              </w:rPr>
              <w:t>₹50,000 (Estimate)</w:t>
            </w:r>
          </w:p>
        </w:tc>
      </w:tr>
    </w:tbl>
    <w:p>
      <w:pPr>
        <w:spacing w:after="40"/>
      </w:pPr>
    </w:p>
    <w:p>
      <w:r>
        <w:br w:type="page"/>
      </w:r>
    </w:p>
    <w:p>
      <w:pPr>
        <w:pStyle w:val="Heading1"/>
      </w:pPr>
      <w:r>
        <w:t>Appendix A - How this document was produced</w:t>
      </w:r>
    </w:p>
    <w:p>
      <w:r>
        <w:rPr>
          <w:color w:val="595959"/>
          <w:sz w:val="20"/>
        </w:rPr>
        <w:t>This document was planned, written and quality-checked autonomously by a multi-agent pipeline (Planner → parallel Writers → Reviewer). The table below is the agent's own task list, including tasks it added for itself during the run.</w:t>
      </w:r>
    </w:p>
    <w:tbl>
      <w:tblPr>
        <w:tblStyle w:val="TableGrid"/>
        <w:tblW w:type="auto" w:w="0"/>
        <w:jc w:val="center"/>
        <w:tblBorders>
          <w:top w:val="single" w:sz="4" w:space="0" w:color="BFCBDA"/>
          <w:left w:val="single" w:sz="4" w:space="0" w:color="BFCBDA"/>
          <w:bottom w:val="single" w:sz="4" w:space="0" w:color="BFCBDA"/>
          <w:right w:val="single" w:sz="4" w:space="0" w:color="BFCBDA"/>
          <w:insideH w:val="single" w:sz="4" w:space="0" w:color="BFCBDA"/>
          <w:insideV w:val="single" w:sz="4" w:space="0" w:color="BFCBDA"/>
        </w:tblBorders>
        <w:tblLayout w:type="fixed"/>
        <w:tblLook w:firstColumn="1" w:firstRow="1" w:lastColumn="0" w:lastRow="0" w:noHBand="0" w:noVBand="1" w:val="04A0"/>
      </w:tblPr>
      <w:tblGrid>
        <w:gridCol w:w="1926"/>
        <w:gridCol w:w="1926"/>
        <w:gridCol w:w="1926"/>
        <w:gridCol w:w="1926"/>
        <w:gridCol w:w="1926"/>
      </w:tblGrid>
      <w:tr>
        <w:trPr>
          <w:cantSplit/>
          <w:tblHeader w:val="true"/>
        </w:trPr>
        <w:tc>
          <w:tcPr>
            <w:tcW w:type="dxa" w:w="567"/>
            <w:tcBorders>
              <w:top w:val="single" w:sz="4" w:space="0" w:color="1F3A5F"/>
              <w:left w:val="single" w:sz="4" w:space="0" w:color="1F3A5F"/>
              <w:bottom w:val="single" w:sz="4" w:space="0" w:color="1F3A5F"/>
              <w:right w:val="single" w:sz="4" w:space="0" w:color="1F3A5F"/>
            </w:tcBorders>
            <w:shd w:val="clear" w:color="auto" w:fill="1F3A5F"/>
          </w:tcPr>
          <w:p>
            <w:pPr>
              <w:keepNext/>
            </w:pPr>
            <w:r>
              <w:rPr>
                <w:b/>
                <w:color w:val="FFFFFF"/>
                <w:sz w:val="20"/>
              </w:rPr>
              <w:t>#</w:t>
            </w:r>
          </w:p>
        </w:tc>
        <w:tc>
          <w:tcPr>
            <w:tcW w:type="dxa" w:w="5216"/>
            <w:tcBorders>
              <w:top w:val="single" w:sz="4" w:space="0" w:color="1F3A5F"/>
              <w:left w:val="single" w:sz="4" w:space="0" w:color="1F3A5F"/>
              <w:bottom w:val="single" w:sz="4" w:space="0" w:color="1F3A5F"/>
              <w:right w:val="single" w:sz="4" w:space="0" w:color="1F3A5F"/>
            </w:tcBorders>
            <w:shd w:val="clear" w:color="auto" w:fill="1F3A5F"/>
          </w:tcPr>
          <w:p>
            <w:pPr>
              <w:keepNext/>
            </w:pPr>
            <w:r>
              <w:rPr>
                <w:b/>
                <w:color w:val="FFFFFF"/>
                <w:sz w:val="20"/>
              </w:rPr>
              <w:t>Task</w:t>
            </w:r>
          </w:p>
        </w:tc>
        <w:tc>
          <w:tcPr>
            <w:tcW w:type="dxa" w:w="1361"/>
            <w:tcBorders>
              <w:top w:val="single" w:sz="4" w:space="0" w:color="1F3A5F"/>
              <w:left w:val="single" w:sz="4" w:space="0" w:color="1F3A5F"/>
              <w:bottom w:val="single" w:sz="4" w:space="0" w:color="1F3A5F"/>
              <w:right w:val="single" w:sz="4" w:space="0" w:color="1F3A5F"/>
            </w:tcBorders>
            <w:shd w:val="clear" w:color="auto" w:fill="1F3A5F"/>
          </w:tcPr>
          <w:p>
            <w:pPr>
              <w:keepNext/>
            </w:pPr>
            <w:r>
              <w:rPr>
                <w:b/>
                <w:color w:val="FFFFFF"/>
                <w:sz w:val="20"/>
              </w:rPr>
              <w:t>Agent</w:t>
            </w:r>
          </w:p>
        </w:tc>
        <w:tc>
          <w:tcPr>
            <w:tcW w:type="dxa" w:w="1020"/>
            <w:tcBorders>
              <w:top w:val="single" w:sz="4" w:space="0" w:color="1F3A5F"/>
              <w:left w:val="single" w:sz="4" w:space="0" w:color="1F3A5F"/>
              <w:bottom w:val="single" w:sz="4" w:space="0" w:color="1F3A5F"/>
              <w:right w:val="single" w:sz="4" w:space="0" w:color="1F3A5F"/>
            </w:tcBorders>
            <w:shd w:val="clear" w:color="auto" w:fill="1F3A5F"/>
          </w:tcPr>
          <w:p>
            <w:pPr>
              <w:keepNext/>
            </w:pPr>
            <w:r>
              <w:rPr>
                <w:b/>
                <w:color w:val="FFFFFF"/>
                <w:sz w:val="20"/>
              </w:rPr>
              <w:t>Status</w:t>
            </w:r>
          </w:p>
        </w:tc>
        <w:tc>
          <w:tcPr>
            <w:tcW w:type="dxa" w:w="907"/>
            <w:tcBorders>
              <w:top w:val="single" w:sz="4" w:space="0" w:color="1F3A5F"/>
              <w:left w:val="single" w:sz="4" w:space="0" w:color="1F3A5F"/>
              <w:bottom w:val="single" w:sz="4" w:space="0" w:color="1F3A5F"/>
              <w:right w:val="single" w:sz="4" w:space="0" w:color="1F3A5F"/>
            </w:tcBorders>
            <w:shd w:val="clear" w:color="auto" w:fill="1F3A5F"/>
          </w:tcPr>
          <w:p>
            <w:pPr>
              <w:keepNext/>
            </w:pPr>
            <w:r>
              <w:rPr>
                <w:b/>
                <w:color w:val="FFFFFF"/>
                <w:sz w:val="20"/>
              </w:rPr>
              <w:t>Time</w:t>
            </w:r>
          </w:p>
        </w:tc>
      </w:tr>
      <w:tr>
        <w:trPr>
          <w:cantSplit/>
        </w:trPr>
        <w:tc>
          <w:tcPr>
            <w:tcW w:type="dxa" w:w="567"/>
          </w:tcPr>
          <w:p>
            <w:pPr>
              <w:keepNext/>
            </w:pPr>
            <w:r>
              <w:rPr>
                <w:sz w:val="20"/>
              </w:rPr>
              <w:t>1</w:t>
            </w:r>
          </w:p>
        </w:tc>
        <w:tc>
          <w:tcPr>
            <w:tcW w:type="dxa" w:w="5216"/>
          </w:tcPr>
          <w:p>
            <w:pPr>
              <w:keepNext/>
            </w:pPr>
            <w:r>
              <w:rPr>
                <w:sz w:val="20"/>
              </w:rPr>
              <w:t>Validate request and apply guardrails</w:t>
            </w:r>
          </w:p>
        </w:tc>
        <w:tc>
          <w:tcPr>
            <w:tcW w:type="dxa" w:w="1361"/>
          </w:tcPr>
          <w:p>
            <w:pPr>
              <w:keepNext/>
            </w:pPr>
            <w:r>
              <w:rPr>
                <w:sz w:val="20"/>
              </w:rPr>
              <w:t>Guardrails</w:t>
            </w:r>
          </w:p>
        </w:tc>
        <w:tc>
          <w:tcPr>
            <w:tcW w:type="dxa" w:w="1020"/>
          </w:tcPr>
          <w:p>
            <w:pPr>
              <w:keepNext/>
            </w:pPr>
            <w:r>
              <w:rPr>
                <w:sz w:val="20"/>
              </w:rPr>
              <w:t>Done</w:t>
            </w:r>
          </w:p>
        </w:tc>
        <w:tc>
          <w:tcPr>
            <w:tcW w:type="dxa" w:w="907"/>
          </w:tcPr>
          <w:p>
            <w:pPr>
              <w:keepNext/>
            </w:pPr>
            <w:r>
              <w:rPr>
                <w:sz w:val="20"/>
              </w:rPr>
              <w:t>0.0s</w:t>
            </w:r>
          </w:p>
        </w:tc>
      </w:tr>
      <w:tr>
        <w:trPr>
          <w:cantSplit/>
        </w:trPr>
        <w:tc>
          <w:tcPr>
            <w:tcW w:type="dxa" w:w="567"/>
            <w:shd w:val="clear" w:color="auto" w:fill="F2F6FC"/>
          </w:tcPr>
          <w:p>
            <w:pPr>
              <w:keepNext/>
            </w:pPr>
            <w:r>
              <w:rPr>
                <w:sz w:val="20"/>
              </w:rPr>
              <w:t>2</w:t>
            </w:r>
          </w:p>
        </w:tc>
        <w:tc>
          <w:tcPr>
            <w:tcW w:type="dxa" w:w="5216"/>
            <w:shd w:val="clear" w:color="auto" w:fill="F2F6FC"/>
          </w:tcPr>
          <w:p>
            <w:pPr>
              <w:keepNext/>
            </w:pPr>
            <w:r>
              <w:rPr>
                <w:sz w:val="20"/>
              </w:rPr>
              <w:t>Analyse request and build execution plan</w:t>
            </w:r>
          </w:p>
        </w:tc>
        <w:tc>
          <w:tcPr>
            <w:tcW w:type="dxa" w:w="1361"/>
            <w:shd w:val="clear" w:color="auto" w:fill="F2F6FC"/>
          </w:tcPr>
          <w:p>
            <w:pPr>
              <w:keepNext/>
            </w:pPr>
            <w:r>
              <w:rPr>
                <w:sz w:val="20"/>
              </w:rPr>
              <w:t>Planner</w:t>
            </w:r>
          </w:p>
        </w:tc>
        <w:tc>
          <w:tcPr>
            <w:tcW w:type="dxa" w:w="1020"/>
            <w:shd w:val="clear" w:color="auto" w:fill="F2F6FC"/>
          </w:tcPr>
          <w:p>
            <w:pPr>
              <w:keepNext/>
            </w:pPr>
            <w:r>
              <w:rPr>
                <w:sz w:val="20"/>
              </w:rPr>
              <w:t>Done</w:t>
            </w:r>
          </w:p>
        </w:tc>
        <w:tc>
          <w:tcPr>
            <w:tcW w:type="dxa" w:w="907"/>
            <w:shd w:val="clear" w:color="auto" w:fill="F2F6FC"/>
          </w:tcPr>
          <w:p>
            <w:pPr>
              <w:keepNext/>
            </w:pPr>
            <w:r>
              <w:rPr>
                <w:sz w:val="20"/>
              </w:rPr>
              <w:t>43.6s</w:t>
            </w:r>
          </w:p>
        </w:tc>
      </w:tr>
      <w:tr>
        <w:trPr>
          <w:cantSplit/>
        </w:trPr>
        <w:tc>
          <w:tcPr>
            <w:tcW w:type="dxa" w:w="567"/>
          </w:tcPr>
          <w:p>
            <w:pPr>
              <w:keepNext/>
            </w:pPr>
            <w:r>
              <w:rPr>
                <w:sz w:val="20"/>
              </w:rPr>
              <w:t>3</w:t>
            </w:r>
          </w:p>
        </w:tc>
        <w:tc>
          <w:tcPr>
            <w:tcW w:type="dxa" w:w="5216"/>
          </w:tcPr>
          <w:p>
            <w:pPr>
              <w:keepNext/>
            </w:pPr>
            <w:r>
              <w:rPr>
                <w:sz w:val="20"/>
              </w:rPr>
              <w:t>Write section 1: Executive Summary &amp; Project Scope</w:t>
            </w:r>
          </w:p>
        </w:tc>
        <w:tc>
          <w:tcPr>
            <w:tcW w:type="dxa" w:w="1361"/>
          </w:tcPr>
          <w:p>
            <w:pPr>
              <w:keepNext/>
            </w:pPr>
            <w:r>
              <w:rPr>
                <w:sz w:val="20"/>
              </w:rPr>
              <w:t>Writer</w:t>
            </w:r>
          </w:p>
        </w:tc>
        <w:tc>
          <w:tcPr>
            <w:tcW w:type="dxa" w:w="1020"/>
          </w:tcPr>
          <w:p>
            <w:pPr>
              <w:keepNext/>
            </w:pPr>
            <w:r>
              <w:rPr>
                <w:sz w:val="20"/>
              </w:rPr>
              <w:t>Done</w:t>
            </w:r>
          </w:p>
        </w:tc>
        <w:tc>
          <w:tcPr>
            <w:tcW w:type="dxa" w:w="907"/>
          </w:tcPr>
          <w:p>
            <w:pPr>
              <w:keepNext/>
            </w:pPr>
            <w:r>
              <w:rPr>
                <w:sz w:val="20"/>
              </w:rPr>
              <w:t>29.7s</w:t>
            </w:r>
          </w:p>
        </w:tc>
      </w:tr>
      <w:tr>
        <w:trPr>
          <w:cantSplit/>
        </w:trPr>
        <w:tc>
          <w:tcPr>
            <w:tcW w:type="dxa" w:w="567"/>
            <w:shd w:val="clear" w:color="auto" w:fill="F2F6FC"/>
          </w:tcPr>
          <w:p>
            <w:pPr>
              <w:keepNext/>
            </w:pPr>
            <w:r>
              <w:rPr>
                <w:sz w:val="20"/>
              </w:rPr>
              <w:t>4</w:t>
            </w:r>
          </w:p>
        </w:tc>
        <w:tc>
          <w:tcPr>
            <w:tcW w:type="dxa" w:w="5216"/>
            <w:shd w:val="clear" w:color="auto" w:fill="F2F6FC"/>
          </w:tcPr>
          <w:p>
            <w:pPr>
              <w:keepNext/>
            </w:pPr>
            <w:r>
              <w:rPr>
                <w:sz w:val="20"/>
              </w:rPr>
              <w:t>Write section 2: Detailed Cost Estimation Breakdown</w:t>
            </w:r>
          </w:p>
        </w:tc>
        <w:tc>
          <w:tcPr>
            <w:tcW w:type="dxa" w:w="1361"/>
            <w:shd w:val="clear" w:color="auto" w:fill="F2F6FC"/>
          </w:tcPr>
          <w:p>
            <w:pPr>
              <w:keepNext/>
            </w:pPr>
            <w:r>
              <w:rPr>
                <w:sz w:val="20"/>
              </w:rPr>
              <w:t>Writer</w:t>
            </w:r>
          </w:p>
        </w:tc>
        <w:tc>
          <w:tcPr>
            <w:tcW w:type="dxa" w:w="1020"/>
            <w:shd w:val="clear" w:color="auto" w:fill="F2F6FC"/>
          </w:tcPr>
          <w:p>
            <w:pPr>
              <w:keepNext/>
            </w:pPr>
            <w:r>
              <w:rPr>
                <w:sz w:val="20"/>
              </w:rPr>
              <w:t>Done</w:t>
            </w:r>
          </w:p>
        </w:tc>
        <w:tc>
          <w:tcPr>
            <w:tcW w:type="dxa" w:w="907"/>
            <w:shd w:val="clear" w:color="auto" w:fill="F2F6FC"/>
          </w:tcPr>
          <w:p>
            <w:pPr>
              <w:keepNext/>
            </w:pPr>
            <w:r>
              <w:rPr>
                <w:sz w:val="20"/>
              </w:rPr>
              <w:t>38.2s</w:t>
            </w:r>
          </w:p>
        </w:tc>
      </w:tr>
      <w:tr>
        <w:trPr>
          <w:cantSplit/>
        </w:trPr>
        <w:tc>
          <w:tcPr>
            <w:tcW w:type="dxa" w:w="567"/>
          </w:tcPr>
          <w:p>
            <w:pPr>
              <w:keepNext/>
            </w:pPr>
            <w:r>
              <w:rPr>
                <w:sz w:val="20"/>
              </w:rPr>
              <w:t>5</w:t>
            </w:r>
          </w:p>
        </w:tc>
        <w:tc>
          <w:tcPr>
            <w:tcW w:type="dxa" w:w="5216"/>
          </w:tcPr>
          <w:p>
            <w:pPr>
              <w:keepNext/>
            </w:pPr>
            <w:r>
              <w:rPr>
                <w:sz w:val="20"/>
              </w:rPr>
              <w:t>Write section 3: Construction Phasing &amp; Milestone Schedule</w:t>
            </w:r>
          </w:p>
        </w:tc>
        <w:tc>
          <w:tcPr>
            <w:tcW w:type="dxa" w:w="1361"/>
          </w:tcPr>
          <w:p>
            <w:pPr>
              <w:keepNext/>
            </w:pPr>
            <w:r>
              <w:rPr>
                <w:sz w:val="20"/>
              </w:rPr>
              <w:t>Writer</w:t>
            </w:r>
          </w:p>
        </w:tc>
        <w:tc>
          <w:tcPr>
            <w:tcW w:type="dxa" w:w="1020"/>
          </w:tcPr>
          <w:p>
            <w:pPr>
              <w:keepNext/>
            </w:pPr>
            <w:r>
              <w:rPr>
                <w:sz w:val="20"/>
              </w:rPr>
              <w:t>Done</w:t>
            </w:r>
          </w:p>
        </w:tc>
        <w:tc>
          <w:tcPr>
            <w:tcW w:type="dxa" w:w="907"/>
          </w:tcPr>
          <w:p>
            <w:pPr>
              <w:keepNext/>
            </w:pPr>
            <w:r>
              <w:rPr>
                <w:sz w:val="20"/>
              </w:rPr>
              <w:t>37.8s</w:t>
            </w:r>
          </w:p>
        </w:tc>
      </w:tr>
      <w:tr>
        <w:trPr>
          <w:cantSplit/>
        </w:trPr>
        <w:tc>
          <w:tcPr>
            <w:tcW w:type="dxa" w:w="567"/>
            <w:shd w:val="clear" w:color="auto" w:fill="F2F6FC"/>
          </w:tcPr>
          <w:p>
            <w:pPr>
              <w:keepNext/>
            </w:pPr>
            <w:r>
              <w:rPr>
                <w:sz w:val="20"/>
              </w:rPr>
              <w:t>6</w:t>
            </w:r>
          </w:p>
        </w:tc>
        <w:tc>
          <w:tcPr>
            <w:tcW w:type="dxa" w:w="5216"/>
            <w:shd w:val="clear" w:color="auto" w:fill="F2F6FC"/>
          </w:tcPr>
          <w:p>
            <w:pPr>
              <w:keepNext/>
            </w:pPr>
            <w:r>
              <w:rPr>
                <w:sz w:val="20"/>
              </w:rPr>
              <w:t>Write section 4: Material Specifications &amp; Procurement Plan</w:t>
            </w:r>
          </w:p>
        </w:tc>
        <w:tc>
          <w:tcPr>
            <w:tcW w:type="dxa" w:w="1361"/>
            <w:shd w:val="clear" w:color="auto" w:fill="F2F6FC"/>
          </w:tcPr>
          <w:p>
            <w:pPr>
              <w:keepNext/>
            </w:pPr>
            <w:r>
              <w:rPr>
                <w:sz w:val="20"/>
              </w:rPr>
              <w:t>Writer</w:t>
            </w:r>
          </w:p>
        </w:tc>
        <w:tc>
          <w:tcPr>
            <w:tcW w:type="dxa" w:w="1020"/>
            <w:shd w:val="clear" w:color="auto" w:fill="F2F6FC"/>
          </w:tcPr>
          <w:p>
            <w:pPr>
              <w:keepNext/>
            </w:pPr>
            <w:r>
              <w:rPr>
                <w:sz w:val="20"/>
              </w:rPr>
              <w:t>Done</w:t>
            </w:r>
          </w:p>
        </w:tc>
        <w:tc>
          <w:tcPr>
            <w:tcW w:type="dxa" w:w="907"/>
            <w:shd w:val="clear" w:color="auto" w:fill="F2F6FC"/>
          </w:tcPr>
          <w:p>
            <w:pPr>
              <w:keepNext/>
            </w:pPr>
            <w:r>
              <w:rPr>
                <w:sz w:val="20"/>
              </w:rPr>
              <w:t>31.8s</w:t>
            </w:r>
          </w:p>
        </w:tc>
      </w:tr>
      <w:tr>
        <w:trPr>
          <w:cantSplit/>
        </w:trPr>
        <w:tc>
          <w:tcPr>
            <w:tcW w:type="dxa" w:w="567"/>
          </w:tcPr>
          <w:p>
            <w:pPr>
              <w:keepNext/>
            </w:pPr>
            <w:r>
              <w:rPr>
                <w:sz w:val="20"/>
              </w:rPr>
              <w:t>7</w:t>
            </w:r>
          </w:p>
        </w:tc>
        <w:tc>
          <w:tcPr>
            <w:tcW w:type="dxa" w:w="5216"/>
          </w:tcPr>
          <w:p>
            <w:pPr>
              <w:keepNext/>
            </w:pPr>
            <w:r>
              <w:rPr>
                <w:sz w:val="20"/>
              </w:rPr>
              <w:t>Write section 5: Risk Management &amp; Cost Contingency</w:t>
            </w:r>
          </w:p>
        </w:tc>
        <w:tc>
          <w:tcPr>
            <w:tcW w:type="dxa" w:w="1361"/>
          </w:tcPr>
          <w:p>
            <w:pPr>
              <w:keepNext/>
            </w:pPr>
            <w:r>
              <w:rPr>
                <w:sz w:val="20"/>
              </w:rPr>
              <w:t>Writer</w:t>
            </w:r>
          </w:p>
        </w:tc>
        <w:tc>
          <w:tcPr>
            <w:tcW w:type="dxa" w:w="1020"/>
          </w:tcPr>
          <w:p>
            <w:pPr>
              <w:keepNext/>
            </w:pPr>
            <w:r>
              <w:rPr>
                <w:sz w:val="20"/>
              </w:rPr>
              <w:t>Done</w:t>
            </w:r>
          </w:p>
        </w:tc>
        <w:tc>
          <w:tcPr>
            <w:tcW w:type="dxa" w:w="907"/>
          </w:tcPr>
          <w:p>
            <w:pPr>
              <w:keepNext/>
            </w:pPr>
            <w:r>
              <w:rPr>
                <w:sz w:val="20"/>
              </w:rPr>
              <w:t>39.6s</w:t>
            </w:r>
          </w:p>
        </w:tc>
      </w:tr>
      <w:tr>
        <w:trPr>
          <w:cantSplit/>
        </w:trPr>
        <w:tc>
          <w:tcPr>
            <w:tcW w:type="dxa" w:w="567"/>
            <w:shd w:val="clear" w:color="auto" w:fill="F2F6FC"/>
          </w:tcPr>
          <w:p>
            <w:pPr>
              <w:keepNext/>
            </w:pPr>
            <w:r>
              <w:rPr>
                <w:sz w:val="20"/>
              </w:rPr>
              <w:t>8</w:t>
            </w:r>
          </w:p>
        </w:tc>
        <w:tc>
          <w:tcPr>
            <w:tcW w:type="dxa" w:w="5216"/>
            <w:shd w:val="clear" w:color="auto" w:fill="F2F6FC"/>
          </w:tcPr>
          <w:p>
            <w:pPr>
              <w:keepNext/>
            </w:pPr>
            <w:r>
              <w:rPr>
                <w:sz w:val="20"/>
              </w:rPr>
              <w:t>Self-review the full draft against the request</w:t>
            </w:r>
          </w:p>
        </w:tc>
        <w:tc>
          <w:tcPr>
            <w:tcW w:type="dxa" w:w="1361"/>
            <w:shd w:val="clear" w:color="auto" w:fill="F2F6FC"/>
          </w:tcPr>
          <w:p>
            <w:pPr>
              <w:keepNext/>
            </w:pPr>
            <w:r>
              <w:rPr>
                <w:sz w:val="20"/>
              </w:rPr>
              <w:t>Reviewer</w:t>
            </w:r>
          </w:p>
        </w:tc>
        <w:tc>
          <w:tcPr>
            <w:tcW w:type="dxa" w:w="1020"/>
            <w:shd w:val="clear" w:color="auto" w:fill="F2F6FC"/>
          </w:tcPr>
          <w:p>
            <w:pPr>
              <w:keepNext/>
            </w:pPr>
            <w:r>
              <w:rPr>
                <w:sz w:val="20"/>
              </w:rPr>
              <w:t>Done</w:t>
            </w:r>
          </w:p>
        </w:tc>
        <w:tc>
          <w:tcPr>
            <w:tcW w:type="dxa" w:w="907"/>
            <w:shd w:val="clear" w:color="auto" w:fill="F2F6FC"/>
          </w:tcPr>
          <w:p>
            <w:pPr>
              <w:keepNext/>
            </w:pPr>
            <w:r>
              <w:rPr>
                <w:sz w:val="20"/>
              </w:rPr>
              <w:t>33.2s</w:t>
            </w:r>
          </w:p>
        </w:tc>
      </w:tr>
      <w:tr>
        <w:trPr>
          <w:cantSplit/>
        </w:trPr>
        <w:tc>
          <w:tcPr>
            <w:tcW w:type="dxa" w:w="567"/>
          </w:tcPr>
          <w:p>
            <w:pPr>
              <w:keepNext/>
            </w:pPr>
            <w:r>
              <w:rPr>
                <w:sz w:val="20"/>
              </w:rPr>
              <w:t>9</w:t>
            </w:r>
          </w:p>
        </w:tc>
        <w:tc>
          <w:tcPr>
            <w:tcW w:type="dxa" w:w="5216"/>
          </w:tcPr>
          <w:p>
            <w:pPr>
              <w:keepNext/>
            </w:pPr>
            <w:r>
              <w:rPr>
                <w:sz w:val="20"/>
              </w:rPr>
              <w:t>Revise section 4: Material Specifications &amp; Procurement Plan</w:t>
            </w:r>
          </w:p>
        </w:tc>
        <w:tc>
          <w:tcPr>
            <w:tcW w:type="dxa" w:w="1361"/>
          </w:tcPr>
          <w:p>
            <w:pPr>
              <w:keepNext/>
            </w:pPr>
            <w:r>
              <w:rPr>
                <w:sz w:val="20"/>
              </w:rPr>
              <w:t>Writer</w:t>
            </w:r>
          </w:p>
        </w:tc>
        <w:tc>
          <w:tcPr>
            <w:tcW w:type="dxa" w:w="1020"/>
          </w:tcPr>
          <w:p>
            <w:pPr>
              <w:keepNext/>
            </w:pPr>
            <w:r>
              <w:rPr>
                <w:sz w:val="20"/>
              </w:rPr>
              <w:t>Done</w:t>
            </w:r>
          </w:p>
        </w:tc>
        <w:tc>
          <w:tcPr>
            <w:tcW w:type="dxa" w:w="907"/>
          </w:tcPr>
          <w:p>
            <w:pPr>
              <w:keepNext/>
            </w:pPr>
            <w:r>
              <w:rPr>
                <w:sz w:val="20"/>
              </w:rPr>
              <w:t>28.0s</w:t>
            </w:r>
          </w:p>
        </w:tc>
      </w:tr>
      <w:tr>
        <w:trPr>
          <w:cantSplit/>
        </w:trPr>
        <w:tc>
          <w:tcPr>
            <w:tcW w:type="dxa" w:w="567"/>
            <w:shd w:val="clear" w:color="auto" w:fill="F2F6FC"/>
          </w:tcPr>
          <w:p>
            <w:pPr>
              <w:keepNext/>
            </w:pPr>
            <w:r>
              <w:rPr>
                <w:sz w:val="20"/>
              </w:rPr>
              <w:t>10</w:t>
            </w:r>
          </w:p>
        </w:tc>
        <w:tc>
          <w:tcPr>
            <w:tcW w:type="dxa" w:w="5216"/>
            <w:shd w:val="clear" w:color="auto" w:fill="F2F6FC"/>
          </w:tcPr>
          <w:p>
            <w:pPr>
              <w:keepNext/>
            </w:pPr>
            <w:r>
              <w:rPr>
                <w:sz w:val="20"/>
              </w:rPr>
              <w:t>Revise section 1: Executive Summary &amp; Project Scope</w:t>
            </w:r>
          </w:p>
        </w:tc>
        <w:tc>
          <w:tcPr>
            <w:tcW w:type="dxa" w:w="1361"/>
            <w:shd w:val="clear" w:color="auto" w:fill="F2F6FC"/>
          </w:tcPr>
          <w:p>
            <w:pPr>
              <w:keepNext/>
            </w:pPr>
            <w:r>
              <w:rPr>
                <w:sz w:val="20"/>
              </w:rPr>
              <w:t>Writer</w:t>
            </w:r>
          </w:p>
        </w:tc>
        <w:tc>
          <w:tcPr>
            <w:tcW w:type="dxa" w:w="1020"/>
            <w:shd w:val="clear" w:color="auto" w:fill="F2F6FC"/>
          </w:tcPr>
          <w:p>
            <w:pPr>
              <w:keepNext/>
            </w:pPr>
            <w:r>
              <w:rPr>
                <w:sz w:val="20"/>
              </w:rPr>
              <w:t>Done</w:t>
            </w:r>
          </w:p>
        </w:tc>
        <w:tc>
          <w:tcPr>
            <w:tcW w:type="dxa" w:w="907"/>
            <w:shd w:val="clear" w:color="auto" w:fill="F2F6FC"/>
          </w:tcPr>
          <w:p>
            <w:pPr>
              <w:keepNext/>
            </w:pPr>
            <w:r>
              <w:rPr>
                <w:sz w:val="20"/>
              </w:rPr>
              <w:t>34.0s</w:t>
            </w:r>
          </w:p>
        </w:tc>
      </w:tr>
      <w:tr>
        <w:trPr>
          <w:cantSplit/>
        </w:trPr>
        <w:tc>
          <w:tcPr>
            <w:tcW w:type="dxa" w:w="567"/>
          </w:tcPr>
          <w:p>
            <w:pPr>
              <w:keepNext/>
            </w:pPr>
            <w:r>
              <w:rPr>
                <w:sz w:val="20"/>
              </w:rPr>
              <w:t>11</w:t>
            </w:r>
          </w:p>
        </w:tc>
        <w:tc>
          <w:tcPr>
            <w:tcW w:type="dxa" w:w="5216"/>
          </w:tcPr>
          <w:p>
            <w:pPr>
              <w:keepNext/>
            </w:pPr>
            <w:r>
              <w:rPr>
                <w:sz w:val="20"/>
              </w:rPr>
              <w:t>Revise section 2: Detailed Cost Estimation Breakdown</w:t>
            </w:r>
          </w:p>
        </w:tc>
        <w:tc>
          <w:tcPr>
            <w:tcW w:type="dxa" w:w="1361"/>
          </w:tcPr>
          <w:p>
            <w:pPr>
              <w:keepNext/>
            </w:pPr>
            <w:r>
              <w:rPr>
                <w:sz w:val="20"/>
              </w:rPr>
              <w:t>Writer</w:t>
            </w:r>
          </w:p>
        </w:tc>
        <w:tc>
          <w:tcPr>
            <w:tcW w:type="dxa" w:w="1020"/>
          </w:tcPr>
          <w:p>
            <w:pPr>
              <w:keepNext/>
            </w:pPr>
            <w:r>
              <w:rPr>
                <w:sz w:val="20"/>
              </w:rPr>
              <w:t>Done</w:t>
            </w:r>
          </w:p>
        </w:tc>
        <w:tc>
          <w:tcPr>
            <w:tcW w:type="dxa" w:w="907"/>
          </w:tcPr>
          <w:p>
            <w:pPr>
              <w:keepNext/>
            </w:pPr>
            <w:r>
              <w:rPr>
                <w:sz w:val="20"/>
              </w:rPr>
              <w:t>170.7s</w:t>
            </w:r>
          </w:p>
        </w:tc>
      </w:tr>
      <w:tr>
        <w:trPr>
          <w:cantSplit/>
        </w:trPr>
        <w:tc>
          <w:tcPr>
            <w:tcW w:type="dxa" w:w="567"/>
            <w:shd w:val="clear" w:color="auto" w:fill="F2F6FC"/>
          </w:tcPr>
          <w:p>
            <w:pPr>
              <w:keepNext/>
            </w:pPr>
            <w:r>
              <w:rPr>
                <w:sz w:val="20"/>
              </w:rPr>
              <w:t>12</w:t>
            </w:r>
          </w:p>
        </w:tc>
        <w:tc>
          <w:tcPr>
            <w:tcW w:type="dxa" w:w="5216"/>
            <w:shd w:val="clear" w:color="auto" w:fill="F2F6FC"/>
          </w:tcPr>
          <w:p>
            <w:pPr>
              <w:keepNext/>
            </w:pPr>
            <w:r>
              <w:rPr>
                <w:sz w:val="20"/>
              </w:rPr>
              <w:t>Verify fixes: re-review revised draft (round 2)</w:t>
            </w:r>
          </w:p>
        </w:tc>
        <w:tc>
          <w:tcPr>
            <w:tcW w:type="dxa" w:w="1361"/>
            <w:shd w:val="clear" w:color="auto" w:fill="F2F6FC"/>
          </w:tcPr>
          <w:p>
            <w:pPr>
              <w:keepNext/>
            </w:pPr>
            <w:r>
              <w:rPr>
                <w:sz w:val="20"/>
              </w:rPr>
              <w:t>Reviewer</w:t>
            </w:r>
          </w:p>
        </w:tc>
        <w:tc>
          <w:tcPr>
            <w:tcW w:type="dxa" w:w="1020"/>
            <w:shd w:val="clear" w:color="auto" w:fill="F2F6FC"/>
          </w:tcPr>
          <w:p>
            <w:pPr>
              <w:keepNext/>
            </w:pPr>
            <w:r>
              <w:rPr>
                <w:sz w:val="20"/>
              </w:rPr>
              <w:t>Done</w:t>
            </w:r>
          </w:p>
        </w:tc>
        <w:tc>
          <w:tcPr>
            <w:tcW w:type="dxa" w:w="907"/>
            <w:shd w:val="clear" w:color="auto" w:fill="F2F6FC"/>
          </w:tcPr>
          <w:p>
            <w:pPr>
              <w:keepNext/>
            </w:pPr>
            <w:r>
              <w:rPr>
                <w:sz w:val="20"/>
              </w:rPr>
              <w:t>2.0s</w:t>
            </w:r>
          </w:p>
        </w:tc>
      </w:tr>
      <w:tr>
        <w:trPr>
          <w:cantSplit/>
        </w:trPr>
        <w:tc>
          <w:tcPr>
            <w:tcW w:type="dxa" w:w="567"/>
          </w:tcPr>
          <w:p>
            <w:r>
              <w:rPr>
                <w:sz w:val="20"/>
              </w:rPr>
              <w:t>13</w:t>
            </w:r>
          </w:p>
        </w:tc>
        <w:tc>
          <w:tcPr>
            <w:tcW w:type="dxa" w:w="5216"/>
          </w:tcPr>
          <w:p>
            <w:r>
              <w:rPr>
                <w:sz w:val="20"/>
              </w:rPr>
              <w:t>Render Microsoft Word document</w:t>
            </w:r>
          </w:p>
        </w:tc>
        <w:tc>
          <w:tcPr>
            <w:tcW w:type="dxa" w:w="1361"/>
          </w:tcPr>
          <w:p>
            <w:r>
              <w:rPr>
                <w:sz w:val="20"/>
              </w:rPr>
              <w:t>Renderer</w:t>
            </w:r>
          </w:p>
        </w:tc>
        <w:tc>
          <w:tcPr>
            <w:tcW w:type="dxa" w:w="1020"/>
          </w:tcPr>
          <w:p>
            <w:r>
              <w:rPr>
                <w:sz w:val="20"/>
              </w:rPr>
              <w:t>Done</w:t>
            </w:r>
          </w:p>
        </w:tc>
        <w:tc>
          <w:tcPr>
            <w:tcW w:type="dxa" w:w="907"/>
          </w:tcPr>
          <w:p>
            <w:r>
              <w:rPr>
                <w:sz w:val="20"/>
              </w:rPr>
              <w:t>-</w:t>
            </w:r>
          </w:p>
        </w:tc>
      </w:tr>
    </w:tbl>
    <w:p>
      <w:pPr>
        <w:spacing w:after="40"/>
      </w:pPr>
    </w:p>
    <w:p>
      <w:pPr>
        <w:pStyle w:val="Heading2"/>
      </w:pPr>
      <w:r>
        <w:t>Quality review</w:t>
      </w:r>
    </w:p>
    <w:p>
      <w:r>
        <w:rPr/>
        <w:t xml:space="preserve">Initial score </w:t>
      </w:r>
      <w:r>
        <w:rPr>
          <w:b/>
        </w:rPr>
        <w:t>7/10</w:t>
      </w:r>
      <w:r>
        <w:rPr/>
        <w:t xml:space="preserve">, final score </w:t>
      </w:r>
      <w:r>
        <w:rPr>
          <w:b/>
        </w:rPr>
        <w:t>10/10</w:t>
      </w:r>
      <w:r>
        <w:rPr/>
        <w:t xml:space="preserve"> after revising: Material Specifications &amp; Procurement Plan, Executive Summary &amp; Project Scope, Detailed Cost Estimation Breakdown. Acceptance threshold: 8/10.</w:t>
      </w:r>
    </w:p>
    <w:p>
      <w:r>
        <w:rPr/>
        <w:t>Reviewer summary: The draft successfully addresses the previous critical issue regarding masonry costs and maintains consistency in budget allocations and dates. No new critical or major issues were found.</w:t>
      </w:r>
    </w:p>
    <w:p>
      <w:r>
        <w:rPr>
          <w:b/>
          <w:color w:val="1F3A5F"/>
        </w:rPr>
        <w:t>What the reviewer verified:</w:t>
      </w:r>
    </w:p>
    <w:p>
      <w:pPr>
        <w:pStyle w:val="ListBullet"/>
      </w:pPr>
      <w:r>
        <w:rPr>
          <w:sz w:val="20"/>
        </w:rPr>
        <w:t>PASS coverage: The draft addresses the construction cost estimate for a budget of ₹1,00,00,000, including breakdowns, schedule, materials, and risks as per the plan.</w:t>
      </w:r>
    </w:p>
    <w:p>
      <w:pPr>
        <w:pStyle w:val="ListBullet"/>
      </w:pPr>
      <w:r>
        <w:rPr>
          <w:sz w:val="20"/>
        </w:rPr>
        <w:t>PASS money: Total Budget: ₹1,00,00,000. Allocations: Structural ₹45,00,000 + Finishing ₹35,00,000 + Services ₹10,00,000 + Approvals/Contingency ₹10,00,000 = ₹1,00,00,000. Sub-allocations in Section 4: Structural (Cement 10L + Steel 12L + Masonry 8L = 30L, remaining 15L for labor/formwork) fits within 45L. Finishing (Flooring 8L + Fixtures 5L = 13L) fits within 35L. Contingency breakdown in Section 5 (2L+1.5L+1L+0.5L=5L) fits within the 10L allocation. No double-counting or over-allocation found.</w:t>
      </w:r>
    </w:p>
    <w:p>
      <w:pPr>
        <w:pStyle w:val="ListBullet"/>
      </w:pPr>
      <w:r>
        <w:rPr>
          <w:sz w:val="20"/>
        </w:rPr>
        <w:t>PASS dates: Start date Nov 15, 2026 is after today (Oct 22, 2026). Completion Nov 15, 2027 is after start. Milestones are sequential: Dec 31, 2026 -&gt; May 31, 2027 -&gt; Aug 31, 2027 -&gt; Oct 31, 2027 -&gt; Nov 15, 2027. All dates are in the future relative to today.</w:t>
      </w:r>
    </w:p>
    <w:p>
      <w:pPr>
        <w:pStyle w:val="ListBullet"/>
      </w:pPr>
      <w:r>
        <w:rPr>
          <w:sz w:val="20"/>
        </w:rPr>
        <w:t>PASS consistency: The previous critical issue regarding masonry cost (₹45,00,000) has been fixed to ₹8,00,000 in Section 4, which now aligns with Section 2's structural breakdown. Names, locations (Bengaluru), and budget figures are consistent across all sections.</w:t>
      </w:r>
    </w:p>
    <w:p>
      <w:pPr>
        <w:pStyle w:val="ListBullet"/>
      </w:pPr>
      <w:r>
        <w:rPr>
          <w:sz w:val="20"/>
        </w:rPr>
        <w:t>PASS fit: The tone is professional yet accessible, suitable for a property owner. Currency is INR, matching the locale.</w:t>
      </w:r>
    </w:p>
    <w:p>
      <w:pPr>
        <w:pStyle w:val="ListBullet"/>
      </w:pPr>
      <w:r>
        <w:rPr>
          <w:sz w:val="20"/>
        </w:rPr>
        <w:t>PASS facts: Bengaluru is in Karnataka. Construction costs and material prices (e.g., cement, steel) are plausible for the Indian market in 2026. Timeline of 12 months for a 2,000 sq ft house is realistic.</w:t>
      </w:r>
    </w:p>
    <w:p>
      <w:r>
        <w:rPr>
          <w:i/>
          <w:color w:val="595959"/>
          <w:sz w:val="18"/>
        </w:rPr>
        <w:t>Scoring: Computed by code from the reviewer's issues: 10 minus 3 per critical, 1.5 per major and 0.5 per minor issue, rounded down. This is an automated review, not a guarantee; please verify key figures before relying on them.</w:t>
      </w:r>
    </w:p>
    <w:p>
      <w:r>
        <w:rPr>
          <w:b/>
          <w:color w:val="595959"/>
          <w:sz w:val="18"/>
        </w:rPr>
        <w:t>Language models used by each agent:</w:t>
      </w:r>
    </w:p>
    <w:p>
      <w:pPr>
        <w:pStyle w:val="ListBullet"/>
      </w:pPr>
      <w:r>
        <w:rPr>
          <w:color w:val="595959"/>
          <w:sz w:val="18"/>
        </w:rPr>
        <w:t>Planner: gemini/gemini-3.5-flash-lite (1 call)</w:t>
      </w:r>
    </w:p>
    <w:p>
      <w:pPr>
        <w:pStyle w:val="ListBullet"/>
      </w:pPr>
      <w:r>
        <w:rPr>
          <w:color w:val="595959"/>
          <w:sz w:val="18"/>
        </w:rPr>
        <w:t>Writer: gemini/gemini-3.5-flash-lite (7 calls), groq/qwen/qwen3.8-27b (1 call)</w:t>
      </w:r>
    </w:p>
    <w:p>
      <w:pPr>
        <w:pStyle w:val="ListBullet"/>
      </w:pPr>
      <w:r>
        <w:rPr>
          <w:color w:val="595959"/>
          <w:sz w:val="18"/>
        </w:rPr>
        <w:t>Reviewer: gemini/gemini-3.5-flash-lite (1 call), groq/qwen/qwen3.8-27b (1 call)</w:t>
      </w:r>
    </w:p>
    <w:sectPr w:rsidR="00FC693F" w:rsidRPr="0006063C" w:rsidSect="00034616">
      <w:headerReference w:type="default" r:id="rId9"/>
      <w:footerReference w:type="default" r:id="rId10"/>
      <w:pgSz w:w="12240" w:h="15840"/>
      <w:pgMar w:top="1247" w:right="1304" w:bottom="1247" w:left="130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8"/>
      </w:rPr>
      <w:t xml:space="preserve">Page </w:t>
    </w:r>
    <w:r>
      <w:rPr>
        <w:color w:val="595959"/>
        <w:sz w:val="18"/>
      </w:rPr>
      <w:fldChar w:fldCharType="begin"/>
    </w:r>
    <w:r>
      <w:rPr>
        <w:color w:val="595959"/>
        <w:sz w:val="18"/>
      </w:rPr>
      <w:instrText xml:space="preserve"> PAGE </w:instrText>
    </w:r>
    <w:r>
      <w:rPr>
        <w:color w:val="595959"/>
        <w:sz w:val="18"/>
      </w:rPr>
      <w:fldChar w:fldCharType="separate"/>
    </w:r>
    <w:r>
      <w:rPr>
        <w:color w:val="595959"/>
        <w:sz w:val="18"/>
      </w:rPr>
      <w:t>1</w:t>
    </w:r>
    <w:r>
      <w:rPr>
        <w:color w:val="595959"/>
        <w:sz w:val="18"/>
      </w:rPr>
      <w:fldChar w:fldCharType="end"/>
    </w:r>
    <w:r>
      <w:rPr>
        <w:color w:val="595959"/>
        <w:sz w:val="18"/>
      </w:rPr>
      <w:t xml:space="preserve"> of </w:t>
    </w:r>
    <w:r>
      <w:rPr>
        <w:color w:val="595959"/>
        <w:sz w:val="18"/>
      </w:rPr>
      <w:fldChar w:fldCharType="begin"/>
    </w:r>
    <w:r>
      <w:rPr>
        <w:color w:val="595959"/>
        <w:sz w:val="18"/>
      </w:rPr>
      <w:instrText xml:space="preserve"> NUMPAGES </w:instrText>
    </w:r>
    <w:r>
      <w:rPr>
        <w:color w:val="595959"/>
        <w:sz w:val="18"/>
      </w:rPr>
      <w:fldChar w:fldCharType="separate"/>
    </w:r>
    <w:r>
      <w:rPr>
        <w:color w:val="595959"/>
        <w:sz w:val="18"/>
      </w:rPr>
      <w:t>1</w:t>
    </w:r>
    <w:r>
      <w:rPr>
        <w:color w:val="595959"/>
        <w:sz w:val="18"/>
      </w:rPr>
      <w:fldChar w:fldCharType="end"/>
    </w:r>
    <w:r>
      <w:rPr>
        <w:color w:val="595959"/>
        <w:sz w:val="18"/>
      </w:rPr>
      <w:t xml:space="preserve">   |   Ref 7b4be1037ea6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95959"/>
        <w:sz w:val="18"/>
      </w:rPr>
      <w:t>Residential Building Construction Cost Estimate and Master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Calibri" w:hAnsi="Calibri"/>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Calibri" w:hAnsi="Calibr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