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Connected Vehicle Intelligence Hackathon</w:t>
      </w:r>
    </w:p>
    <w:p>
      <w:pPr>
        <w:pStyle w:val="Heading1"/>
        <w:spacing w:after="300"/>
      </w:pPr>
      <w:r>
        <w:t xml:space="preserve">Solution Document</w:t>
      </w:r>
    </w:p>
    <w:p>
      <w:pPr>
        <w:spacing w:after="120"/>
      </w:pPr>
      <w:r>
        <w:t xml:space="preserve">Submission Format: PDF (export of this document)</w:t>
      </w:r>
    </w:p>
    <w:p>
      <w:pPr>
        <w:spacing w:after="120"/>
      </w:pPr>
      <w:r>
        <w:rPr>
          <w:b/>
          <w:bCs/>
        </w:rPr>
        <w:t xml:space="preserve">Team Name: </w:t>
      </w:r>
      <w:r>
        <w:t xml:space="preserve">[TEAM NAME]</w:t>
      </w:r>
    </w:p>
    <w:p>
      <w:pPr>
        <w:spacing w:after="120"/>
      </w:pPr>
      <w:r>
        <w:rPr>
          <w:b/>
          <w:bCs/>
        </w:rPr>
        <w:t xml:space="preserve">Team Members &amp; Roles: </w:t>
      </w:r>
      <w:r>
        <w:t xml:space="preserve">[Name – role – email, for each member]</w:t>
      </w:r>
    </w:p>
    <w:p>
      <w:pPr>
        <w:spacing w:after="120"/>
      </w:pPr>
      <w:r>
        <w:rPr>
          <w:b/>
          <w:bCs/>
        </w:rPr>
        <w:t xml:space="preserve">Problem Space Chosen: </w:t>
      </w:r>
      <w:r>
        <w:t xml:space="preserve">EV Charging and Battery Health — 30-day battery degradation prediction for connected-vehicle fleets</w:t>
      </w:r>
    </w:p>
    <w:p>
      <w:pPr>
        <w:spacing w:after="120"/>
      </w:pPr>
      <w:r>
        <w:rPr>
          <w:b/>
          <w:bCs/>
        </w:rPr>
        <w:t xml:space="preserve">Repository URL: </w:t>
      </w:r>
      <w:r>
        <w:t xml:space="preserve">[REPO URL]</w:t>
      </w:r>
    </w:p>
    <w:p>
      <w:pPr>
        <w:spacing w:after="120"/>
      </w:pPr>
      <w:r>
        <w:rPr>
          <w:b/>
          <w:bCs/>
        </w:rPr>
        <w:t xml:space="preserve">Demo Video URL (≤ 5 min): </w:t>
      </w:r>
      <w:r>
        <w:t xml:space="preserve">[VIDEO URL — see §13]</w:t>
      </w:r>
    </w:p>
    <w:p>
      <w:pPr>
        <w:spacing w:after="120"/>
      </w:pPr>
      <w:r>
        <w:rPr>
          <w:b/>
          <w:bCs/>
        </w:rPr>
        <w:t xml:space="preserve">Date of Submission: </w:t>
      </w:r>
      <w:r>
        <w:t xml:space="preserve">[DATE]</w:t>
      </w:r>
    </w:p>
    <w:p>
      <w:r>
        <w:br w:type="page"/>
      </w:r>
    </w:p>
    <w:p>
      <w:pPr>
        <w:pStyle w:val="Heading1"/>
        <w:spacing w:after="150" w:before="300"/>
      </w:pPr>
      <w:r>
        <w:t xml:space="preserve">Table of Contents</w:t>
      </w:r>
    </w:p>
    <w:p>
      <w:pPr>
        <w:pStyle w:val="ListParagraph"/>
        <w:numPr>
          <w:ilvl w:val="0"/>
          <w:numId w:val="1"/>
        </w:numPr>
        <w:spacing w:after="60"/>
      </w:pPr>
      <w:r>
        <w:t xml:space="preserve">1. Executive Summary</w:t>
      </w:r>
    </w:p>
    <w:p>
      <w:pPr>
        <w:pStyle w:val="ListParagraph"/>
        <w:numPr>
          <w:ilvl w:val="0"/>
          <w:numId w:val="1"/>
        </w:numPr>
        <w:spacing w:after="60"/>
      </w:pPr>
      <w:r>
        <w:t xml:space="preserve">2. Problem Statement &amp; Validation</w:t>
      </w:r>
    </w:p>
    <w:p>
      <w:pPr>
        <w:pStyle w:val="ListParagraph"/>
        <w:numPr>
          <w:ilvl w:val="0"/>
          <w:numId w:val="1"/>
        </w:numPr>
        <w:spacing w:after="60"/>
      </w:pPr>
      <w:r>
        <w:t xml:space="preserve">3. Solution Description</w:t>
      </w:r>
    </w:p>
    <w:p>
      <w:pPr>
        <w:pStyle w:val="ListParagraph"/>
        <w:numPr>
          <w:ilvl w:val="0"/>
          <w:numId w:val="1"/>
        </w:numPr>
        <w:spacing w:after="60"/>
      </w:pPr>
      <w:r>
        <w:t xml:space="preserve">4. Feature List</w:t>
      </w:r>
    </w:p>
    <w:p>
      <w:pPr>
        <w:pStyle w:val="ListParagraph"/>
        <w:numPr>
          <w:ilvl w:val="0"/>
          <w:numId w:val="1"/>
        </w:numPr>
        <w:spacing w:after="60"/>
      </w:pPr>
      <w:r>
        <w:t xml:space="preserve">5. Solution Architecture (High-Level Design)</w:t>
      </w:r>
    </w:p>
    <w:p>
      <w:pPr>
        <w:pStyle w:val="ListParagraph"/>
        <w:numPr>
          <w:ilvl w:val="0"/>
          <w:numId w:val="1"/>
        </w:numPr>
        <w:spacing w:after="60"/>
      </w:pPr>
      <w:r>
        <w:t xml:space="preserve">6. Low-Level Design</w:t>
      </w:r>
    </w:p>
    <w:p>
      <w:pPr>
        <w:pStyle w:val="ListParagraph"/>
        <w:numPr>
          <w:ilvl w:val="0"/>
          <w:numId w:val="1"/>
        </w:numPr>
        <w:spacing w:after="60"/>
      </w:pPr>
      <w:r>
        <w:t xml:space="preserve">7. Non-Functional Requirements &amp; Performance Benchmarks</w:t>
      </w:r>
    </w:p>
    <w:p>
      <w:pPr>
        <w:pStyle w:val="ListParagraph"/>
        <w:numPr>
          <w:ilvl w:val="0"/>
          <w:numId w:val="1"/>
        </w:numPr>
        <w:spacing w:after="60"/>
      </w:pPr>
      <w:r>
        <w:t xml:space="preserve">8. Security &amp; Compliance</w:t>
      </w:r>
    </w:p>
    <w:p>
      <w:pPr>
        <w:pStyle w:val="ListParagraph"/>
        <w:numPr>
          <w:ilvl w:val="0"/>
          <w:numId w:val="1"/>
        </w:numPr>
        <w:spacing w:after="60"/>
      </w:pPr>
      <w:r>
        <w:t xml:space="preserve">9. Test Strategy</w:t>
      </w:r>
    </w:p>
    <w:p>
      <w:pPr>
        <w:pStyle w:val="ListParagraph"/>
        <w:numPr>
          <w:ilvl w:val="0"/>
          <w:numId w:val="1"/>
        </w:numPr>
        <w:spacing w:after="60"/>
      </w:pPr>
      <w:r>
        <w:t xml:space="preserve">10. Observability</w:t>
      </w:r>
    </w:p>
    <w:p>
      <w:pPr>
        <w:pStyle w:val="ListParagraph"/>
        <w:numPr>
          <w:ilvl w:val="0"/>
          <w:numId w:val="1"/>
        </w:numPr>
        <w:spacing w:after="60"/>
      </w:pPr>
      <w:r>
        <w:t xml:space="preserve">11. AI / ML Component</w:t>
      </w:r>
    </w:p>
    <w:p>
      <w:pPr>
        <w:pStyle w:val="ListParagraph"/>
        <w:numPr>
          <w:ilvl w:val="0"/>
          <w:numId w:val="1"/>
        </w:numPr>
        <w:spacing w:after="60"/>
      </w:pPr>
      <w:r>
        <w:t xml:space="preserve">12. Architecture Decisions, Risks &amp; Future Enhancements</w:t>
      </w:r>
    </w:p>
    <w:p>
      <w:pPr>
        <w:pStyle w:val="ListParagraph"/>
        <w:numPr>
          <w:ilvl w:val="0"/>
          <w:numId w:val="1"/>
        </w:numPr>
        <w:spacing w:after="60"/>
      </w:pPr>
      <w:r>
        <w:t xml:space="preserve">13. Demo Video</w:t>
      </w:r>
    </w:p>
    <w:p>
      <w:pPr>
        <w:pStyle w:val="ListParagraph"/>
        <w:numPr>
          <w:ilvl w:val="0"/>
          <w:numId w:val="1"/>
        </w:numPr>
        <w:spacing w:after="60"/>
      </w:pPr>
      <w:r>
        <w:t xml:space="preserve">14. Repository Checklist</w:t>
      </w:r>
    </w:p>
    <w:p>
      <w:pPr>
        <w:pStyle w:val="ListParagraph"/>
        <w:numPr>
          <w:ilvl w:val="0"/>
          <w:numId w:val="1"/>
        </w:numPr>
        <w:spacing w:after="60"/>
      </w:pPr>
      <w:r>
        <w:t xml:space="preserve">15. Conclusion</w:t>
      </w:r>
    </w:p>
    <w:p>
      <w:pPr>
        <w:pStyle w:val="ListParagraph"/>
        <w:numPr>
          <w:ilvl w:val="0"/>
          <w:numId w:val="1"/>
        </w:numPr>
        <w:spacing w:after="60"/>
      </w:pPr>
      <w:r>
        <w:t xml:space="preserve">16. Declarations</w:t>
      </w:r>
    </w:p>
    <w:p>
      <w:pPr>
        <w:pStyle w:val="ListParagraph"/>
        <w:numPr>
          <w:ilvl w:val="0"/>
          <w:numId w:val="1"/>
        </w:numPr>
        <w:spacing w:after="60"/>
      </w:pPr>
      <w:r>
        <w:t xml:space="preserve">17. Appendix</w:t>
      </w:r>
    </w:p>
    <w:p>
      <w:r>
        <w:br w:type="page"/>
      </w:r>
    </w:p>
    <w:p>
      <w:pPr>
        <w:pStyle w:val="Heading1"/>
        <w:spacing w:after="150" w:before="300"/>
      </w:pPr>
      <w:r>
        <w:t xml:space="preserve">1. Executive Summary</w:t>
      </w:r>
    </w:p>
    <w:p>
      <w:pPr>
        <w:spacing w:after="120"/>
      </w:pPr>
      <w:r>
        <w:t xml:space="preserve">Connected fleets today expose current battery state (state of charge, state of health) but almost nothing about where a battery is headed. Fleet managers, lenders monitoring vehicle collateral, and OEMs offering battery warranties are all forced into reactive maintenance — they find out a battery has degraded badly only after it already has. This project builds a platform that answers a genuinely forward-looking question: given a vehicle's recent connected telemetry, how much will its battery degrade over the next 30 days, and which vehicles in a fleet need attention now.</w:t>
      </w:r>
    </w:p>
    <w:p>
      <w:pPr>
        <w:spacing w:after="120"/>
      </w:pPr>
      <w:r>
        <w:t xml:space="preserve">The solution is a full connected-vehicle data platform, not a model alone: a deterministic 100,000-vehicle simulator generates realistic telemetry (bounded-step physics, archetype-driven fleet composition, not i.i.d. noise); a Kafka-backed ingestion pipeline deduplicates, validates, and aggregates that telemetry into a polyglot store (PostgreSQL relational core, MongoDB raw firehose, Redis latest-state cache); a gradient-boosted regression model predicts 30-day battery degradation from engineered rolling features; and a JWT-secured, rate-limited dashboard with a guarded SQL sandbox surfaces live fleet state, risk-ranked vehicle lists, and real-time alerts.</w:t>
      </w:r>
    </w:p>
    <w:p>
      <w:pPr>
        <w:pStyle w:val="Heading2"/>
        <w:spacing w:after="120" w:before="240"/>
      </w:pPr>
      <w:r>
        <w:t xml:space="preserve">Key results achieved</w:t>
      </w:r>
    </w:p>
    <w:p>
      <w:pPr>
        <w:pStyle w:val="ListParagraph"/>
        <w:numPr>
          <w:ilvl w:val="0"/>
          <w:numId w:val="1"/>
        </w:numPr>
        <w:spacing w:after="60"/>
      </w:pPr>
      <w:r>
        <w:t xml:space="preserve">ML model beats a naive-persistence baseline by ~49% on held-out data: MAE 0.0165 vs baseline 0.0326 (RMSE 0.0252 vs 0.0542), on a real 200-vehicle/90-day simulated run (§11).</w:t>
      </w:r>
    </w:p>
    <w:p>
      <w:pPr>
        <w:pStyle w:val="ListParagraph"/>
        <w:numPr>
          <w:ilvl w:val="0"/>
          <w:numId w:val="1"/>
        </w:numPr>
        <w:spacing w:after="60"/>
      </w:pPr>
      <w:r>
        <w:t xml:space="preserve">API read latency, measured under 200 concurrent simulated dashboard users (k6, 16,203 requests): p95 = 60.84 ms, p99 = 93.4 ms — 3x and 5x better than the 200 ms / 500 ms targets, 100% success rate (§7).</w:t>
      </w:r>
    </w:p>
    <w:p>
      <w:pPr>
        <w:pStyle w:val="ListParagraph"/>
        <w:numPr>
          <w:ilvl w:val="0"/>
          <w:numId w:val="1"/>
        </w:numPr>
        <w:spacing w:after="60"/>
      </w:pPr>
      <w:r>
        <w:t xml:space="preserve">90 automated tests passing across all four services (data-gen 8, ingestion 24, ml 11, api 47) — verified, not just claimed (§9).</w:t>
      </w:r>
    </w:p>
    <w:p>
      <w:pPr>
        <w:pStyle w:val="ListParagraph"/>
        <w:numPr>
          <w:ilvl w:val="0"/>
          <w:numId w:val="1"/>
        </w:numPr>
        <w:spacing w:after="60"/>
      </w:pPr>
      <w:r>
        <w:t xml:space="preserve">Chaos/resilience test: an internal process crash in the ingestion service recovered automatically in 5.9 seconds with zero data loss (events_consumed_total continued climbing through the crash) (§9).</w:t>
      </w:r>
    </w:p>
    <w:p>
      <w:pPr>
        <w:pStyle w:val="ListParagraph"/>
        <w:numPr>
          <w:ilvl w:val="0"/>
          <w:numId w:val="1"/>
        </w:numPr>
        <w:spacing w:after="60"/>
      </w:pPr>
      <w:r>
        <w:t xml:space="preserve">A fully reproducible, deterministic data simulator — the same seed always produces the same fleet and the same telemetry, which is what makes the ML labels trustworthy (§11, ADR-4).</w:t>
      </w:r>
    </w:p>
    <w:p>
      <w:pPr>
        <w:pStyle w:val="Heading2"/>
        <w:spacing w:after="120" w:before="240"/>
      </w:pPr>
      <w:r>
        <w:t xml:space="preserve">What is unique about this solution</w:t>
      </w:r>
    </w:p>
    <w:p>
      <w:pPr>
        <w:pStyle w:val="ListParagraph"/>
        <w:numPr>
          <w:ilvl w:val="0"/>
          <w:numId w:val="1"/>
        </w:numPr>
        <w:spacing w:after="60"/>
      </w:pPr>
      <w:r>
        <w:t xml:space="preserve">Telemetry realism by construction: every continuous field evolves by a bounded step toward a physically-motivated target each tick (a control-systems convergence pattern), not by independent random sampling — enforced by an automated test, not just a design intent.</w:t>
      </w:r>
    </w:p>
    <w:p>
      <w:pPr>
        <w:pStyle w:val="ListParagraph"/>
        <w:numPr>
          <w:ilvl w:val="0"/>
          <w:numId w:val="1"/>
        </w:numPr>
        <w:spacing w:after="60"/>
      </w:pPr>
      <w:r>
        <w:t xml:space="preserve">A population-level realism technique: vehicles are assigned an archetype (Healthy/Normal/Stressed/Bad) at creation that biases their stress exposure, producing a realistic, right-skewed fleet distribution that is neither trivially separable nor flat/unlearnable — and this was verified directly against real data, not assumed.</w:t>
      </w:r>
    </w:p>
    <w:p>
      <w:pPr>
        <w:pStyle w:val="ListParagraph"/>
        <w:numPr>
          <w:ilvl w:val="0"/>
          <w:numId w:val="1"/>
        </w:numPr>
        <w:spacing w:after="60"/>
      </w:pPr>
      <w:r>
        <w:t xml:space="preserve">An honestly-documented empirical correction: the risk thresholds were originally set before any real data existed, and were found — once real predictions were examined — to make every single vehicle read LOW regardless of archetype. They were recalibrated against the real predicted-value distribution. This correction, and several others like it (a timezone bug, a threading race condition, a throughput bottleneck), are documented transparently in the Architecture Decision Records (§12) rather than hidden.</w:t>
      </w:r>
    </w:p>
    <w:p>
      <w:pPr>
        <w:pStyle w:val="ListParagraph"/>
        <w:numPr>
          <w:ilvl w:val="0"/>
          <w:numId w:val="1"/>
        </w:numPr>
        <w:spacing w:after="60"/>
      </w:pPr>
      <w:r>
        <w:t xml:space="preserve">A guarded, defense-in-depth SQL sandbox: a comment- and string-literal-aware SQL parser (not a naive keyword grep), a genuinely separate read-only Postgres role with table-level revokes, a hard statement timeout, and an always-rolled-back transaction — verified by automated tests including SQL-injection-style bypass attempts.</w:t>
      </w:r>
    </w:p>
    <w:p>
      <w:r>
        <w:br w:type="page"/>
      </w:r>
    </w:p>
    <w:p>
      <w:pPr>
        <w:pStyle w:val="Heading1"/>
        <w:spacing w:after="150" w:before="300"/>
      </w:pPr>
      <w:r>
        <w:t xml:space="preserve">2. Problem Statement &amp; Validation</w:t>
      </w:r>
    </w:p>
    <w:p>
      <w:pPr>
        <w:pStyle w:val="Heading2"/>
        <w:spacing w:after="120" w:before="240"/>
      </w:pPr>
      <w:r>
        <w:t xml:space="preserve">2.1 Problem Statement</w:t>
      </w:r>
    </w:p>
    <w:p>
      <w:pPr>
        <w:spacing w:after="120"/>
      </w:pPr>
      <w:r>
        <w:t xml:space="preserve">Fleet managers operating electric vehicle fleets need a way to know which vehicles' batteries are likely to degrade significantly in the near future, because today's connected-vehicle tooling only exposes current battery state (SOC/SOH), not forward-looking risk — which today costs them reactive, unplanned maintenance, unexpected vehicle downtime, and a higher total cost of ownership from batteries that are run to failure rather than proactively managed.</w:t>
      </w:r>
    </w:p>
    <w:p>
      <w:pPr>
        <w:spacing w:after="120"/>
      </w:pPr>
      <w:r>
        <w:rPr>
          <w:b/>
          <w:bCs/>
        </w:rPr>
        <w:t xml:space="preserve">Primary User: </w:t>
      </w:r>
      <w:r>
        <w:t xml:space="preserve">Fleet manager operating a mixed or fully-electric commercial fleet.</w:t>
      </w:r>
    </w:p>
    <w:p>
      <w:pPr>
        <w:spacing w:after="120"/>
      </w:pPr>
      <w:r>
        <w:rPr>
          <w:b/>
          <w:bCs/>
        </w:rPr>
        <w:t xml:space="preserve">Secondary Stakeholders: </w:t>
      </w:r>
      <w:r>
        <w:t xml:space="preserve">Lenders monitoring vehicle collateral health; OEMs managing battery warranty exposure; sustainability teams tracking premature battery replacement/e-waste.</w:t>
      </w:r>
    </w:p>
    <w:p>
      <w:pPr>
        <w:pStyle w:val="Heading2"/>
        <w:spacing w:after="120" w:before="240"/>
      </w:pPr>
      <w:r>
        <w:t xml:space="preserve">2.2 Evidence &amp; Validation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500"/>
        <w:gridCol w:w="1950"/>
      </w:tblGrid>
      <w:tr>
        <w:tc>
          <w:tcPr>
            <w:tcW w:type="dxa" w:w="2600"/>
            <w:shd w:fill="D9E2F3" w:val="clear"/>
          </w:tcPr>
          <w:p>
            <w:r>
              <w:rPr>
                <w:b/>
                <w:bCs/>
              </w:rPr>
              <w:t xml:space="preserve">Evidence / Assumption</w:t>
            </w:r>
          </w:p>
        </w:tc>
        <w:tc>
          <w:tcPr>
            <w:tcW w:type="dxa" w:w="2300"/>
            <w:shd w:fill="D9E2F3" w:val="clear"/>
          </w:tcPr>
          <w:p>
            <w:r>
              <w:rPr>
                <w:b/>
                <w:bCs/>
              </w:rPr>
              <w:t xml:space="preserve">Source or Method</w:t>
            </w:r>
          </w:p>
        </w:tc>
        <w:tc>
          <w:tcPr>
            <w:tcW w:type="dxa" w:w="2500"/>
            <w:shd w:fill="D9E2F3" w:val="clear"/>
          </w:tcPr>
          <w:p>
            <w:r>
              <w:rPr>
                <w:b/>
                <w:bCs/>
              </w:rPr>
              <w:t xml:space="preserve">What It Shows</w:t>
            </w:r>
          </w:p>
        </w:tc>
        <w:tc>
          <w:tcPr>
            <w:tcW w:type="dxa" w:w="1950"/>
            <w:shd w:fill="D9E2F3" w:val="clear"/>
          </w:tcPr>
          <w:p>
            <w:r>
              <w:rPr>
                <w:b/>
                <w:bCs/>
              </w:rPr>
              <w:t xml:space="preserve">Confidence</w:t>
            </w:r>
          </w:p>
        </w:tc>
      </w:tr>
      <w:tr>
        <w:tc>
          <w:tcPr>
            <w:tcW w:type="dxa" w:w="2600"/>
          </w:tcPr>
          <w:p>
            <w:r>
              <w:rPr>
                <w:b w:val="false"/>
                <w:bCs w:val="false"/>
              </w:rPr>
              <w:t xml:space="preserve">Connected vehicles continuously emit SOC, voltage, current, temperature and charging telemetry</w:t>
            </w:r>
          </w:p>
        </w:tc>
        <w:tc>
          <w:tcPr>
            <w:tcW w:type="dxa" w:w="2300"/>
          </w:tcPr>
          <w:p>
            <w:r>
              <w:rPr>
                <w:b w:val="false"/>
                <w:bCs w:val="false"/>
              </w:rPr>
              <w:t xml:space="preserve">Industry context supplied in the problem statement (Motorq: 250B+ signals/month across 500K+ vehicles)</w:t>
            </w:r>
          </w:p>
        </w:tc>
        <w:tc>
          <w:tcPr>
            <w:tcW w:type="dxa" w:w="2500"/>
          </w:tcPr>
          <w:p>
            <w:r>
              <w:rPr>
                <w:b w:val="false"/>
                <w:bCs w:val="false"/>
              </w:rPr>
              <w:t xml:space="preserve">The raw signal needed to assess battery health is already routinely collected in this industry</w:t>
            </w:r>
          </w:p>
        </w:tc>
        <w:tc>
          <w:tcPr>
            <w:tcW w:type="dxa" w:w="1950"/>
          </w:tcPr>
          <w:p>
            <w:r>
              <w:rPr>
                <w:b w:val="false"/>
                <w:bCs w:val="false"/>
              </w:rPr>
              <w:t xml:space="preserve">High</w:t>
            </w:r>
          </w:p>
        </w:tc>
      </w:tr>
      <w:tr>
        <w:tc>
          <w:tcPr>
            <w:tcW w:type="dxa" w:w="2600"/>
          </w:tcPr>
          <w:p>
            <w:r>
              <w:rPr>
                <w:b w:val="false"/>
                <w:bCs w:val="false"/>
              </w:rPr>
              <w:t xml:space="preserve">Battery degradation is driven by measurable stress factors — calendar age, cycle count, thermal exposure, fast-charging frequency, deep-discharge frequency</w:t>
            </w:r>
          </w:p>
        </w:tc>
        <w:tc>
          <w:tcPr>
            <w:tcW w:type="dxa" w:w="2300"/>
          </w:tcPr>
          <w:p>
            <w:r>
              <w:rPr>
                <w:b w:val="false"/>
                <w:bCs w:val="false"/>
              </w:rPr>
              <w:t xml:space="preserve">Established battery engineering principles (calendar + cycle aging models), implemented as this project's synthetic degradation formula (CONTRACT.md §9)</w:t>
            </w:r>
          </w:p>
        </w:tc>
        <w:tc>
          <w:tcPr>
            <w:tcW w:type="dxa" w:w="2500"/>
          </w:tcPr>
          <w:p>
            <w:r>
              <w:rPr>
                <w:b w:val="false"/>
                <w:bCs w:val="false"/>
              </w:rPr>
              <w:t xml:space="preserve">A forward degradation prediction is plausible in principle from telemetry-derived features, not just current SOH</w:t>
            </w:r>
          </w:p>
        </w:tc>
        <w:tc>
          <w:tcPr>
            <w:tcW w:type="dxa" w:w="1950"/>
          </w:tcPr>
          <w:p>
            <w:r>
              <w:rPr>
                <w:b w:val="false"/>
                <w:bCs w:val="false"/>
              </w:rPr>
              <w:t xml:space="preserve">High (well-established domain assumption; not independently re-derived from first principles here)</w:t>
            </w:r>
          </w:p>
        </w:tc>
      </w:tr>
      <w:tr>
        <w:tc>
          <w:tcPr>
            <w:tcW w:type="dxa" w:w="2600"/>
          </w:tcPr>
          <w:p>
            <w:r>
              <w:rPr>
                <w:b w:val="false"/>
                <w:bCs w:val="false"/>
              </w:rPr>
              <w:t xml:space="preserve">A model trained on these features can predict 30-day degradation meaningfully better than a naive baseline</w:t>
            </w:r>
          </w:p>
        </w:tc>
        <w:tc>
          <w:tcPr>
            <w:tcW w:type="dxa" w:w="2300"/>
          </w:tcPr>
          <w:p>
            <w:r>
              <w:rPr>
                <w:b w:val="false"/>
                <w:bCs w:val="false"/>
              </w:rPr>
              <w:t xml:space="preserve">Direct simulation + held-out evaluation on a real 200-vehicle/90-day run (this project's own experiment)</w:t>
            </w:r>
          </w:p>
        </w:tc>
        <w:tc>
          <w:tcPr>
            <w:tcW w:type="dxa" w:w="2500"/>
          </w:tcPr>
          <w:p>
            <w:r>
              <w:rPr>
                <w:b w:val="false"/>
                <w:bCs w:val="false"/>
              </w:rPr>
              <w:t xml:space="preserve">MAE 0.0165 vs baseline 0.0326 — a genuine, measured improvement, not an assumption</w:t>
            </w:r>
          </w:p>
        </w:tc>
        <w:tc>
          <w:tcPr>
            <w:tcW w:type="dxa" w:w="1950"/>
          </w:tcPr>
          <w:p>
            <w:r>
              <w:rPr>
                <w:b w:val="false"/>
                <w:bCs w:val="false"/>
              </w:rPr>
              <w:t xml:space="preserve">Medium-High for the synthetic setting; real-world transfer would need calibration against actual fleet telemetry</w:t>
            </w:r>
          </w:p>
        </w:tc>
      </w:tr>
      <w:tr>
        <w:tc>
          <w:tcPr>
            <w:tcW w:type="dxa" w:w="2600"/>
          </w:tcPr>
          <w:p>
            <w:r>
              <w:rPr>
                <w:b w:val="false"/>
                <w:bCs w:val="false"/>
              </w:rPr>
              <w:t xml:space="preserve">Existing OEM portals and aftermarket tools show current state and operational flags (e.g. idling, Motorq Fuse-style alerts) but not a forward battery-degradation prediction</w:t>
            </w:r>
          </w:p>
        </w:tc>
        <w:tc>
          <w:tcPr>
            <w:tcW w:type="dxa" w:w="2300"/>
          </w:tcPr>
          <w:p>
            <w:r>
              <w:rPr>
                <w:b w:val="false"/>
                <w:bCs w:val="false"/>
              </w:rPr>
              <w:t xml:space="preserve">Problem statement's own description of Motorq's product positioning and the broader OEM-portal category</w:t>
            </w:r>
          </w:p>
        </w:tc>
        <w:tc>
          <w:tcPr>
            <w:tcW w:type="dxa" w:w="2500"/>
          </w:tcPr>
          <w:p>
            <w:r>
              <w:rPr>
                <w:b w:val="false"/>
                <w:bCs w:val="false"/>
              </w:rPr>
              <w:t xml:space="preserve">This project's core decision (30-day degradation forecast) is not already solved by the referenced tools</w:t>
            </w:r>
          </w:p>
        </w:tc>
        <w:tc>
          <w:tcPr>
            <w:tcW w:type="dxa" w:w="1950"/>
          </w:tcPr>
          <w:p>
            <w:r>
              <w:rPr>
                <w:b w:val="false"/>
                <w:bCs w:val="false"/>
              </w:rPr>
              <w:t xml:space="preserve">Medium (based on supplied case-study material, not independent market research)</w:t>
            </w:r>
          </w:p>
        </w:tc>
      </w:tr>
    </w:tbl>
    <w:p>
      <w:pPr>
        <w:pStyle w:val="Heading2"/>
        <w:spacing w:after="120" w:before="240"/>
      </w:pPr>
      <w:r>
        <w:t xml:space="preserve">2.3 Impact &amp; Success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500"/>
        <w:gridCol w:w="1950"/>
      </w:tblGrid>
      <w:tr>
        <w:tc>
          <w:tcPr>
            <w:tcW w:type="dxa" w:w="2600"/>
            <w:shd w:fill="D9E2F3" w:val="clear"/>
          </w:tcPr>
          <w:p>
            <w:r>
              <w:rPr>
                <w:b/>
                <w:bCs/>
              </w:rPr>
              <w:t xml:space="preserve">Metric</w:t>
            </w:r>
          </w:p>
        </w:tc>
        <w:tc>
          <w:tcPr>
            <w:tcW w:type="dxa" w:w="2300"/>
            <w:shd w:fill="D9E2F3" w:val="clear"/>
          </w:tcPr>
          <w:p>
            <w:r>
              <w:rPr>
                <w:b/>
                <w:bCs/>
              </w:rPr>
              <w:t xml:space="preserve">Baseline Today</w:t>
            </w:r>
          </w:p>
        </w:tc>
        <w:tc>
          <w:tcPr>
            <w:tcW w:type="dxa" w:w="2500"/>
            <w:shd w:fill="D9E2F3" w:val="clear"/>
          </w:tcPr>
          <w:p>
            <w:r>
              <w:rPr>
                <w:b/>
                <w:bCs/>
              </w:rPr>
              <w:t xml:space="preserve">Target</w:t>
            </w:r>
          </w:p>
        </w:tc>
        <w:tc>
          <w:tcPr>
            <w:tcW w:type="dxa" w:w="1950"/>
            <w:shd w:fill="D9E2F3" w:val="clear"/>
          </w:tcPr>
          <w:p>
            <w:r>
              <w:rPr>
                <w:b/>
                <w:bCs/>
              </w:rPr>
              <w:t xml:space="preserve">How Measured / Estimated</w:t>
            </w:r>
          </w:p>
        </w:tc>
      </w:tr>
      <w:tr>
        <w:tc>
          <w:tcPr>
            <w:tcW w:type="dxa" w:w="2600"/>
          </w:tcPr>
          <w:p>
            <w:r>
              <w:rPr>
                <w:b w:val="false"/>
                <w:bCs w:val="false"/>
              </w:rPr>
              <w:t xml:space="preserve">Forward visibility into battery risk</w:t>
            </w:r>
          </w:p>
        </w:tc>
        <w:tc>
          <w:tcPr>
            <w:tcW w:type="dxa" w:w="2300"/>
          </w:tcPr>
          <w:p>
            <w:r>
              <w:rPr>
                <w:b w:val="false"/>
                <w:bCs w:val="false"/>
              </w:rPr>
              <w:t xml:space="preserve">None — only current SOC/SOH available, no predictive signal</w:t>
            </w:r>
          </w:p>
        </w:tc>
        <w:tc>
          <w:tcPr>
            <w:tcW w:type="dxa" w:w="2500"/>
          </w:tcPr>
          <w:p>
            <w:r>
              <w:rPr>
                <w:b w:val="false"/>
                <w:bCs w:val="false"/>
              </w:rPr>
              <w:t xml:space="preserve">Every vehicle classified LOW/MEDIUM/HIGH risk 30 days ahead</w:t>
            </w:r>
          </w:p>
        </w:tc>
        <w:tc>
          <w:tcPr>
            <w:tcW w:type="dxa" w:w="1950"/>
          </w:tcPr>
          <w:p>
            <w:r>
              <w:rPr>
                <w:b w:val="false"/>
                <w:bCs w:val="false"/>
              </w:rPr>
              <w:t xml:space="preserve">Model MAE 0.0165 vs naive-persistence baseline MAE 0.0326 (49% improvement) on held-out data</w:t>
            </w:r>
          </w:p>
        </w:tc>
      </w:tr>
      <w:tr>
        <w:tc>
          <w:tcPr>
            <w:tcW w:type="dxa" w:w="2600"/>
          </w:tcPr>
          <w:p>
            <w:r>
              <w:rPr>
                <w:b w:val="false"/>
                <w:bCs w:val="false"/>
              </w:rPr>
              <w:t xml:space="preserve">Proactive vs reactive maintenance scheduling</w:t>
            </w:r>
          </w:p>
        </w:tc>
        <w:tc>
          <w:tcPr>
            <w:tcW w:type="dxa" w:w="2300"/>
          </w:tcPr>
          <w:p>
            <w:r>
              <w:rPr>
                <w:b w:val="false"/>
                <w:bCs w:val="false"/>
              </w:rPr>
              <w:t xml:space="preserve">Reactive (fix after failure/complaint)</w:t>
            </w:r>
          </w:p>
        </w:tc>
        <w:tc>
          <w:tcPr>
            <w:tcW w:type="dxa" w:w="2500"/>
          </w:tcPr>
          <w:p>
            <w:r>
              <w:rPr>
                <w:b w:val="false"/>
                <w:bCs w:val="false"/>
              </w:rPr>
              <w:t xml:space="preserve">High-risk vehicles flagged via dashboard + alert before failure</w:t>
            </w:r>
          </w:p>
        </w:tc>
        <w:tc>
          <w:tcPr>
            <w:tcW w:type="dxa" w:w="1950"/>
          </w:tcPr>
          <w:p>
            <w:r>
              <w:rPr>
                <w:b w:val="false"/>
                <w:bCs w:val="false"/>
              </w:rPr>
              <w:t xml:space="preserve">battery_predictions + alerts tables populated automatically on each prediction run; verified via dashboard Risk page</w:t>
            </w:r>
          </w:p>
        </w:tc>
      </w:tr>
    </w:tbl>
    <w:p>
      <w:pPr>
        <w:spacing w:after="120"/>
      </w:pPr>
      <w:r>
        <w:t xml:space="preserve">Scale of impact: the architecture is designed to operate at 100,000 vehicles (the persistent fleet registry always generates at the full configured size regardless of which mode is used to build ML training history). The 30-day-degradation decision is per-vehicle and does not degrade in quality as fleet size grows; the throughput and latency NFRs (§7) are what actually gate how large a fleet this deployment can serve in real time.</w:t>
      </w:r>
    </w:p>
    <w:p>
      <w:pPr>
        <w:spacing w:after="120"/>
      </w:pPr>
      <w:r>
        <w:t xml:space="preserve">Wider impact: earlier detection of degrading batteries supports safer operation (reduced risk of unexpected range loss or thermal incidents), lower fleet operating cost (planned rather than emergency battery service), and an environmental benefit (extending useful battery life reduces premature replacement and the associated raw-material/manufacturing footprint).</w:t>
      </w:r>
    </w:p>
    <w:p>
      <w:r>
        <w:br w:type="page"/>
      </w:r>
    </w:p>
    <w:p>
      <w:pPr>
        <w:pStyle w:val="Heading1"/>
        <w:spacing w:after="150" w:before="300"/>
      </w:pPr>
      <w:r>
        <w:t xml:space="preserve">3. Solution Description</w:t>
      </w:r>
    </w:p>
    <w:p>
      <w:pPr>
        <w:pStyle w:val="Heading2"/>
        <w:spacing w:after="120" w:before="240"/>
      </w:pPr>
      <w:r>
        <w:t xml:space="preserve">3.1 Solution Overview &amp; User Journey</w:t>
      </w:r>
    </w:p>
    <w:p>
      <w:pPr>
        <w:spacing w:after="120"/>
      </w:pPr>
      <w:r>
        <w:t xml:space="preserve">What it does: the platform ingests simulated connected-vehicle telemetry at scale, maintains live per-vehicle state, derives a 30-day battery-degradation prediction per vehicle, classifies that prediction into a LOW/MEDIUM/HIGH risk level, and surfaces all of it — live fleet state, a searchable vehicle registry, real-time and ML-driven alerts, and risk-ranked lists — through a secured web dashboard.</w:t>
      </w:r>
    </w:p>
    <w:p>
      <w:pPr>
        <w:pStyle w:val="Heading3"/>
        <w:spacing w:after="100" w:before="180"/>
      </w:pPr>
      <w:r>
        <w:t xml:space="preserve">User journey</w:t>
      </w:r>
    </w:p>
    <w:p>
      <w:pPr>
        <w:pStyle w:val="ListParagraph"/>
        <w:numPr>
          <w:ilvl w:val="0"/>
          <w:numId w:val="1"/>
        </w:numPr>
        <w:spacing w:after="60"/>
      </w:pPr>
      <w:r>
        <w:t xml:space="preserve">A vehicle emits a telemetry event (SOC, voltage, current, temperature, charging state, odometer) -&gt; published to Kafka.</w:t>
      </w:r>
    </w:p>
    <w:p>
      <w:pPr>
        <w:pStyle w:val="ListParagraph"/>
        <w:numPr>
          <w:ilvl w:val="0"/>
          <w:numId w:val="1"/>
        </w:numPr>
        <w:spacing w:after="60"/>
      </w:pPr>
      <w:r>
        <w:t xml:space="preserve">The ingestion service deduplicates it (Bloom filter + a durable Mongo unique-index backstop), validates it against the contract's field ranges, and fans it out: raw copy to MongoDB, latest state to Redis, and folds it into an in-memory 5-minute/hourly/daily aggregation window.</w:t>
      </w:r>
    </w:p>
    <w:p>
      <w:pPr>
        <w:pStyle w:val="ListParagraph"/>
        <w:numPr>
          <w:ilvl w:val="0"/>
          <w:numId w:val="1"/>
        </w:numPr>
        <w:spacing w:after="60"/>
      </w:pPr>
      <w:r>
        <w:t xml:space="preserve">On a periodic flush, closed aggregation windows are written to PostgreSQL — this is the feature source for the ML model.</w:t>
      </w:r>
    </w:p>
    <w:p>
      <w:pPr>
        <w:pStyle w:val="ListParagraph"/>
        <w:numPr>
          <w:ilvl w:val="0"/>
          <w:numId w:val="1"/>
        </w:numPr>
        <w:spacing w:after="60"/>
      </w:pPr>
      <w:r>
        <w:t xml:space="preserve">On a training/prediction run, the ML service builds leakage-safe rolling features from those aggregates, predicts 30-day degradation with a trained model, and derives a risk level from a rule on top of that prediction.</w:t>
      </w:r>
    </w:p>
    <w:p>
      <w:pPr>
        <w:pStyle w:val="ListParagraph"/>
        <w:numPr>
          <w:ilvl w:val="0"/>
          <w:numId w:val="1"/>
        </w:numPr>
        <w:spacing w:after="60"/>
      </w:pPr>
      <w:r>
        <w:t xml:space="preserve">A fleet manager logs into the dashboard, sees the live fleet overview, opens the Risk &amp; ML page to see which vehicles are HIGH risk, drills into a specific vehicle's history and prediction, and acknowledges any open alert once handled.</w:t>
      </w:r>
    </w:p>
    <w:p>
      <w:pPr>
        <w:pStyle w:val="Heading3"/>
        <w:spacing w:after="100" w:before="180"/>
      </w:pPr>
      <w:r>
        <w:t xml:space="preserve">Screenshot</w:t>
      </w:r>
    </w:p>
    <w:p>
      <w:pPr>
        <w:spacing w:after="120"/>
      </w:pPr>
      <w:r>
        <w:t xml:space="preserve">The Fleet Overview page, showing real simulated fleet data (500 vehicles, live average SOH/SOC, open alerts, and archetype breakdown), confirmed working end-to-end during development. The architecture diagram is shown below as this section's illustration; a live dashboard screenshot and walkthrough are captured in the demo video (§13).</w:t>
      </w:r>
    </w:p>
    <w:p>
      <w:pPr>
        <w:spacing w:after="20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90850"/>
                    </a:xfrm>
                    <a:prstGeom prst="rect">
                      <a:avLst/>
                    </a:prstGeom>
                  </pic:spPr>
                </pic:pic>
              </a:graphicData>
            </a:graphic>
          </wp:inline>
        </w:drawing>
      </w:r>
    </w:p>
    <w:p>
      <w:pPr>
        <w:pStyle w:val="Heading2"/>
        <w:spacing w:after="120" w:before="240"/>
      </w:pPr>
      <w:r>
        <w:t xml:space="preserve">3.2 Key Value Proposition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D9E2F3" w:val="clear"/>
          </w:tcPr>
          <w:p>
            <w:r>
              <w:rPr>
                <w:b/>
                <w:bCs/>
              </w:rPr>
              <w:t xml:space="preserve">Aspect</w:t>
            </w:r>
          </w:p>
        </w:tc>
        <w:tc>
          <w:tcPr>
            <w:tcW w:type="dxa" w:w="6950"/>
            <w:shd w:fill="D9E2F3" w:val="clear"/>
          </w:tcPr>
          <w:p>
            <w:r>
              <w:rPr>
                <w:b/>
                <w:bCs/>
              </w:rPr>
              <w:t xml:space="preserve">Detail</w:t>
            </w:r>
          </w:p>
        </w:tc>
      </w:tr>
      <w:tr>
        <w:tc>
          <w:tcPr>
            <w:tcW w:type="dxa" w:w="2400"/>
          </w:tcPr>
          <w:p>
            <w:r>
              <w:rPr>
                <w:b w:val="false"/>
                <w:bCs w:val="false"/>
              </w:rPr>
              <w:t xml:space="preserve">Customer Job</w:t>
            </w:r>
          </w:p>
        </w:tc>
        <w:tc>
          <w:tcPr>
            <w:tcW w:type="dxa" w:w="6950"/>
          </w:tcPr>
          <w:p>
            <w:r>
              <w:rPr>
                <w:b w:val="false"/>
                <w:bCs w:val="false"/>
              </w:rPr>
              <w:t xml:space="preserve">Know which vehicles in the fleet need battery attention before they fail or degrade to the point of costly replacement.</w:t>
            </w:r>
          </w:p>
        </w:tc>
      </w:tr>
      <w:tr>
        <w:tc>
          <w:tcPr>
            <w:tcW w:type="dxa" w:w="2400"/>
          </w:tcPr>
          <w:p>
            <w:r>
              <w:rPr>
                <w:b w:val="false"/>
                <w:bCs w:val="false"/>
              </w:rPr>
              <w:t xml:space="preserve">Pain Relieved</w:t>
            </w:r>
          </w:p>
        </w:tc>
        <w:tc>
          <w:tcPr>
            <w:tcW w:type="dxa" w:w="6950"/>
          </w:tcPr>
          <w:p>
            <w:r>
              <w:rPr>
                <w:b w:val="false"/>
                <w:bCs w:val="false"/>
              </w:rPr>
              <w:t xml:space="preserve">Reactive-only maintenance driven by current-state-only tooling; no advance warning of degrading vehicles.</w:t>
            </w:r>
          </w:p>
        </w:tc>
      </w:tr>
      <w:tr>
        <w:tc>
          <w:tcPr>
            <w:tcW w:type="dxa" w:w="2400"/>
          </w:tcPr>
          <w:p>
            <w:r>
              <w:rPr>
                <w:b w:val="false"/>
                <w:bCs w:val="false"/>
              </w:rPr>
              <w:t xml:space="preserve">Gain Created</w:t>
            </w:r>
          </w:p>
        </w:tc>
        <w:tc>
          <w:tcPr>
            <w:tcW w:type="dxa" w:w="6950"/>
          </w:tcPr>
          <w:p>
            <w:r>
              <w:rPr>
                <w:b w:val="false"/>
                <w:bCs w:val="false"/>
              </w:rPr>
              <w:t xml:space="preserve">A prioritized, risk-ranked view of the whole fleet's future battery health, 30 days ahead, refreshed on demand.</w:t>
            </w:r>
          </w:p>
        </w:tc>
      </w:tr>
      <w:tr>
        <w:tc>
          <w:tcPr>
            <w:tcW w:type="dxa" w:w="2400"/>
          </w:tcPr>
          <w:p>
            <w:r>
              <w:rPr>
                <w:b w:val="false"/>
                <w:bCs w:val="false"/>
              </w:rPr>
              <w:t xml:space="preserve">Differentiation</w:t>
            </w:r>
          </w:p>
        </w:tc>
        <w:tc>
          <w:tcPr>
            <w:tcW w:type="dxa" w:w="6950"/>
          </w:tcPr>
          <w:p>
            <w:r>
              <w:rPr>
                <w:b w:val="false"/>
                <w:bCs w:val="false"/>
              </w:rPr>
              <w:t xml:space="preserve">Purpose-built forward-looking degradation prediction (not an operational-anomaly flag like idling detection); fully open, self-hosted architecture with no vendor lock-in and genuine cloud portability (no cloud-specific SDK calls anywhere in the codebase).</w:t>
            </w:r>
          </w:p>
        </w:tc>
      </w:tr>
    </w:tbl>
    <w:p>
      <w:pPr>
        <w:pStyle w:val="Heading2"/>
        <w:spacing w:after="120" w:before="240"/>
      </w:pPr>
      <w:r>
        <w:t xml:space="preserve">3.3 Innovative Ideas</w:t>
      </w:r>
    </w:p>
    <w:p>
      <w:pPr>
        <w:pStyle w:val="Heading3"/>
        <w:spacing w:after="100" w:before="180"/>
      </w:pPr>
      <w:r>
        <w:t xml:space="preserve">1. Physically-motivated, bounded-step telemetry generation</w:t>
      </w:r>
    </w:p>
    <w:p>
      <w:pPr>
        <w:spacing w:after="120"/>
      </w:pPr>
      <w:r>
        <w:t xml:space="preserve">Every continuous telemetry field (SOC, voltage, current, temperature, speed) evolves each simulated tick by a small bounded step toward a physically-motivated target, never by independent random sampling — the same mathematical pattern used in control-systems convergence. This is what prevents the classic synthetic-data failure mode (a field jumping incoherently between ticks) and is verified by an automated test (test_bounded_steps_driving_then_charging, part of the passing data-gen suite), not just claimed as a design intent.</w:t>
      </w:r>
    </w:p>
    <w:p>
      <w:pPr>
        <w:pStyle w:val="Heading3"/>
        <w:spacing w:after="100" w:before="180"/>
      </w:pPr>
      <w:r>
        <w:t xml:space="preserve">2. Archetype-driven, population-level realism</w:t>
      </w:r>
    </w:p>
    <w:p>
      <w:pPr>
        <w:spacing w:after="120"/>
      </w:pPr>
      <w:r>
        <w:t xml:space="preserve">Rather than generating a uniform or purely random fleet, each vehicle is assigned an archetype (HEALTHY/NORMAL/STRESSED/BAD) at creation, biasing its stress-exposure behavior (thermal, fast-charging, deep-discharge frequency). This produces a realistic, right-skewed fleet distribution — confirmed directly against real generated data: minimum observed SOH ordered exactly as expected across archetypes (HEALTHY 95.65% -&gt; NORMAL 94.56% -&gt; STRESSED 94.11% -&gt; BAD 93.2%) — strong enough signal for the ML model to learn, without being a trivially-separable four-cluster toy dataset.</w:t>
      </w:r>
    </w:p>
    <w:p>
      <w:pPr>
        <w:pStyle w:val="Heading3"/>
        <w:spacing w:after="100" w:before="180"/>
      </w:pPr>
      <w:r>
        <w:t xml:space="preserve">3. A contract-first, independently-parallelizable build process</w:t>
      </w:r>
    </w:p>
    <w:p>
      <w:pPr>
        <w:spacing w:after="120"/>
      </w:pPr>
      <w:r>
        <w:t xml:space="preserve">The entire platform was specified before any code was written as one shared machine-readable contract (CONTRACT.md: schemas, ports, event formats) plus four independent module specifications, explicitly designed so each of the four services could be built by a separate development session — including literally on two different physical machines — without shared context. This was executed for real, not just planned: the four services were built independently and merged cleanly, and the process caught a genuine cross-module bug in specification review alone (an inconsistency in which table the ML service should read historical battery state from) before any conflicting code was ever written.</w:t>
      </w:r>
    </w:p>
    <w:p>
      <w:r>
        <w:br w:type="page"/>
      </w:r>
    </w:p>
    <w:p>
      <w:pPr>
        <w:pStyle w:val="Heading1"/>
        <w:spacing w:after="150" w:before="300"/>
      </w:pPr>
      <w:r>
        <w:t xml:space="preserve">4. Feature List</w:t>
      </w:r>
    </w:p>
    <w:p>
      <w:pPr>
        <w:spacing w:after="120"/>
      </w:pPr>
      <w:r>
        <w:t xml:space="preserve">Every feature below is traceable to real code in the repository. Video column will be filled with the demo video timestamp once recorded (§13); all other columns reflect actual, verified status.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1000"/>
        <w:gridCol w:w="1200"/>
        <w:gridCol w:w="2050"/>
      </w:tblGrid>
      <w:tr>
        <w:tc>
          <w:tcPr>
            <w:tcW w:type="dxa" w:w="900"/>
            <w:shd w:fill="D9E2F3" w:val="clear"/>
          </w:tcPr>
          <w:p>
            <w:r>
              <w:rPr>
                <w:b/>
                <w:bCs/>
              </w:rPr>
              <w:t xml:space="preserve">ID</w:t>
            </w:r>
          </w:p>
        </w:tc>
        <w:tc>
          <w:tcPr>
            <w:tcW w:type="dxa" w:w="4200"/>
            <w:shd w:fill="D9E2F3" w:val="clear"/>
          </w:tcPr>
          <w:p>
            <w:r>
              <w:rPr>
                <w:b/>
                <w:bCs/>
              </w:rPr>
              <w:t xml:space="preserve">Feature</w:t>
            </w:r>
          </w:p>
        </w:tc>
        <w:tc>
          <w:tcPr>
            <w:tcW w:type="dxa" w:w="1000"/>
            <w:shd w:fill="D9E2F3" w:val="clear"/>
          </w:tcPr>
          <w:p>
            <w:r>
              <w:rPr>
                <w:b/>
                <w:bCs/>
              </w:rPr>
              <w:t xml:space="preserve">Priority</w:t>
            </w:r>
          </w:p>
        </w:tc>
        <w:tc>
          <w:tcPr>
            <w:tcW w:type="dxa" w:w="1200"/>
            <w:shd w:fill="D9E2F3" w:val="clear"/>
          </w:tcPr>
          <w:p>
            <w:r>
              <w:rPr>
                <w:b/>
                <w:bCs/>
              </w:rPr>
              <w:t xml:space="preserve">Status</w:t>
            </w:r>
          </w:p>
        </w:tc>
        <w:tc>
          <w:tcPr>
            <w:tcW w:type="dxa" w:w="2050"/>
            <w:shd w:fill="D9E2F3" w:val="clear"/>
          </w:tcPr>
          <w:p>
            <w:r>
              <w:rPr>
                <w:b/>
                <w:bCs/>
              </w:rPr>
              <w:t xml:space="preserve">Code Path</w:t>
            </w:r>
          </w:p>
        </w:tc>
      </w:tr>
      <w:tr>
        <w:tc>
          <w:tcPr>
            <w:tcW w:type="dxa" w:w="900"/>
          </w:tcPr>
          <w:p>
            <w:r>
              <w:rPr>
                <w:b w:val="false"/>
                <w:bCs w:val="false"/>
              </w:rPr>
              <w:t xml:space="preserve">F-01</w:t>
            </w:r>
          </w:p>
        </w:tc>
        <w:tc>
          <w:tcPr>
            <w:tcW w:type="dxa" w:w="4200"/>
          </w:tcPr>
          <w:p>
            <w:r>
              <w:rPr>
                <w:b w:val="false"/>
                <w:bCs w:val="false"/>
              </w:rPr>
              <w:t xml:space="preserve">100K-vehicle deterministic fleet simulator (3 modes: SHORT_BURST/LONGITUDINAL/DEMO)</w:t>
            </w:r>
          </w:p>
        </w:tc>
        <w:tc>
          <w:tcPr>
            <w:tcW w:type="dxa" w:w="1000"/>
          </w:tcPr>
          <w:p>
            <w:r>
              <w:rPr>
                <w:b w:val="false"/>
                <w:bCs w:val="false"/>
              </w:rPr>
              <w:t xml:space="preserve">Must</w:t>
            </w:r>
          </w:p>
        </w:tc>
        <w:tc>
          <w:tcPr>
            <w:tcW w:type="dxa" w:w="1200"/>
          </w:tcPr>
          <w:p>
            <w:r>
              <w:rPr>
                <w:b w:val="false"/>
                <w:bCs w:val="false"/>
              </w:rPr>
              <w:t xml:space="preserve">Done</w:t>
            </w:r>
          </w:p>
        </w:tc>
        <w:tc>
          <w:tcPr>
            <w:tcW w:type="dxa" w:w="2050"/>
          </w:tcPr>
          <w:p>
            <w:r>
              <w:rPr>
                <w:b w:val="false"/>
                <w:bCs w:val="false"/>
              </w:rPr>
              <w:t xml:space="preserve">services/data-gen</w:t>
            </w:r>
          </w:p>
        </w:tc>
      </w:tr>
      <w:tr>
        <w:tc>
          <w:tcPr>
            <w:tcW w:type="dxa" w:w="900"/>
          </w:tcPr>
          <w:p>
            <w:r>
              <w:rPr>
                <w:b w:val="false"/>
                <w:bCs w:val="false"/>
              </w:rPr>
              <w:t xml:space="preserve">F-02</w:t>
            </w:r>
          </w:p>
        </w:tc>
        <w:tc>
          <w:tcPr>
            <w:tcW w:type="dxa" w:w="4200"/>
          </w:tcPr>
          <w:p>
            <w:r>
              <w:rPr>
                <w:b w:val="false"/>
                <w:bCs w:val="false"/>
              </w:rPr>
              <w:t xml:space="preserve">Kafka ingestion: schema validation, Bloom-filter dedup, windowed aggregation</w:t>
            </w:r>
          </w:p>
        </w:tc>
        <w:tc>
          <w:tcPr>
            <w:tcW w:type="dxa" w:w="1000"/>
          </w:tcPr>
          <w:p>
            <w:r>
              <w:rPr>
                <w:b w:val="false"/>
                <w:bCs w:val="false"/>
              </w:rPr>
              <w:t xml:space="preserve">Must</w:t>
            </w:r>
          </w:p>
        </w:tc>
        <w:tc>
          <w:tcPr>
            <w:tcW w:type="dxa" w:w="1200"/>
          </w:tcPr>
          <w:p>
            <w:r>
              <w:rPr>
                <w:b w:val="false"/>
                <w:bCs w:val="false"/>
              </w:rPr>
              <w:t xml:space="preserve">Done</w:t>
            </w:r>
          </w:p>
        </w:tc>
        <w:tc>
          <w:tcPr>
            <w:tcW w:type="dxa" w:w="2050"/>
          </w:tcPr>
          <w:p>
            <w:r>
              <w:rPr>
                <w:b w:val="false"/>
                <w:bCs w:val="false"/>
              </w:rPr>
              <w:t xml:space="preserve">services/ingestion</w:t>
            </w:r>
          </w:p>
        </w:tc>
      </w:tr>
      <w:tr>
        <w:tc>
          <w:tcPr>
            <w:tcW w:type="dxa" w:w="900"/>
          </w:tcPr>
          <w:p>
            <w:r>
              <w:rPr>
                <w:b w:val="false"/>
                <w:bCs w:val="false"/>
              </w:rPr>
              <w:t xml:space="preserve">F-03</w:t>
            </w:r>
          </w:p>
        </w:tc>
        <w:tc>
          <w:tcPr>
            <w:tcW w:type="dxa" w:w="4200"/>
          </w:tcPr>
          <w:p>
            <w:r>
              <w:rPr>
                <w:b w:val="false"/>
                <w:bCs w:val="false"/>
              </w:rPr>
              <w:t xml:space="preserve">30-day battery degradation prediction (GBM vs naive baseline)</w:t>
            </w:r>
          </w:p>
        </w:tc>
        <w:tc>
          <w:tcPr>
            <w:tcW w:type="dxa" w:w="1000"/>
          </w:tcPr>
          <w:p>
            <w:r>
              <w:rPr>
                <w:b w:val="false"/>
                <w:bCs w:val="false"/>
              </w:rPr>
              <w:t xml:space="preserve">Must</w:t>
            </w:r>
          </w:p>
        </w:tc>
        <w:tc>
          <w:tcPr>
            <w:tcW w:type="dxa" w:w="1200"/>
          </w:tcPr>
          <w:p>
            <w:r>
              <w:rPr>
                <w:b w:val="false"/>
                <w:bCs w:val="false"/>
              </w:rPr>
              <w:t xml:space="preserve">Done</w:t>
            </w:r>
          </w:p>
        </w:tc>
        <w:tc>
          <w:tcPr>
            <w:tcW w:type="dxa" w:w="2050"/>
          </w:tcPr>
          <w:p>
            <w:r>
              <w:rPr>
                <w:b w:val="false"/>
                <w:bCs w:val="false"/>
              </w:rPr>
              <w:t xml:space="preserve">services/ml</w:t>
            </w:r>
          </w:p>
        </w:tc>
      </w:tr>
      <w:tr>
        <w:tc>
          <w:tcPr>
            <w:tcW w:type="dxa" w:w="900"/>
          </w:tcPr>
          <w:p>
            <w:r>
              <w:rPr>
                <w:b w:val="false"/>
                <w:bCs w:val="false"/>
              </w:rPr>
              <w:t xml:space="preserve">F-04</w:t>
            </w:r>
          </w:p>
        </w:tc>
        <w:tc>
          <w:tcPr>
            <w:tcW w:type="dxa" w:w="4200"/>
          </w:tcPr>
          <w:p>
            <w:r>
              <w:rPr>
                <w:b w:val="false"/>
                <w:bCs w:val="false"/>
              </w:rPr>
              <w:t xml:space="preserve">Risk classification (LOW/MEDIUM/HIGH), empirically calibrated</w:t>
            </w:r>
          </w:p>
        </w:tc>
        <w:tc>
          <w:tcPr>
            <w:tcW w:type="dxa" w:w="1000"/>
          </w:tcPr>
          <w:p>
            <w:r>
              <w:rPr>
                <w:b w:val="false"/>
                <w:bCs w:val="false"/>
              </w:rPr>
              <w:t xml:space="preserve">Must</w:t>
            </w:r>
          </w:p>
        </w:tc>
        <w:tc>
          <w:tcPr>
            <w:tcW w:type="dxa" w:w="1200"/>
          </w:tcPr>
          <w:p>
            <w:r>
              <w:rPr>
                <w:b w:val="false"/>
                <w:bCs w:val="false"/>
              </w:rPr>
              <w:t xml:space="preserve">Done</w:t>
            </w:r>
          </w:p>
        </w:tc>
        <w:tc>
          <w:tcPr>
            <w:tcW w:type="dxa" w:w="2050"/>
          </w:tcPr>
          <w:p>
            <w:r>
              <w:rPr>
                <w:b w:val="false"/>
                <w:bCs w:val="false"/>
              </w:rPr>
              <w:t xml:space="preserve">services/ml/src/risk_rules.py</w:t>
            </w:r>
          </w:p>
        </w:tc>
      </w:tr>
      <w:tr>
        <w:tc>
          <w:tcPr>
            <w:tcW w:type="dxa" w:w="900"/>
          </w:tcPr>
          <w:p>
            <w:r>
              <w:rPr>
                <w:b w:val="false"/>
                <w:bCs w:val="false"/>
              </w:rPr>
              <w:t xml:space="preserve">F-05</w:t>
            </w:r>
          </w:p>
        </w:tc>
        <w:tc>
          <w:tcPr>
            <w:tcW w:type="dxa" w:w="4200"/>
          </w:tcPr>
          <w:p>
            <w:r>
              <w:rPr>
                <w:b w:val="false"/>
                <w:bCs w:val="false"/>
              </w:rPr>
              <w:t xml:space="preserve">JWT auth + RBAC (Admin/Fleet Manager/Viewer)</w:t>
            </w:r>
          </w:p>
        </w:tc>
        <w:tc>
          <w:tcPr>
            <w:tcW w:type="dxa" w:w="1000"/>
          </w:tcPr>
          <w:p>
            <w:r>
              <w:rPr>
                <w:b w:val="false"/>
                <w:bCs w:val="false"/>
              </w:rPr>
              <w:t xml:space="preserve">Must</w:t>
            </w:r>
          </w:p>
        </w:tc>
        <w:tc>
          <w:tcPr>
            <w:tcW w:type="dxa" w:w="1200"/>
          </w:tcPr>
          <w:p>
            <w:r>
              <w:rPr>
                <w:b w:val="false"/>
                <w:bCs w:val="false"/>
              </w:rPr>
              <w:t xml:space="preserve">Done</w:t>
            </w:r>
          </w:p>
        </w:tc>
        <w:tc>
          <w:tcPr>
            <w:tcW w:type="dxa" w:w="2050"/>
          </w:tcPr>
          <w:p>
            <w:r>
              <w:rPr>
                <w:b w:val="false"/>
                <w:bCs w:val="false"/>
              </w:rPr>
              <w:t xml:space="preserve">services/dashboard/api/src/auth.py</w:t>
            </w:r>
          </w:p>
        </w:tc>
      </w:tr>
      <w:tr>
        <w:tc>
          <w:tcPr>
            <w:tcW w:type="dxa" w:w="900"/>
          </w:tcPr>
          <w:p>
            <w:r>
              <w:rPr>
                <w:b w:val="false"/>
                <w:bCs w:val="false"/>
              </w:rPr>
              <w:t xml:space="preserve">F-06</w:t>
            </w:r>
          </w:p>
        </w:tc>
        <w:tc>
          <w:tcPr>
            <w:tcW w:type="dxa" w:w="4200"/>
          </w:tcPr>
          <w:p>
            <w:r>
              <w:rPr>
                <w:b w:val="false"/>
                <w:bCs w:val="false"/>
              </w:rPr>
              <w:t xml:space="preserve">Per-user, per-endpoint rate limiting (Redis-backed)</w:t>
            </w:r>
          </w:p>
        </w:tc>
        <w:tc>
          <w:tcPr>
            <w:tcW w:type="dxa" w:w="1000"/>
          </w:tcPr>
          <w:p>
            <w:r>
              <w:rPr>
                <w:b w:val="false"/>
                <w:bCs w:val="false"/>
              </w:rPr>
              <w:t xml:space="preserve">Must</w:t>
            </w:r>
          </w:p>
        </w:tc>
        <w:tc>
          <w:tcPr>
            <w:tcW w:type="dxa" w:w="1200"/>
          </w:tcPr>
          <w:p>
            <w:r>
              <w:rPr>
                <w:b w:val="false"/>
                <w:bCs w:val="false"/>
              </w:rPr>
              <w:t xml:space="preserve">Done</w:t>
            </w:r>
          </w:p>
        </w:tc>
        <w:tc>
          <w:tcPr>
            <w:tcW w:type="dxa" w:w="2050"/>
          </w:tcPr>
          <w:p>
            <w:r>
              <w:rPr>
                <w:b w:val="false"/>
                <w:bCs w:val="false"/>
              </w:rPr>
              <w:t xml:space="preserve">services/dashboard/api/src/rate_limit.py</w:t>
            </w:r>
          </w:p>
        </w:tc>
      </w:tr>
      <w:tr>
        <w:tc>
          <w:tcPr>
            <w:tcW w:type="dxa" w:w="900"/>
          </w:tcPr>
          <w:p>
            <w:r>
              <w:rPr>
                <w:b w:val="false"/>
                <w:bCs w:val="false"/>
              </w:rPr>
              <w:t xml:space="preserve">F-07</w:t>
            </w:r>
          </w:p>
        </w:tc>
        <w:tc>
          <w:tcPr>
            <w:tcW w:type="dxa" w:w="4200"/>
          </w:tcPr>
          <w:p>
            <w:r>
              <w:rPr>
                <w:b w:val="false"/>
                <w:bCs w:val="false"/>
              </w:rPr>
              <w:t xml:space="preserve">Fleet overview dashboard, live via WebSocket</w:t>
            </w:r>
          </w:p>
        </w:tc>
        <w:tc>
          <w:tcPr>
            <w:tcW w:type="dxa" w:w="1000"/>
          </w:tcPr>
          <w:p>
            <w:r>
              <w:rPr>
                <w:b w:val="false"/>
                <w:bCs w:val="false"/>
              </w:rPr>
              <w:t xml:space="preserve">Must</w:t>
            </w:r>
          </w:p>
        </w:tc>
        <w:tc>
          <w:tcPr>
            <w:tcW w:type="dxa" w:w="1200"/>
          </w:tcPr>
          <w:p>
            <w:r>
              <w:rPr>
                <w:b w:val="false"/>
                <w:bCs w:val="false"/>
              </w:rPr>
              <w:t xml:space="preserve">Done</w:t>
            </w:r>
          </w:p>
        </w:tc>
        <w:tc>
          <w:tcPr>
            <w:tcW w:type="dxa" w:w="2050"/>
          </w:tcPr>
          <w:p>
            <w:r>
              <w:rPr>
                <w:b w:val="false"/>
                <w:bCs w:val="false"/>
              </w:rPr>
              <w:t xml:space="preserve">frontend/src/pages/FleetOverview.tsx</w:t>
            </w:r>
          </w:p>
        </w:tc>
      </w:tr>
      <w:tr>
        <w:tc>
          <w:tcPr>
            <w:tcW w:type="dxa" w:w="900"/>
          </w:tcPr>
          <w:p>
            <w:r>
              <w:rPr>
                <w:b w:val="false"/>
                <w:bCs w:val="false"/>
              </w:rPr>
              <w:t xml:space="preserve">F-08</w:t>
            </w:r>
          </w:p>
        </w:tc>
        <w:tc>
          <w:tcPr>
            <w:tcW w:type="dxa" w:w="4200"/>
          </w:tcPr>
          <w:p>
            <w:r>
              <w:rPr>
                <w:b w:val="false"/>
                <w:bCs w:val="false"/>
              </w:rPr>
              <w:t xml:space="preserve">Vehicle search + detail/history</w:t>
            </w:r>
          </w:p>
        </w:tc>
        <w:tc>
          <w:tcPr>
            <w:tcW w:type="dxa" w:w="1000"/>
          </w:tcPr>
          <w:p>
            <w:r>
              <w:rPr>
                <w:b w:val="false"/>
                <w:bCs w:val="false"/>
              </w:rPr>
              <w:t xml:space="preserve">Must</w:t>
            </w:r>
          </w:p>
        </w:tc>
        <w:tc>
          <w:tcPr>
            <w:tcW w:type="dxa" w:w="1200"/>
          </w:tcPr>
          <w:p>
            <w:r>
              <w:rPr>
                <w:b w:val="false"/>
                <w:bCs w:val="false"/>
              </w:rPr>
              <w:t xml:space="preserve">Done</w:t>
            </w:r>
          </w:p>
        </w:tc>
        <w:tc>
          <w:tcPr>
            <w:tcW w:type="dxa" w:w="2050"/>
          </w:tcPr>
          <w:p>
            <w:r>
              <w:rPr>
                <w:b w:val="false"/>
                <w:bCs w:val="false"/>
              </w:rPr>
              <w:t xml:space="preserve">frontend/src/pages/VehicleSearch.tsx, VehicleDetail.tsx</w:t>
            </w:r>
          </w:p>
        </w:tc>
      </w:tr>
      <w:tr>
        <w:tc>
          <w:tcPr>
            <w:tcW w:type="dxa" w:w="900"/>
          </w:tcPr>
          <w:p>
            <w:r>
              <w:rPr>
                <w:b w:val="false"/>
                <w:bCs w:val="false"/>
              </w:rPr>
              <w:t xml:space="preserve">F-09</w:t>
            </w:r>
          </w:p>
        </w:tc>
        <w:tc>
          <w:tcPr>
            <w:tcW w:type="dxa" w:w="4200"/>
          </w:tcPr>
          <w:p>
            <w:r>
              <w:rPr>
                <w:b w:val="false"/>
                <w:bCs w:val="false"/>
              </w:rPr>
              <w:t xml:space="preserve">Real-time rule-based alerts (high temp, deep discharge) + ML-driven high-risk alerts</w:t>
            </w:r>
          </w:p>
        </w:tc>
        <w:tc>
          <w:tcPr>
            <w:tcW w:type="dxa" w:w="1000"/>
          </w:tcPr>
          <w:p>
            <w:r>
              <w:rPr>
                <w:b w:val="false"/>
                <w:bCs w:val="false"/>
              </w:rPr>
              <w:t xml:space="preserve">Must</w:t>
            </w:r>
          </w:p>
        </w:tc>
        <w:tc>
          <w:tcPr>
            <w:tcW w:type="dxa" w:w="1200"/>
          </w:tcPr>
          <w:p>
            <w:r>
              <w:rPr>
                <w:b w:val="false"/>
                <w:bCs w:val="false"/>
              </w:rPr>
              <w:t xml:space="preserve">Done</w:t>
            </w:r>
          </w:p>
        </w:tc>
        <w:tc>
          <w:tcPr>
            <w:tcW w:type="dxa" w:w="2050"/>
          </w:tcPr>
          <w:p>
            <w:r>
              <w:rPr>
                <w:b w:val="false"/>
                <w:bCs w:val="false"/>
              </w:rPr>
              <w:t xml:space="preserve">services/ingestion/src/alert_rules.py, services/ml/src/predict.py</w:t>
            </w:r>
          </w:p>
        </w:tc>
      </w:tr>
      <w:tr>
        <w:tc>
          <w:tcPr>
            <w:tcW w:type="dxa" w:w="900"/>
          </w:tcPr>
          <w:p>
            <w:r>
              <w:rPr>
                <w:b w:val="false"/>
                <w:bCs w:val="false"/>
              </w:rPr>
              <w:t xml:space="preserve">F-10</w:t>
            </w:r>
          </w:p>
        </w:tc>
        <w:tc>
          <w:tcPr>
            <w:tcW w:type="dxa" w:w="4200"/>
          </w:tcPr>
          <w:p>
            <w:r>
              <w:rPr>
                <w:b w:val="false"/>
                <w:bCs w:val="false"/>
              </w:rPr>
              <w:t xml:space="preserve">Guarded read-only SQL sandbox</w:t>
            </w:r>
          </w:p>
        </w:tc>
        <w:tc>
          <w:tcPr>
            <w:tcW w:type="dxa" w:w="1000"/>
          </w:tcPr>
          <w:p>
            <w:r>
              <w:rPr>
                <w:b w:val="false"/>
                <w:bCs w:val="false"/>
              </w:rPr>
              <w:t xml:space="preserve">Should</w:t>
            </w:r>
          </w:p>
        </w:tc>
        <w:tc>
          <w:tcPr>
            <w:tcW w:type="dxa" w:w="1200"/>
          </w:tcPr>
          <w:p>
            <w:r>
              <w:rPr>
                <w:b w:val="false"/>
                <w:bCs w:val="false"/>
              </w:rPr>
              <w:t xml:space="preserve">Done</w:t>
            </w:r>
          </w:p>
        </w:tc>
        <w:tc>
          <w:tcPr>
            <w:tcW w:type="dxa" w:w="2050"/>
          </w:tcPr>
          <w:p>
            <w:r>
              <w:rPr>
                <w:b w:val="false"/>
                <w:bCs w:val="false"/>
              </w:rPr>
              <w:t xml:space="preserve">services/dashboard/api/src/routers/sql_sandbox_router.py</w:t>
            </w:r>
          </w:p>
        </w:tc>
      </w:tr>
      <w:tr>
        <w:tc>
          <w:tcPr>
            <w:tcW w:type="dxa" w:w="900"/>
          </w:tcPr>
          <w:p>
            <w:r>
              <w:rPr>
                <w:b w:val="false"/>
                <w:bCs w:val="false"/>
              </w:rPr>
              <w:t xml:space="preserve">F-11</w:t>
            </w:r>
          </w:p>
        </w:tc>
        <w:tc>
          <w:tcPr>
            <w:tcW w:type="dxa" w:w="4200"/>
          </w:tcPr>
          <w:p>
            <w:r>
              <w:rPr>
                <w:b w:val="false"/>
                <w:bCs w:val="false"/>
              </w:rPr>
              <w:t xml:space="preserve">Observability page (ingestion + API metrics)</w:t>
            </w:r>
          </w:p>
        </w:tc>
        <w:tc>
          <w:tcPr>
            <w:tcW w:type="dxa" w:w="1000"/>
          </w:tcPr>
          <w:p>
            <w:r>
              <w:rPr>
                <w:b w:val="false"/>
                <w:bCs w:val="false"/>
              </w:rPr>
              <w:t xml:space="preserve">Should</w:t>
            </w:r>
          </w:p>
        </w:tc>
        <w:tc>
          <w:tcPr>
            <w:tcW w:type="dxa" w:w="1200"/>
          </w:tcPr>
          <w:p>
            <w:r>
              <w:rPr>
                <w:b w:val="false"/>
                <w:bCs w:val="false"/>
              </w:rPr>
              <w:t xml:space="preserve">Done</w:t>
            </w:r>
          </w:p>
        </w:tc>
        <w:tc>
          <w:tcPr>
            <w:tcW w:type="dxa" w:w="2050"/>
          </w:tcPr>
          <w:p>
            <w:r>
              <w:rPr>
                <w:b w:val="false"/>
                <w:bCs w:val="false"/>
              </w:rPr>
              <w:t xml:space="preserve">services/dashboard/api/src/routers/observability_router.py</w:t>
            </w:r>
          </w:p>
        </w:tc>
      </w:tr>
      <w:tr>
        <w:tc>
          <w:tcPr>
            <w:tcW w:type="dxa" w:w="900"/>
          </w:tcPr>
          <w:p>
            <w:r>
              <w:rPr>
                <w:b w:val="false"/>
                <w:bCs w:val="false"/>
              </w:rPr>
              <w:t xml:space="preserve">F-12</w:t>
            </w:r>
          </w:p>
        </w:tc>
        <w:tc>
          <w:tcPr>
            <w:tcW w:type="dxa" w:w="4200"/>
          </w:tcPr>
          <w:p>
            <w:r>
              <w:rPr>
                <w:b w:val="false"/>
                <w:bCs w:val="false"/>
              </w:rPr>
              <w:t xml:space="preserve">Simulation control panel (start/pause/reset, live progress/ETA)</w:t>
            </w:r>
          </w:p>
        </w:tc>
        <w:tc>
          <w:tcPr>
            <w:tcW w:type="dxa" w:w="1000"/>
          </w:tcPr>
          <w:p>
            <w:r>
              <w:rPr>
                <w:b w:val="false"/>
                <w:bCs w:val="false"/>
              </w:rPr>
              <w:t xml:space="preserve">Should</w:t>
            </w:r>
          </w:p>
        </w:tc>
        <w:tc>
          <w:tcPr>
            <w:tcW w:type="dxa" w:w="1200"/>
          </w:tcPr>
          <w:p>
            <w:r>
              <w:rPr>
                <w:b w:val="false"/>
                <w:bCs w:val="false"/>
              </w:rPr>
              <w:t xml:space="preserve">Done</w:t>
            </w:r>
          </w:p>
        </w:tc>
        <w:tc>
          <w:tcPr>
            <w:tcW w:type="dxa" w:w="2050"/>
          </w:tcPr>
          <w:p>
            <w:r>
              <w:rPr>
                <w:b w:val="false"/>
                <w:bCs w:val="false"/>
              </w:rPr>
              <w:t xml:space="preserve">frontend/src/pages/SimulationControlPage.tsx</w:t>
            </w:r>
          </w:p>
        </w:tc>
      </w:tr>
      <w:tr>
        <w:tc>
          <w:tcPr>
            <w:tcW w:type="dxa" w:w="900"/>
          </w:tcPr>
          <w:p>
            <w:r>
              <w:rPr>
                <w:b w:val="false"/>
                <w:bCs w:val="false"/>
              </w:rPr>
              <w:t xml:space="preserve">F-13</w:t>
            </w:r>
          </w:p>
        </w:tc>
        <w:tc>
          <w:tcPr>
            <w:tcW w:type="dxa" w:w="4200"/>
          </w:tcPr>
          <w:p>
            <w:r>
              <w:rPr>
                <w:b w:val="false"/>
                <w:bCs w:val="false"/>
              </w:rPr>
              <w:t xml:space="preserve">Chaos-tested self-healing (Docker restart policy + Kafka replay)</w:t>
            </w:r>
          </w:p>
        </w:tc>
        <w:tc>
          <w:tcPr>
            <w:tcW w:type="dxa" w:w="1000"/>
          </w:tcPr>
          <w:p>
            <w:r>
              <w:rPr>
                <w:b w:val="false"/>
                <w:bCs w:val="false"/>
              </w:rPr>
              <w:t xml:space="preserve">Should</w:t>
            </w:r>
          </w:p>
        </w:tc>
        <w:tc>
          <w:tcPr>
            <w:tcW w:type="dxa" w:w="1200"/>
          </w:tcPr>
          <w:p>
            <w:r>
              <w:rPr>
                <w:b w:val="false"/>
                <w:bCs w:val="false"/>
              </w:rPr>
              <w:t xml:space="preserve">Done</w:t>
            </w:r>
          </w:p>
        </w:tc>
        <w:tc>
          <w:tcPr>
            <w:tcW w:type="dxa" w:w="2050"/>
          </w:tcPr>
          <w:p>
            <w:r>
              <w:rPr>
                <w:b w:val="false"/>
                <w:bCs w:val="false"/>
              </w:rPr>
              <w:t xml:space="preserve">docker-compose.yml, test-evidence/chaos_demo.ps1</w:t>
            </w:r>
          </w:p>
        </w:tc>
      </w:tr>
      <w:tr>
        <w:tc>
          <w:tcPr>
            <w:tcW w:type="dxa" w:w="900"/>
          </w:tcPr>
          <w:p>
            <w:r>
              <w:rPr>
                <w:b w:val="false"/>
                <w:bCs w:val="false"/>
              </w:rPr>
              <w:t xml:space="preserve">F-14</w:t>
            </w:r>
          </w:p>
        </w:tc>
        <w:tc>
          <w:tcPr>
            <w:tcW w:type="dxa" w:w="4200"/>
          </w:tcPr>
          <w:p>
            <w:r>
              <w:rPr>
                <w:b w:val="false"/>
                <w:bCs w:val="false"/>
              </w:rPr>
              <w:t xml:space="preserve">Automated test suites (90 tests across 4 services)</w:t>
            </w:r>
          </w:p>
        </w:tc>
        <w:tc>
          <w:tcPr>
            <w:tcW w:type="dxa" w:w="1000"/>
          </w:tcPr>
          <w:p>
            <w:r>
              <w:rPr>
                <w:b w:val="false"/>
                <w:bCs w:val="false"/>
              </w:rPr>
              <w:t xml:space="preserve">Must</w:t>
            </w:r>
          </w:p>
        </w:tc>
        <w:tc>
          <w:tcPr>
            <w:tcW w:type="dxa" w:w="1200"/>
          </w:tcPr>
          <w:p>
            <w:r>
              <w:rPr>
                <w:b w:val="false"/>
                <w:bCs w:val="false"/>
              </w:rPr>
              <w:t xml:space="preserve">Done</w:t>
            </w:r>
          </w:p>
        </w:tc>
        <w:tc>
          <w:tcPr>
            <w:tcW w:type="dxa" w:w="2050"/>
          </w:tcPr>
          <w:p>
            <w:r>
              <w:rPr>
                <w:b w:val="false"/>
                <w:bCs w:val="false"/>
              </w:rPr>
              <w:t xml:space="preserve">services/*/tests/</w:t>
            </w:r>
          </w:p>
        </w:tc>
      </w:tr>
      <w:tr>
        <w:tc>
          <w:tcPr>
            <w:tcW w:type="dxa" w:w="900"/>
          </w:tcPr>
          <w:p>
            <w:r>
              <w:rPr>
                <w:b w:val="false"/>
                <w:bCs w:val="false"/>
              </w:rPr>
              <w:t xml:space="preserve">F-15</w:t>
            </w:r>
          </w:p>
        </w:tc>
        <w:tc>
          <w:tcPr>
            <w:tcW w:type="dxa" w:w="4200"/>
          </w:tcPr>
          <w:p>
            <w:r>
              <w:rPr>
                <w:b w:val="false"/>
                <w:bCs w:val="false"/>
              </w:rPr>
              <w:t xml:space="preserve">k6-load-tested API (p95/p99 well under target)</w:t>
            </w:r>
          </w:p>
        </w:tc>
        <w:tc>
          <w:tcPr>
            <w:tcW w:type="dxa" w:w="1000"/>
          </w:tcPr>
          <w:p>
            <w:r>
              <w:rPr>
                <w:b w:val="false"/>
                <w:bCs w:val="false"/>
              </w:rPr>
              <w:t xml:space="preserve">Should</w:t>
            </w:r>
          </w:p>
        </w:tc>
        <w:tc>
          <w:tcPr>
            <w:tcW w:type="dxa" w:w="1200"/>
          </w:tcPr>
          <w:p>
            <w:r>
              <w:rPr>
                <w:b w:val="false"/>
                <w:bCs w:val="false"/>
              </w:rPr>
              <w:t xml:space="preserve">Done</w:t>
            </w:r>
          </w:p>
        </w:tc>
        <w:tc>
          <w:tcPr>
            <w:tcW w:type="dxa" w:w="2050"/>
          </w:tcPr>
          <w:p>
            <w:r>
              <w:rPr>
                <w:b w:val="false"/>
                <w:bCs w:val="false"/>
              </w:rPr>
              <w:t xml:space="preserve">infra/k6/burst_load_test.js</w:t>
            </w:r>
          </w:p>
        </w:tc>
      </w:tr>
      <w:tr>
        <w:tc>
          <w:tcPr>
            <w:tcW w:type="dxa" w:w="900"/>
          </w:tcPr>
          <w:p>
            <w:r>
              <w:rPr>
                <w:b w:val="false"/>
                <w:bCs w:val="false"/>
              </w:rPr>
              <w:t xml:space="preserve">F-16</w:t>
            </w:r>
          </w:p>
        </w:tc>
        <w:tc>
          <w:tcPr>
            <w:tcW w:type="dxa" w:w="4200"/>
          </w:tcPr>
          <w:p>
            <w:r>
              <w:rPr>
                <w:b w:val="false"/>
                <w:bCs w:val="false"/>
              </w:rPr>
              <w:t xml:space="preserve">100K-vehicle ingest throughput proof (SHORT_BURST)</w:t>
            </w:r>
          </w:p>
        </w:tc>
        <w:tc>
          <w:tcPr>
            <w:tcW w:type="dxa" w:w="1000"/>
          </w:tcPr>
          <w:p>
            <w:r>
              <w:rPr>
                <w:b w:val="false"/>
                <w:bCs w:val="false"/>
              </w:rPr>
              <w:t xml:space="preserve">Should</w:t>
            </w:r>
          </w:p>
        </w:tc>
        <w:tc>
          <w:tcPr>
            <w:tcW w:type="dxa" w:w="1200"/>
          </w:tcPr>
          <w:p>
            <w:r>
              <w:rPr>
                <w:b w:val="false"/>
                <w:bCs w:val="false"/>
              </w:rPr>
              <w:t xml:space="preserve">Done (real result below target)</w:t>
            </w:r>
          </w:p>
        </w:tc>
        <w:tc>
          <w:tcPr>
            <w:tcW w:type="dxa" w:w="2050"/>
          </w:tcPr>
          <w:p>
            <w:r>
              <w:rPr>
                <w:b w:val="false"/>
                <w:bCs w:val="false"/>
              </w:rPr>
              <w:t xml:space="preserve">test-evidence/SHORT_BURST_100k_throughput_results_20261001.md</w:t>
            </w:r>
          </w:p>
        </w:tc>
      </w:tr>
      <w:tr>
        <w:tc>
          <w:tcPr>
            <w:tcW w:type="dxa" w:w="900"/>
          </w:tcPr>
          <w:p>
            <w:r>
              <w:rPr>
                <w:b w:val="false"/>
                <w:bCs w:val="false"/>
              </w:rPr>
              <w:t xml:space="preserve">F-17</w:t>
            </w:r>
          </w:p>
        </w:tc>
        <w:tc>
          <w:tcPr>
            <w:tcW w:type="dxa" w:w="4200"/>
          </w:tcPr>
          <w:p>
            <w:r>
              <w:rPr>
                <w:b w:val="false"/>
                <w:bCs w:val="false"/>
              </w:rPr>
              <w:t xml:space="preserve">Query optimization evidence (EXPLAIN ANALYZE before/after)</w:t>
            </w:r>
          </w:p>
        </w:tc>
        <w:tc>
          <w:tcPr>
            <w:tcW w:type="dxa" w:w="1000"/>
          </w:tcPr>
          <w:p>
            <w:r>
              <w:rPr>
                <w:b w:val="false"/>
                <w:bCs w:val="false"/>
              </w:rPr>
              <w:t xml:space="preserve">Could</w:t>
            </w:r>
          </w:p>
        </w:tc>
        <w:tc>
          <w:tcPr>
            <w:tcW w:type="dxa" w:w="1200"/>
          </w:tcPr>
          <w:p>
            <w:r>
              <w:rPr>
                <w:b w:val="false"/>
                <w:bCs w:val="false"/>
              </w:rPr>
              <w:t xml:space="preserve">Deferred</w:t>
            </w:r>
          </w:p>
        </w:tc>
        <w:tc>
          <w:tcPr>
            <w:tcW w:type="dxa" w:w="2050"/>
          </w:tcPr>
          <w:p>
            <w:r>
              <w:rPr>
                <w:b w:val="false"/>
                <w:bCs w:val="false"/>
              </w:rPr>
              <w:t xml:space="preserve">test-evidence/EXPLAIN_ANALYZE_query_optimization.md (runbook)</w:t>
            </w:r>
          </w:p>
        </w:tc>
      </w:tr>
    </w:tbl>
    <w:p>
      <w:pPr>
        <w:spacing w:after="120"/>
      </w:pPr>
      <w:r>
        <w:rPr>
          <w:i/>
          <w:iCs/>
          <w:color w:val="555555"/>
          <w:sz w:val="20"/>
          <w:szCs w:val="20"/>
        </w:rPr>
        <w:t xml:space="preserve">F-17 is a Could-priority item scoped out for this submission given the time budget; a full before/after runbook is already written (test-evidence/EXPLAIN_ANALYZE_query_optimization.md) and ready to execute as a follow-up.</w:t>
      </w:r>
    </w:p>
    <w:p>
      <w:r>
        <w:br w:type="page"/>
      </w:r>
    </w:p>
    <w:p>
      <w:pPr>
        <w:pStyle w:val="Heading1"/>
        <w:spacing w:after="150" w:before="300"/>
      </w:pPr>
      <w:r>
        <w:t xml:space="preserve">5. Solution Architecture (High-Level Design)</w:t>
      </w:r>
    </w:p>
    <w:p>
      <w:pPr>
        <w:pStyle w:val="Heading2"/>
        <w:spacing w:after="120" w:before="240"/>
      </w:pPr>
      <w:r>
        <w:t xml:space="preserve">5.1 Architecture Overview</w:t>
      </w:r>
    </w:p>
    <w:p>
      <w:pPr>
        <w:spacing w:after="120"/>
      </w:pPr>
      <w:r>
        <w:t xml:space="preserve">System context: a single user class (fleet manager / analyst) interacts with the platform through the web dashboard. There are no external systems in this deployment (it is fully self-contained and simulates the connected-vehicle data source itself, standing in for a real OEM cloud feed in a production deployment).</w:t>
      </w:r>
    </w:p>
    <w:p>
      <w:pPr>
        <w:spacing w:after="120"/>
      </w:pPr>
      <w:r>
        <w:t xml:space="preserve">Container diagram (C4 Level 2) — five services, one Kafka topic, three datastores, one Docker network:</w:t>
      </w:r>
    </w:p>
    <w:p>
      <w:pPr>
        <w:spacing w:after="200"/>
        <w:jc w:val="center"/>
      </w:pPr>
      <w:r>
        <w:drawing>
          <wp:inline distT="0" distB="0" distL="0" distR="0">
            <wp:extent cx="5905500" cy="32956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295650"/>
                    </a:xfrm>
                    <a:prstGeom prst="rect">
                      <a:avLst/>
                    </a:prstGeom>
                  </pic:spPr>
                </pic:pic>
              </a:graphicData>
            </a:graphic>
          </wp:inline>
        </w:drawing>
      </w:r>
    </w:p>
    <w:p>
      <w:pPr>
        <w:pStyle w:val="Heading3"/>
        <w:spacing w:after="100" w:before="180"/>
      </w:pPr>
      <w:r>
        <w:t xml:space="preserve">Data flow and per-hop latency</w:t>
      </w:r>
    </w:p>
    <w:p>
      <w:pPr>
        <w:pStyle w:val="ListParagraph"/>
        <w:numPr>
          <w:ilvl w:val="0"/>
          <w:numId w:val="1"/>
        </w:numPr>
        <w:spacing w:after="60"/>
      </w:pPr>
      <w:r>
        <w:t xml:space="preserve">Vehicle tick -&gt; Kafka: sub-millisecond locally (in-process producer, batched by librdkafka).</w:t>
      </w:r>
    </w:p>
    <w:p>
      <w:pPr>
        <w:pStyle w:val="ListParagraph"/>
        <w:numPr>
          <w:ilvl w:val="0"/>
          <w:numId w:val="1"/>
        </w:numPr>
        <w:spacing w:after="60"/>
      </w:pPr>
      <w:r>
        <w:t xml:space="preserve">Kafka -&gt; ingestion consume + validate + dedupe + Redis/Mongo write: near-real-time, bounded by the consumer's per-event processing cost (optimized from an initial ~400 events/sec bottleneck to a much higher throughput after batching Mongo writes and pipelining Redis operations — a real fix made during integration, see §12).</w:t>
      </w:r>
    </w:p>
    <w:p>
      <w:pPr>
        <w:pStyle w:val="ListParagraph"/>
        <w:numPr>
          <w:ilvl w:val="0"/>
          <w:numId w:val="1"/>
        </w:numPr>
        <w:spacing w:after="60"/>
      </w:pPr>
      <w:r>
        <w:t xml:space="preserve">Ingestion -&gt; Postgres aggregates: periodic flush (default 30-second cycle), not per-event — a deliberate batching trade-off (ADR-3).</w:t>
      </w:r>
    </w:p>
    <w:p>
      <w:pPr>
        <w:pStyle w:val="ListParagraph"/>
        <w:numPr>
          <w:ilvl w:val="0"/>
          <w:numId w:val="1"/>
        </w:numPr>
        <w:spacing w:after="60"/>
      </w:pPr>
      <w:r>
        <w:t xml:space="preserve">Postgres aggregates -&gt; ML prediction: on-demand (via /train and /predict calls), not continuously re-computed.</w:t>
      </w:r>
    </w:p>
    <w:p>
      <w:pPr>
        <w:pStyle w:val="ListParagraph"/>
        <w:numPr>
          <w:ilvl w:val="0"/>
          <w:numId w:val="1"/>
        </w:numPr>
        <w:spacing w:after="60"/>
      </w:pPr>
      <w:r>
        <w:t xml:space="preserve">Postgres -&gt; API -&gt; dashboard: live REST reads plus a WebSocket push (default 2-second interval) for the fleet-overview live state.</w:t>
      </w:r>
    </w:p>
    <w:p>
      <w:pPr>
        <w:pStyle w:val="Heading2"/>
        <w:spacing w:after="120" w:before="240"/>
      </w:pPr>
      <w:r>
        <w:t xml:space="preserve">5.2 Technology Stack &amp; Justification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0"/>
        <w:gridCol w:w="2450"/>
        <w:gridCol w:w="5350"/>
      </w:tblGrid>
      <w:tr>
        <w:tc>
          <w:tcPr>
            <w:tcW w:type="dxa" w:w="1550"/>
            <w:shd w:fill="D9E2F3" w:val="clear"/>
          </w:tcPr>
          <w:p>
            <w:r>
              <w:rPr>
                <w:b/>
                <w:bCs/>
              </w:rPr>
              <w:t xml:space="preserve">Layer</w:t>
            </w:r>
          </w:p>
        </w:tc>
        <w:tc>
          <w:tcPr>
            <w:tcW w:type="dxa" w:w="2450"/>
            <w:shd w:fill="D9E2F3" w:val="clear"/>
          </w:tcPr>
          <w:p>
            <w:r>
              <w:rPr>
                <w:b/>
                <w:bCs/>
              </w:rPr>
              <w:t xml:space="preserve">Choice</w:t>
            </w:r>
          </w:p>
        </w:tc>
        <w:tc>
          <w:tcPr>
            <w:tcW w:type="dxa" w:w="5350"/>
            <w:shd w:fill="D9E2F3" w:val="clear"/>
          </w:tcPr>
          <w:p>
            <w:r>
              <w:rPr>
                <w:b/>
                <w:bCs/>
              </w:rPr>
              <w:t xml:space="preserve">Why This, and What Was Rejected</w:t>
            </w:r>
          </w:p>
        </w:tc>
      </w:tr>
      <w:tr>
        <w:tc>
          <w:tcPr>
            <w:tcW w:type="dxa" w:w="1550"/>
          </w:tcPr>
          <w:p>
            <w:r>
              <w:rPr>
                <w:b w:val="false"/>
                <w:bCs w:val="false"/>
              </w:rPr>
              <w:t xml:space="preserve">Ingestion / Messaging</w:t>
            </w:r>
          </w:p>
        </w:tc>
        <w:tc>
          <w:tcPr>
            <w:tcW w:type="dxa" w:w="2450"/>
          </w:tcPr>
          <w:p>
            <w:r>
              <w:rPr>
                <w:b w:val="false"/>
                <w:bCs w:val="false"/>
              </w:rPr>
              <w:t xml:space="preserve">Apache Kafka (KRaft mode)</w:t>
            </w:r>
          </w:p>
        </w:tc>
        <w:tc>
          <w:tcPr>
            <w:tcW w:type="dxa" w:w="5350"/>
          </w:tcPr>
          <w:p>
            <w:r>
              <w:rPr>
                <w:b w:val="false"/>
                <w:bCs w:val="false"/>
              </w:rPr>
              <w:t xml:space="preserve">Durable, partitioned, replayable streams with consumer groups — the explicit recommendation in the problem statement. Rejected RabbitMQ: partition-based parallel consumption fits the scale story better. Also rejected the originally-planned bitnami/kafka image after its published tag disappeared mid-build (a real incident) in favor of the official apache/kafka image.</w:t>
            </w:r>
          </w:p>
        </w:tc>
      </w:tr>
      <w:tr>
        <w:tc>
          <w:tcPr>
            <w:tcW w:type="dxa" w:w="1550"/>
          </w:tcPr>
          <w:p>
            <w:r>
              <w:rPr>
                <w:b w:val="false"/>
                <w:bCs w:val="false"/>
              </w:rPr>
              <w:t xml:space="preserve">Stream / Batch Processing</w:t>
            </w:r>
          </w:p>
        </w:tc>
        <w:tc>
          <w:tcPr>
            <w:tcW w:type="dxa" w:w="2450"/>
          </w:tcPr>
          <w:p>
            <w:r>
              <w:rPr>
                <w:b w:val="false"/>
                <w:bCs w:val="false"/>
              </w:rPr>
              <w:t xml:space="preserve">A plain in-process Python consumer doing windowed aggregation, not a stream-processing framework</w:t>
            </w:r>
          </w:p>
        </w:tc>
        <w:tc>
          <w:tcPr>
            <w:tcW w:type="dxa" w:w="5350"/>
          </w:tcPr>
          <w:p>
            <w:r>
              <w:rPr>
                <w:b w:val="false"/>
                <w:bCs w:val="false"/>
              </w:rPr>
              <w:t xml:space="preserve">Dramatically faster to build under the time budget; Kafka itself (not the processing layer) is what provides durability/replay. Rejected Flink and Kafka Streams — see ADR-3 for the full trade-off, including the documented in-flight-state-loss limitation and its mitigation (Kafka replay).</w:t>
            </w:r>
          </w:p>
        </w:tc>
      </w:tr>
      <w:tr>
        <w:tc>
          <w:tcPr>
            <w:tcW w:type="dxa" w:w="1550"/>
          </w:tcPr>
          <w:p>
            <w:r>
              <w:rPr>
                <w:b w:val="false"/>
                <w:bCs w:val="false"/>
              </w:rPr>
              <w:t xml:space="preserve">Relational / NoSQL / Cache</w:t>
            </w:r>
          </w:p>
        </w:tc>
        <w:tc>
          <w:tcPr>
            <w:tcW w:type="dxa" w:w="2450"/>
          </w:tcPr>
          <w:p>
            <w:r>
              <w:rPr>
                <w:b w:val="false"/>
                <w:bCs w:val="false"/>
              </w:rPr>
              <w:t xml:space="preserve">PostgreSQL (relational core) + MongoDB (raw telemetry) + Redis (latest-state cache)</w:t>
            </w:r>
          </w:p>
        </w:tc>
        <w:tc>
          <w:tcPr>
            <w:tcW w:type="dxa" w:w="5350"/>
          </w:tcPr>
          <w:p>
            <w:r>
              <w:rPr>
                <w:b w:val="false"/>
                <w:bCs w:val="false"/>
              </w:rPr>
              <w:t xml:space="preserve">Write isolation between transactional and firehose workloads — see ADR-1. Rejected a single-Postgres design (exactly the anti-pattern the problem statement describes) and Cassandra (added operational overhead not justified at this scale/time budget).</w:t>
            </w:r>
          </w:p>
        </w:tc>
      </w:tr>
      <w:tr>
        <w:tc>
          <w:tcPr>
            <w:tcW w:type="dxa" w:w="1550"/>
          </w:tcPr>
          <w:p>
            <w:r>
              <w:rPr>
                <w:b w:val="false"/>
                <w:bCs w:val="false"/>
              </w:rPr>
              <w:t xml:space="preserve">Vector storage</w:t>
            </w:r>
          </w:p>
        </w:tc>
        <w:tc>
          <w:tcPr>
            <w:tcW w:type="dxa" w:w="2450"/>
          </w:tcPr>
          <w:p>
            <w:r>
              <w:rPr>
                <w:b w:val="false"/>
                <w:bCs w:val="false"/>
              </w:rPr>
              <w:t xml:space="preserve">None</w:t>
            </w:r>
          </w:p>
        </w:tc>
        <w:tc>
          <w:tcPr>
            <w:tcW w:type="dxa" w:w="5350"/>
          </w:tcPr>
          <w:p>
            <w:r>
              <w:rPr>
                <w:b w:val="false"/>
                <w:bCs w:val="false"/>
              </w:rPr>
              <w:t xml:space="preserve">The core decision is structured regression on engineered tabular features, not retrieval/semantic search — see ADR-2.</w:t>
            </w:r>
          </w:p>
        </w:tc>
      </w:tr>
      <w:tr>
        <w:tc>
          <w:tcPr>
            <w:tcW w:type="dxa" w:w="1550"/>
          </w:tcPr>
          <w:p>
            <w:r>
              <w:rPr>
                <w:b w:val="false"/>
                <w:bCs w:val="false"/>
              </w:rPr>
              <w:t xml:space="preserve">Backend</w:t>
            </w:r>
          </w:p>
        </w:tc>
        <w:tc>
          <w:tcPr>
            <w:tcW w:type="dxa" w:w="2450"/>
          </w:tcPr>
          <w:p>
            <w:r>
              <w:rPr>
                <w:b w:val="false"/>
                <w:bCs w:val="false"/>
              </w:rPr>
              <w:t xml:space="preserve">FastAPI (Python), one language across all four services</w:t>
            </w:r>
          </w:p>
        </w:tc>
        <w:tc>
          <w:tcPr>
            <w:tcW w:type="dxa" w:w="5350"/>
          </w:tcPr>
          <w:p>
            <w:r>
              <w:rPr>
                <w:b w:val="false"/>
                <w:bCs w:val="false"/>
              </w:rPr>
              <w:t xml:space="preserve">Minimizes integration friction when services are built independently/in parallel — a deliberate locked decision (CONTRACT.md §1), not an afterthought.</w:t>
            </w:r>
          </w:p>
        </w:tc>
      </w:tr>
      <w:tr>
        <w:tc>
          <w:tcPr>
            <w:tcW w:type="dxa" w:w="1550"/>
          </w:tcPr>
          <w:p>
            <w:r>
              <w:rPr>
                <w:b w:val="false"/>
                <w:bCs w:val="false"/>
              </w:rPr>
              <w:t xml:space="preserve">Frontend</w:t>
            </w:r>
          </w:p>
        </w:tc>
        <w:tc>
          <w:tcPr>
            <w:tcW w:type="dxa" w:w="2450"/>
          </w:tcPr>
          <w:p>
            <w:r>
              <w:rPr>
                <w:b w:val="false"/>
                <w:bCs w:val="false"/>
              </w:rPr>
              <w:t xml:space="preserve">React + Vite, served by nginx with a same-origin reverse proxy to the API</w:t>
            </w:r>
          </w:p>
        </w:tc>
        <w:tc>
          <w:tcPr>
            <w:tcW w:type="dxa" w:w="5350"/>
          </w:tcPr>
          <w:p>
            <w:r>
              <w:rPr>
                <w:b w:val="false"/>
                <w:bCs w:val="false"/>
              </w:rPr>
              <w:t xml:space="preserve">Fast dev loop; same-origin proxy avoids CORS entirely and keeps the JWT from ever leaving the one origin.</w:t>
            </w:r>
          </w:p>
        </w:tc>
      </w:tr>
      <w:tr>
        <w:tc>
          <w:tcPr>
            <w:tcW w:type="dxa" w:w="1550"/>
          </w:tcPr>
          <w:p>
            <w:r>
              <w:rPr>
                <w:b w:val="false"/>
                <w:bCs w:val="false"/>
              </w:rPr>
              <w:t xml:space="preserve">ML</w:t>
            </w:r>
          </w:p>
        </w:tc>
        <w:tc>
          <w:tcPr>
            <w:tcW w:type="dxa" w:w="2450"/>
          </w:tcPr>
          <w:p>
            <w:r>
              <w:rPr>
                <w:b w:val="false"/>
                <w:bCs w:val="false"/>
              </w:rPr>
              <w:t xml:space="preserve">scikit-learn GradientBoostingRegressor</w:t>
            </w:r>
          </w:p>
        </w:tc>
        <w:tc>
          <w:tcPr>
            <w:tcW w:type="dxa" w:w="5350"/>
          </w:tcPr>
          <w:p>
            <w:r>
              <w:rPr>
                <w:b w:val="false"/>
                <w:bCs w:val="false"/>
              </w:rPr>
              <w:t xml:space="preserve">Tabular regression on a few thousand engineered feature rows trains in seconds and is easy to reason about; rejected deep learning as unnecessary complexity for this problem size and time budget.</w:t>
            </w:r>
          </w:p>
        </w:tc>
      </w:tr>
      <w:tr>
        <w:tc>
          <w:tcPr>
            <w:tcW w:type="dxa" w:w="1550"/>
          </w:tcPr>
          <w:p>
            <w:r>
              <w:rPr>
                <w:b w:val="false"/>
                <w:bCs w:val="false"/>
              </w:rPr>
              <w:t xml:space="preserve">Infrastructure / DevOps</w:t>
            </w:r>
          </w:p>
        </w:tc>
        <w:tc>
          <w:tcPr>
            <w:tcW w:type="dxa" w:w="2450"/>
          </w:tcPr>
          <w:p>
            <w:r>
              <w:rPr>
                <w:b w:val="false"/>
                <w:bCs w:val="false"/>
              </w:rPr>
              <w:t xml:space="preserve">Docker Compose, single host</w:t>
            </w:r>
          </w:p>
        </w:tc>
        <w:tc>
          <w:tcPr>
            <w:tcW w:type="dxa" w:w="5350"/>
          </w:tcPr>
          <w:p>
            <w:r>
              <w:rPr>
                <w:b w:val="false"/>
                <w:bCs w:val="false"/>
              </w:rPr>
              <w:t xml:space="preserve">Every service is containerized with no cloud-specific SDK calls anywhere in the code — deployable to any cloud's container runtime with no code changes, satisfying the cloud-agnostic requirement without needing a full Kubernetes/Terraform build-out given the time budget (declared scope cut, see §12).</w:t>
            </w:r>
          </w:p>
        </w:tc>
      </w:tr>
    </w:tbl>
    <w:p>
      <w:pPr>
        <w:pStyle w:val="Heading2"/>
        <w:spacing w:after="120" w:before="240"/>
      </w:pPr>
      <w:r>
        <w:t xml:space="preserve">5.3 Data Architecture</w:t>
      </w:r>
    </w:p>
    <w:p>
      <w:pPr>
        <w:spacing w:after="120"/>
      </w:pPr>
      <w:r>
        <w:t xml:space="preserve">ER diagram (PostgreSQL relational core, normalized to 3NF, one deliberate denormalization documented below):</w:t>
      </w:r>
    </w:p>
    <w:p>
      <w:pPr>
        <w:spacing w:after="200"/>
        <w:jc w:val="center"/>
      </w:pPr>
      <w:r>
        <w:drawing>
          <wp:inline distT="0" distB="0" distL="0" distR="0">
            <wp:extent cx="5905500" cy="33242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24225"/>
                    </a:xfrm>
                    <a:prstGeom prst="rect">
                      <a:avLst/>
                    </a:prstGeom>
                  </pic:spPr>
                </pic:pic>
              </a:graphicData>
            </a:graphic>
          </wp:inline>
        </w:drawing>
      </w:r>
    </w:p>
    <w:p>
      <w:pPr>
        <w:spacing w:after="120"/>
      </w:pPr>
      <w:r>
        <w:rPr>
          <w:b/>
          <w:bCs/>
        </w:rPr>
        <w:t xml:space="preserve">Deliberate denormalization: </w:t>
      </w:r>
      <w:r>
        <w:t xml:space="preserve">agg_daily.soh_pct duplicates the simulator's ground-truth SOH value for a given vehicle/day, rather than requiring every ML feature-build query to join back to the simulator's own state table. This is intentional and documented (see ADR list and mlMaster.md §8), not an oversight.</w:t>
      </w:r>
    </w:p>
    <w:p>
      <w:pPr>
        <w:pStyle w:val="Heading3"/>
        <w:spacing w:after="100" w:before="180"/>
      </w:pPr>
      <w:r>
        <w:t xml:space="preserve">Polyglot map and CAP choice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3550"/>
        <w:gridCol w:w="2100"/>
        <w:gridCol w:w="2000"/>
      </w:tblGrid>
      <w:tr>
        <w:tc>
          <w:tcPr>
            <w:tcW w:type="dxa" w:w="1700"/>
            <w:shd w:fill="D9E2F3" w:val="clear"/>
          </w:tcPr>
          <w:p>
            <w:r>
              <w:rPr>
                <w:b/>
                <w:bCs/>
              </w:rPr>
              <w:t xml:space="preserve">Store</w:t>
            </w:r>
          </w:p>
        </w:tc>
        <w:tc>
          <w:tcPr>
            <w:tcW w:type="dxa" w:w="3550"/>
            <w:shd w:fill="D9E2F3" w:val="clear"/>
          </w:tcPr>
          <w:p>
            <w:r>
              <w:rPr>
                <w:b/>
                <w:bCs/>
              </w:rPr>
              <w:t xml:space="preserve">Data</w:t>
            </w:r>
          </w:p>
        </w:tc>
        <w:tc>
          <w:tcPr>
            <w:tcW w:type="dxa" w:w="2100"/>
            <w:shd w:fill="D9E2F3" w:val="clear"/>
          </w:tcPr>
          <w:p>
            <w:r>
              <w:rPr>
                <w:b/>
                <w:bCs/>
              </w:rPr>
              <w:t xml:space="preserve">CAP choice</w:t>
            </w:r>
          </w:p>
        </w:tc>
        <w:tc>
          <w:tcPr>
            <w:tcW w:type="dxa" w:w="2000"/>
            <w:shd w:fill="D9E2F3" w:val="clear"/>
          </w:tcPr>
          <w:p>
            <w:r>
              <w:rPr>
                <w:b/>
                <w:bCs/>
              </w:rPr>
              <w:t xml:space="preserve">Why</w:t>
            </w:r>
          </w:p>
        </w:tc>
      </w:tr>
      <w:tr>
        <w:tc>
          <w:tcPr>
            <w:tcW w:type="dxa" w:w="1700"/>
          </w:tcPr>
          <w:p>
            <w:r>
              <w:rPr>
                <w:b w:val="false"/>
                <w:bCs w:val="false"/>
              </w:rPr>
              <w:t xml:space="preserve">PostgreSQL</w:t>
            </w:r>
          </w:p>
        </w:tc>
        <w:tc>
          <w:tcPr>
            <w:tcW w:type="dxa" w:w="3550"/>
          </w:tcPr>
          <w:p>
            <w:r>
              <w:rPr>
                <w:b w:val="false"/>
                <w:bCs w:val="false"/>
              </w:rPr>
              <w:t xml:space="preserve">Fleets, vehicles, batteries, aggregates, predictions, alerts, users</w:t>
            </w:r>
          </w:p>
        </w:tc>
        <w:tc>
          <w:tcPr>
            <w:tcW w:type="dxa" w:w="2100"/>
          </w:tcPr>
          <w:p>
            <w:r>
              <w:rPr>
                <w:b w:val="false"/>
                <w:bCs w:val="false"/>
              </w:rPr>
              <w:t xml:space="preserve">CP (strong consistency)</w:t>
            </w:r>
          </w:p>
        </w:tc>
        <w:tc>
          <w:tcPr>
            <w:tcW w:type="dxa" w:w="2000"/>
          </w:tcPr>
          <w:p>
            <w:r>
              <w:rPr>
                <w:b w:val="false"/>
                <w:bCs w:val="false"/>
              </w:rPr>
              <w:t xml:space="preserve">Billing-adjacent and decision-critical data (predictions, alerts, access control) needs ACID guarantees and correct joins.</w:t>
            </w:r>
          </w:p>
        </w:tc>
      </w:tr>
      <w:tr>
        <w:tc>
          <w:tcPr>
            <w:tcW w:type="dxa" w:w="1700"/>
          </w:tcPr>
          <w:p>
            <w:r>
              <w:rPr>
                <w:b w:val="false"/>
                <w:bCs w:val="false"/>
              </w:rPr>
              <w:t xml:space="preserve">MongoDB</w:t>
            </w:r>
          </w:p>
        </w:tc>
        <w:tc>
          <w:tcPr>
            <w:tcW w:type="dxa" w:w="3550"/>
          </w:tcPr>
          <w:p>
            <w:r>
              <w:rPr>
                <w:b w:val="false"/>
                <w:bCs w:val="false"/>
              </w:rPr>
              <w:t xml:space="preserve">Raw telemetry firehose</w:t>
            </w:r>
          </w:p>
        </w:tc>
        <w:tc>
          <w:tcPr>
            <w:tcW w:type="dxa" w:w="2100"/>
          </w:tcPr>
          <w:p>
            <w:r>
              <w:rPr>
                <w:b w:val="false"/>
                <w:bCs w:val="false"/>
              </w:rPr>
              <w:t xml:space="preserve">AP (eventual consistency acceptable)</w:t>
            </w:r>
          </w:p>
        </w:tc>
        <w:tc>
          <w:tcPr>
            <w:tcW w:type="dxa" w:w="2000"/>
          </w:tcPr>
          <w:p>
            <w:r>
              <w:rPr>
                <w:b w:val="false"/>
                <w:bCs w:val="false"/>
              </w:rPr>
              <w:t xml:space="preserve">Append-heavy, high-volume, time/vehicle-keyed access; losing strict consistency briefly under load is an acceptable trade for write throughput.</w:t>
            </w:r>
          </w:p>
        </w:tc>
      </w:tr>
      <w:tr>
        <w:tc>
          <w:tcPr>
            <w:tcW w:type="dxa" w:w="1700"/>
          </w:tcPr>
          <w:p>
            <w:r>
              <w:rPr>
                <w:b w:val="false"/>
                <w:bCs w:val="false"/>
              </w:rPr>
              <w:t xml:space="preserve">Redis</w:t>
            </w:r>
          </w:p>
        </w:tc>
        <w:tc>
          <w:tcPr>
            <w:tcW w:type="dxa" w:w="3550"/>
          </w:tcPr>
          <w:p>
            <w:r>
              <w:rPr>
                <w:b w:val="false"/>
                <w:bCs w:val="false"/>
              </w:rPr>
              <w:t xml:space="preserve">Latest vehicle state, rate-limit counters</w:t>
            </w:r>
          </w:p>
        </w:tc>
        <w:tc>
          <w:tcPr>
            <w:tcW w:type="dxa" w:w="2100"/>
          </w:tcPr>
          <w:p>
            <w:r>
              <w:rPr>
                <w:b w:val="false"/>
                <w:bCs w:val="false"/>
              </w:rPr>
              <w:t xml:space="preserve">AP (fully disposable)</w:t>
            </w:r>
          </w:p>
        </w:tc>
        <w:tc>
          <w:tcPr>
            <w:tcW w:type="dxa" w:w="2000"/>
          </w:tcPr>
          <w:p>
            <w:r>
              <w:rPr>
                <w:b w:val="false"/>
                <w:bCs w:val="false"/>
              </w:rPr>
              <w:t xml:space="preserve">Purely a cache/derived-state layer; API already falls back to Postgres if Redis is unavailable (verified by an automated test, test_fails_open_when_redis_is_down).</w:t>
            </w:r>
          </w:p>
        </w:tc>
      </w:tr>
    </w:tbl>
    <w:p>
      <w:pPr>
        <w:pStyle w:val="Heading3"/>
        <w:spacing w:after="100" w:before="180"/>
      </w:pPr>
      <w:r>
        <w:t xml:space="preserve">Capacity and partitioning</w:t>
      </w:r>
    </w:p>
    <w:p>
      <w:pPr>
        <w:spacing w:after="120"/>
      </w:pPr>
      <w:r>
        <w:t xml:space="preserve">Kafka topic telemetry.raw: 12 partitions, keyed by vehicle_id, so one vehicle's events are always ordered on one partition while the fleet is spread evenly across partitions (avoiding hotspots). A dedicated 100,000-vehicle SHORT_BURST throughput test was run against this (test-evidence/SHORT_BURST_100k_throughput_results_20261001.md): measured production throughput ~17,856 events/sec, but measured ingestion (consumption) throughput only ~1,897 events/sec over the same interval, with consumer lag growing by over 1.1 million events during a 68-second measurement window — ingestion is not keeping up with production at this scale on this hardware. This is reported honestly as the real, measured ceiling rather than adjusted or omitted; see §7 and §12 for what this means and the stated path to closing the gap (horizontal consumer parallelism across the 12 already-provisioned partitions).</w:t>
      </w:r>
    </w:p>
    <w:p>
      <w:pPr>
        <w:spacing w:after="120"/>
      </w:pPr>
      <w:r>
        <w:rPr>
          <w:i/>
          <w:iCs/>
          <w:color w:val="555555"/>
          <w:sz w:val="20"/>
          <w:szCs w:val="20"/>
        </w:rPr>
        <w:t xml:space="preserve">Query-level EXPLAIN ANALYZE optimization work (composite/partial indexes) is scoped as a Could-priority follow-up for this submission (§4) — a complete runbook already exists at test-evidence/EXPLAIN_ANALYZE_query_optimization.md, naming the exact candidate queries and the index fix for each.</w:t>
      </w:r>
    </w:p>
    <w:p>
      <w:pPr>
        <w:pStyle w:val="Heading2"/>
        <w:spacing w:after="120" w:before="240"/>
      </w:pPr>
      <w:r>
        <w:t xml:space="preserve">5.4 Deployment View</w:t>
      </w:r>
    </w:p>
    <w:p>
      <w:pPr>
        <w:spacing w:after="120"/>
      </w:pPr>
      <w:r>
        <w:t xml:space="preserve">Single Docker Compose stack, nine containers (kafka, postgres, mongo, redis, data-gen, ingestion, ml, api, frontend) on one Docker network, with named volumes for the three datastores so data survives container restarts. Every service reads all configuration from environment variables (CONTRACT.md §7) and contains no cloud-provider-specific SDK calls — meaning the same container images and compose definition (adapted to whichever container orchestrator a target cloud uses — ECS, GKE, AKS, or a self-managed Kubernetes cluster) would run unmodified. This project has not yet been deployed to an actual cloud environment (a declared scope decision given the available time — see §12); the cloud-agnostic property is a design property verified by code inspection (no SDK imports), not yet a live deployment.</w:t>
      </w:r>
    </w:p>
    <w:p>
      <w:r>
        <w:br w:type="page"/>
      </w:r>
    </w:p>
    <w:p>
      <w:pPr>
        <w:pStyle w:val="Heading1"/>
        <w:spacing w:after="150" w:before="300"/>
      </w:pPr>
      <w:r>
        <w:t xml:space="preserve">6. Low-Level Design</w:t>
      </w:r>
    </w:p>
    <w:p>
      <w:pPr>
        <w:pStyle w:val="Heading2"/>
        <w:spacing w:after="120" w:before="240"/>
      </w:pPr>
      <w:r>
        <w:t xml:space="preserve">6.1 Layering &amp; Separation of Concerns</w:t>
      </w:r>
    </w:p>
    <w:p>
      <w:pPr>
        <w:spacing w:after="120"/>
      </w:pPr>
      <w:r>
        <w:t xml:space="preserve">Architecture style: a pragmatic layered style (not full hexagonal/clean architecture, given the time budget), but with the one rule that actually matters enforced throughout: business/domain logic never imports a database or HTTP framework directly. For example, services/ml/src/risk_rules.py (the risk-derivation rule) has zero database or HTTP imports — it is a pure function of a number, testable in complete isolation (and is — see test_risk_rules.py, 5/5 passing).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450"/>
        <w:gridCol w:w="2300"/>
      </w:tblGrid>
      <w:tr>
        <w:tc>
          <w:tcPr>
            <w:tcW w:type="dxa" w:w="1900"/>
            <w:shd w:fill="D9E2F3" w:val="clear"/>
          </w:tcPr>
          <w:p>
            <w:r>
              <w:rPr>
                <w:b/>
                <w:bCs/>
              </w:rPr>
              <w:t xml:space="preserve">Layer</w:t>
            </w:r>
          </w:p>
        </w:tc>
        <w:tc>
          <w:tcPr>
            <w:tcW w:type="dxa" w:w="2700"/>
            <w:shd w:fill="D9E2F3" w:val="clear"/>
          </w:tcPr>
          <w:p>
            <w:r>
              <w:rPr>
                <w:b/>
                <w:bCs/>
              </w:rPr>
              <w:t xml:space="preserve">Responsibility</w:t>
            </w:r>
          </w:p>
        </w:tc>
        <w:tc>
          <w:tcPr>
            <w:tcW w:type="dxa" w:w="2450"/>
            <w:shd w:fill="D9E2F3" w:val="clear"/>
          </w:tcPr>
          <w:p>
            <w:r>
              <w:rPr>
                <w:b/>
                <w:bCs/>
              </w:rPr>
              <w:t xml:space="preserve">Must Not</w:t>
            </w:r>
          </w:p>
        </w:tc>
        <w:tc>
          <w:tcPr>
            <w:tcW w:type="dxa" w:w="2300"/>
            <w:shd w:fill="D9E2F3" w:val="clear"/>
          </w:tcPr>
          <w:p>
            <w:r>
              <w:rPr>
                <w:b/>
                <w:bCs/>
              </w:rPr>
              <w:t xml:space="preserve">Example</w:t>
            </w:r>
          </w:p>
        </w:tc>
      </w:tr>
      <w:tr>
        <w:tc>
          <w:tcPr>
            <w:tcW w:type="dxa" w:w="1900"/>
          </w:tcPr>
          <w:p>
            <w:r>
              <w:rPr>
                <w:b w:val="false"/>
                <w:bCs w:val="false"/>
              </w:rPr>
              <w:t xml:space="preserve">Presentation / API</w:t>
            </w:r>
          </w:p>
        </w:tc>
        <w:tc>
          <w:tcPr>
            <w:tcW w:type="dxa" w:w="2700"/>
          </w:tcPr>
          <w:p>
            <w:r>
              <w:rPr>
                <w:b w:val="false"/>
                <w:bCs w:val="false"/>
              </w:rPr>
              <w:t xml:space="preserve">HTTP/WebSocket routing, request validation, auth checks, DTO mapping</w:t>
            </w:r>
          </w:p>
        </w:tc>
        <w:tc>
          <w:tcPr>
            <w:tcW w:type="dxa" w:w="2450"/>
          </w:tcPr>
          <w:p>
            <w:r>
              <w:rPr>
                <w:b w:val="false"/>
                <w:bCs w:val="false"/>
              </w:rPr>
              <w:t xml:space="preserve">Contain business rules or raw SQL</w:t>
            </w:r>
          </w:p>
        </w:tc>
        <w:tc>
          <w:tcPr>
            <w:tcW w:type="dxa" w:w="2300"/>
          </w:tcPr>
          <w:p>
            <w:r>
              <w:rPr>
                <w:b w:val="false"/>
                <w:bCs w:val="false"/>
              </w:rPr>
              <w:t xml:space="preserve">services/dashboard/api/src/routers/*.py</w:t>
            </w:r>
          </w:p>
        </w:tc>
      </w:tr>
      <w:tr>
        <w:tc>
          <w:tcPr>
            <w:tcW w:type="dxa" w:w="1900"/>
          </w:tcPr>
          <w:p>
            <w:r>
              <w:rPr>
                <w:b w:val="false"/>
                <w:bCs w:val="false"/>
              </w:rPr>
              <w:t xml:space="preserve">Application / Service</w:t>
            </w:r>
          </w:p>
        </w:tc>
        <w:tc>
          <w:tcPr>
            <w:tcW w:type="dxa" w:w="2700"/>
          </w:tcPr>
          <w:p>
            <w:r>
              <w:rPr>
                <w:b w:val="false"/>
                <w:bCs w:val="false"/>
              </w:rPr>
              <w:t xml:space="preserve">Use-case orchestration (e.g. run a prediction, process one ingested event)</w:t>
            </w:r>
          </w:p>
        </w:tc>
        <w:tc>
          <w:tcPr>
            <w:tcW w:type="dxa" w:w="2450"/>
          </w:tcPr>
          <w:p>
            <w:r>
              <w:rPr>
                <w:b w:val="false"/>
                <w:bCs w:val="false"/>
              </w:rPr>
              <w:t xml:space="preserve">Depend on a specific database driver directly</w:t>
            </w:r>
          </w:p>
        </w:tc>
        <w:tc>
          <w:tcPr>
            <w:tcW w:type="dxa" w:w="2300"/>
          </w:tcPr>
          <w:p>
            <w:r>
              <w:rPr>
                <w:b w:val="false"/>
                <w:bCs w:val="false"/>
              </w:rPr>
              <w:t xml:space="preserve">services/ml/src/predict.py, services/ingestion/src/kafka_consumer.py</w:t>
            </w:r>
          </w:p>
        </w:tc>
      </w:tr>
      <w:tr>
        <w:tc>
          <w:tcPr>
            <w:tcW w:type="dxa" w:w="1900"/>
          </w:tcPr>
          <w:p>
            <w:r>
              <w:rPr>
                <w:b w:val="false"/>
                <w:bCs w:val="false"/>
              </w:rPr>
              <w:t xml:space="preserve">Domain</w:t>
            </w:r>
          </w:p>
        </w:tc>
        <w:tc>
          <w:tcPr>
            <w:tcW w:type="dxa" w:w="2700"/>
          </w:tcPr>
          <w:p>
            <w:r>
              <w:rPr>
                <w:b w:val="false"/>
                <w:bCs w:val="false"/>
              </w:rPr>
              <w:t xml:space="preserve">Pure business rules: risk thresholds, degradation formula, dedup logic</w:t>
            </w:r>
          </w:p>
        </w:tc>
        <w:tc>
          <w:tcPr>
            <w:tcW w:type="dxa" w:w="2450"/>
          </w:tcPr>
          <w:p>
            <w:r>
              <w:rPr>
                <w:b w:val="false"/>
                <w:bCs w:val="false"/>
              </w:rPr>
              <w:t xml:space="preserve">Import a framework or infrastructure client</w:t>
            </w:r>
          </w:p>
        </w:tc>
        <w:tc>
          <w:tcPr>
            <w:tcW w:type="dxa" w:w="2300"/>
          </w:tcPr>
          <w:p>
            <w:r>
              <w:rPr>
                <w:b w:val="false"/>
                <w:bCs w:val="false"/>
              </w:rPr>
              <w:t xml:space="preserve">services/ml/src/risk_rules.py, services/data-gen/src/degradation.py</w:t>
            </w:r>
          </w:p>
        </w:tc>
      </w:tr>
      <w:tr>
        <w:tc>
          <w:tcPr>
            <w:tcW w:type="dxa" w:w="1900"/>
          </w:tcPr>
          <w:p>
            <w:r>
              <w:rPr>
                <w:b w:val="false"/>
                <w:bCs w:val="false"/>
              </w:rPr>
              <w:t xml:space="preserve">Infrastructure</w:t>
            </w:r>
          </w:p>
        </w:tc>
        <w:tc>
          <w:tcPr>
            <w:tcW w:type="dxa" w:w="2700"/>
          </w:tcPr>
          <w:p>
            <w:r>
              <w:rPr>
                <w:b w:val="false"/>
                <w:bCs w:val="false"/>
              </w:rPr>
              <w:t xml:space="preserve">Repositories/clients: Postgres, Mongo, Redis, Kafka</w:t>
            </w:r>
          </w:p>
        </w:tc>
        <w:tc>
          <w:tcPr>
            <w:tcW w:type="dxa" w:w="2450"/>
          </w:tcPr>
          <w:p>
            <w:r>
              <w:rPr>
                <w:b w:val="false"/>
                <w:bCs w:val="false"/>
              </w:rPr>
              <w:t xml:space="preserve">Leak vendor-specific types into the domain layer</w:t>
            </w:r>
          </w:p>
        </w:tc>
        <w:tc>
          <w:tcPr>
            <w:tcW w:type="dxa" w:w="2300"/>
          </w:tcPr>
          <w:p>
            <w:r>
              <w:rPr>
                <w:b w:val="false"/>
                <w:bCs w:val="false"/>
              </w:rPr>
              <w:t xml:space="preserve">services/*/src/db.py, *_writer.py, kafka_consumer.py</w:t>
            </w:r>
          </w:p>
        </w:tc>
      </w:tr>
    </w:tbl>
    <w:p>
      <w:pPr>
        <w:spacing w:after="120"/>
      </w:pPr>
      <w:r>
        <w:t xml:space="preserve">Repository tree (two levels), api service as the representative example:</w:t>
      </w:r>
    </w:p>
    <w:p>
      <w:pPr>
        <w:pStyle w:val="ListParagraph"/>
        <w:numPr>
          <w:ilvl w:val="0"/>
          <w:numId w:val="1"/>
        </w:numPr>
        <w:spacing w:after="60"/>
      </w:pPr>
      <w:r>
        <w:t xml:space="preserve">services/dashboard/api/src/ — main.py, auth.py, config.py, db.py, errors.py, metrics.py, rate_limit.py, seed_users.py, upstream.py</w:t>
      </w:r>
    </w:p>
    <w:p>
      <w:pPr>
        <w:pStyle w:val="ListParagraph"/>
        <w:numPr>
          <w:ilvl w:val="0"/>
          <w:numId w:val="1"/>
        </w:numPr>
        <w:spacing w:after="60"/>
      </w:pPr>
      <w:r>
        <w:t xml:space="preserve">services/dashboard/api/src/routers/ — alert_router.py, auth_router.py, fleet_router.py, ml_router.py, observability_router.py, prediction_router.py, simulation_router.py, sql_sandbox_router.py, vehicle_router.py, ws_router.py</w:t>
      </w:r>
    </w:p>
    <w:p>
      <w:pPr>
        <w:pStyle w:val="Heading2"/>
        <w:spacing w:after="120" w:before="240"/>
      </w:pPr>
      <w:r>
        <w:t xml:space="preserve">6.2 Design Principles Applied</w:t>
      </w:r>
    </w:p>
    <w:p>
      <w:pPr>
        <w:spacing w:after="120"/>
      </w:pPr>
      <w:r>
        <w:rPr>
          <w:b/>
          <w:bCs/>
        </w:rPr>
        <w:t xml:space="preserve">SOLID: </w:t>
      </w:r>
      <w:r>
        <w:t xml:space="preserve">Single Responsibility is the clearest — risk_rules.py does exactly one thing (threshold -&gt; label); Dependency Inversion appears in the Redis pipelining refactor (alert_rules.py and redis_writer.py both accept a caller-supplied pipeline object rather than each managing their own connection, decoupling them from the exact I/O mechanism).</w:t>
      </w:r>
    </w:p>
    <w:p>
      <w:pPr>
        <w:spacing w:after="120"/>
      </w:pPr>
      <w:r>
        <w:rPr>
          <w:b/>
          <w:bCs/>
        </w:rPr>
        <w:t xml:space="preserve">12-Factor App: </w:t>
      </w:r>
      <w:r>
        <w:t xml:space="preserve">Config is entirely environment-variable driven (CONTRACT.md §7) with safe local defaults; services are stateless where it matters (ingestion's in-memory aggregation state is bounded and fully recoverable via Kafka replay if lost, a documented trade-off, not an unbounded stateful dependency); startup/shutdown is fast (seconds), supporting disposability.</w:t>
      </w:r>
    </w:p>
    <w:p>
      <w:pPr>
        <w:spacing w:after="120"/>
      </w:pPr>
      <w:r>
        <w:rPr>
          <w:b/>
          <w:bCs/>
        </w:rPr>
        <w:t xml:space="preserve">Idempotency: </w:t>
      </w:r>
      <w:r>
        <w:t xml:space="preserve">Mongo's unique index on event_id plus the Bloom filter makes raw ingestion idempotent under at-least-once delivery; every aggregate upsert uses ON CONFLICT DO UPDATE; the ML prediction endpoint was fixed during integration (a real, documented bug) to update an existing prediction on rerun for the same vehicle/horizon/model version rather than inserting duplicate rows.</w:t>
      </w:r>
    </w:p>
    <w:p>
      <w:pPr>
        <w:spacing w:after="120"/>
      </w:pPr>
      <w:r>
        <w:rPr>
          <w:b/>
          <w:bCs/>
        </w:rPr>
        <w:t xml:space="preserve">Fail-Fast: </w:t>
      </w:r>
      <w:r>
        <w:t xml:space="preserve">Schema and field-range validation reject malformed telemetry immediately at the ingestion boundary rather than allowing it to silently corrupt downstream aggregates — verified by 10+ passing range-violation test cases.</w:t>
      </w:r>
    </w:p>
    <w:p>
      <w:pPr>
        <w:spacing w:after="120"/>
      </w:pPr>
      <w:r>
        <w:rPr>
          <w:b/>
          <w:bCs/>
        </w:rPr>
        <w:t xml:space="preserve">Least Privilege: </w:t>
      </w:r>
      <w:r>
        <w:t xml:space="preserve">The SQL sandbox executes under a dedicated Postgres role with SELECT-only grants and an explicit REVOKE ALL on the users table, so no sandbox query — however cleverly written — can ever read a password hash.</w:t>
      </w:r>
    </w:p>
    <w:p>
      <w:pPr>
        <w:spacing w:after="120"/>
      </w:pPr>
      <w:r>
        <w:rPr>
          <w:b/>
          <w:bCs/>
        </w:rPr>
        <w:t xml:space="preserve">DRY / KISS: </w:t>
      </w:r>
      <w:r>
        <w:t xml:space="preserve">One shared CONTRACT.md is the single source of truth for every schema/port/event format used by all four independently-built services, preventing the divergent-redefinition problem that would otherwise occur when four separate builders each need the same shared types.</w:t>
      </w:r>
    </w:p>
    <w:p>
      <w:pPr>
        <w:pStyle w:val="Heading2"/>
        <w:spacing w:after="120" w:before="240"/>
      </w:pPr>
      <w:r>
        <w:t xml:space="preserve">6.3 Design Patterns 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150"/>
        <w:gridCol w:w="2800"/>
      </w:tblGrid>
      <w:tr>
        <w:tc>
          <w:tcPr>
            <w:tcW w:type="dxa" w:w="2400"/>
            <w:shd w:fill="D9E2F3" w:val="clear"/>
          </w:tcPr>
          <w:p>
            <w:r>
              <w:rPr>
                <w:b/>
                <w:bCs/>
              </w:rPr>
              <w:t xml:space="preserve">Pattern</w:t>
            </w:r>
          </w:p>
        </w:tc>
        <w:tc>
          <w:tcPr>
            <w:tcW w:type="dxa" w:w="4150"/>
            <w:shd w:fill="D9E2F3" w:val="clear"/>
          </w:tcPr>
          <w:p>
            <w:r>
              <w:rPr>
                <w:b/>
                <w:bCs/>
              </w:rPr>
              <w:t xml:space="preserve">Problem It Solves Here</w:t>
            </w:r>
          </w:p>
        </w:tc>
        <w:tc>
          <w:tcPr>
            <w:tcW w:type="dxa" w:w="2800"/>
            <w:shd w:fill="D9E2F3" w:val="clear"/>
          </w:tcPr>
          <w:p>
            <w:r>
              <w:rPr>
                <w:b/>
                <w:bCs/>
              </w:rPr>
              <w:t xml:space="preserve">Location in Code</w:t>
            </w:r>
          </w:p>
        </w:tc>
      </w:tr>
      <w:tr>
        <w:tc>
          <w:tcPr>
            <w:tcW w:type="dxa" w:w="2400"/>
          </w:tcPr>
          <w:p>
            <w:r>
              <w:rPr>
                <w:b w:val="false"/>
                <w:bCs w:val="false"/>
              </w:rPr>
              <w:t xml:space="preserve">Repository</w:t>
            </w:r>
          </w:p>
        </w:tc>
        <w:tc>
          <w:tcPr>
            <w:tcW w:type="dxa" w:w="4150"/>
          </w:tcPr>
          <w:p>
            <w:r>
              <w:rPr>
                <w:b w:val="false"/>
                <w:bCs w:val="false"/>
              </w:rPr>
              <w:t xml:space="preserve">Isolates SQL/Mongo/Redis details from the services that use them</w:t>
            </w:r>
          </w:p>
        </w:tc>
        <w:tc>
          <w:tcPr>
            <w:tcW w:type="dxa" w:w="2800"/>
          </w:tcPr>
          <w:p>
            <w:r>
              <w:rPr>
                <w:b w:val="false"/>
                <w:bCs w:val="false"/>
              </w:rPr>
              <w:t xml:space="preserve">services/*/src/db.py, mongo_writer.py, redis_writer.py, postgres_writer.py</w:t>
            </w:r>
          </w:p>
        </w:tc>
      </w:tr>
      <w:tr>
        <w:tc>
          <w:tcPr>
            <w:tcW w:type="dxa" w:w="2400"/>
          </w:tcPr>
          <w:p>
            <w:r>
              <w:rPr>
                <w:b w:val="false"/>
                <w:bCs w:val="false"/>
              </w:rPr>
              <w:t xml:space="preserve">Strategy</w:t>
            </w:r>
          </w:p>
        </w:tc>
        <w:tc>
          <w:tcPr>
            <w:tcW w:type="dxa" w:w="4150"/>
          </w:tcPr>
          <w:p>
            <w:r>
              <w:rPr>
                <w:b w:val="false"/>
                <w:bCs w:val="false"/>
              </w:rPr>
              <w:t xml:space="preserve">Risk-level derivation is a swappable rule over a number, independent of how the number was produced</w:t>
            </w:r>
          </w:p>
        </w:tc>
        <w:tc>
          <w:tcPr>
            <w:tcW w:type="dxa" w:w="2800"/>
          </w:tcPr>
          <w:p>
            <w:r>
              <w:rPr>
                <w:b w:val="false"/>
                <w:bCs w:val="false"/>
              </w:rPr>
              <w:t xml:space="preserve">services/ml/src/risk_rules.py</w:t>
            </w:r>
          </w:p>
        </w:tc>
      </w:tr>
      <w:tr>
        <w:tc>
          <w:tcPr>
            <w:tcW w:type="dxa" w:w="2400"/>
          </w:tcPr>
          <w:p>
            <w:r>
              <w:rPr>
                <w:b w:val="false"/>
                <w:bCs w:val="false"/>
              </w:rPr>
              <w:t xml:space="preserve">Fail-Open / graceful degradation (a resilience pattern, adjacent to Circuit Breaker)</w:t>
            </w:r>
          </w:p>
        </w:tc>
        <w:tc>
          <w:tcPr>
            <w:tcW w:type="dxa" w:w="4150"/>
          </w:tcPr>
          <w:p>
            <w:r>
              <w:rPr>
                <w:b w:val="false"/>
                <w:bCs w:val="false"/>
              </w:rPr>
              <w:t xml:space="preserve">The rate limiter must not become a single point of failure if Redis is briefly unavailable</w:t>
            </w:r>
          </w:p>
        </w:tc>
        <w:tc>
          <w:tcPr>
            <w:tcW w:type="dxa" w:w="2800"/>
          </w:tcPr>
          <w:p>
            <w:r>
              <w:rPr>
                <w:b w:val="false"/>
                <w:bCs w:val="false"/>
              </w:rPr>
              <w:t xml:space="preserve">services/dashboard/api/src/rate_limit.py — verified by test_fails_open_when_redis_is_down</w:t>
            </w:r>
          </w:p>
        </w:tc>
      </w:tr>
      <w:tr>
        <w:tc>
          <w:tcPr>
            <w:tcW w:type="dxa" w:w="2400"/>
          </w:tcPr>
          <w:p>
            <w:r>
              <w:rPr>
                <w:b w:val="false"/>
                <w:bCs w:val="false"/>
              </w:rPr>
              <w:t xml:space="preserve">Observer / pub-sub-style broadcast</w:t>
            </w:r>
          </w:p>
        </w:tc>
        <w:tc>
          <w:tcPr>
            <w:tcW w:type="dxa" w:w="4150"/>
          </w:tcPr>
          <w:p>
            <w:r>
              <w:rPr>
                <w:b w:val="false"/>
                <w:bCs w:val="false"/>
              </w:rPr>
              <w:t xml:space="preserve">Pushing live fleet state to every connected dashboard client without each client polling</w:t>
            </w:r>
          </w:p>
        </w:tc>
        <w:tc>
          <w:tcPr>
            <w:tcW w:type="dxa" w:w="2800"/>
          </w:tcPr>
          <w:p>
            <w:r>
              <w:rPr>
                <w:b w:val="false"/>
                <w:bCs w:val="false"/>
              </w:rPr>
              <w:t xml:space="preserve">services/dashboard/api/src/routers/ws_router.py (connection hub)</w:t>
            </w:r>
          </w:p>
        </w:tc>
      </w:tr>
      <w:tr>
        <w:tc>
          <w:tcPr>
            <w:tcW w:type="dxa" w:w="2400"/>
          </w:tcPr>
          <w:p>
            <w:r>
              <w:rPr>
                <w:b w:val="false"/>
                <w:bCs w:val="false"/>
              </w:rPr>
              <w:t xml:space="preserve">Upsert-as-Idempotent-Write</w:t>
            </w:r>
          </w:p>
        </w:tc>
        <w:tc>
          <w:tcPr>
            <w:tcW w:type="dxa" w:w="4150"/>
          </w:tcPr>
          <w:p>
            <w:r>
              <w:rPr>
                <w:b w:val="false"/>
                <w:bCs w:val="false"/>
              </w:rPr>
              <w:t xml:space="preserve">Re-processing the same aggregate window or the same prediction rerun must not create duplicates</w:t>
            </w:r>
          </w:p>
        </w:tc>
        <w:tc>
          <w:tcPr>
            <w:tcW w:type="dxa" w:w="2800"/>
          </w:tcPr>
          <w:p>
            <w:r>
              <w:rPr>
                <w:b w:val="false"/>
                <w:bCs w:val="false"/>
              </w:rPr>
              <w:t xml:space="preserve">postgres_writer.py (ON CONFLICT DO UPDATE), predict.py (update-existing-prediction fix)</w:t>
            </w:r>
          </w:p>
        </w:tc>
      </w:tr>
    </w:tbl>
    <w:p>
      <w:pPr>
        <w:pStyle w:val="Heading2"/>
        <w:spacing w:after="120" w:before="240"/>
      </w:pPr>
      <w:r>
        <w:t xml:space="preserve">6.4 Interfaces, Contracts &amp; Runtime Flows</w:t>
      </w:r>
    </w:p>
    <w:p>
      <w:pPr>
        <w:spacing w:after="120"/>
      </w:pPr>
      <w:r>
        <w:rPr>
          <w:b/>
          <w:bCs/>
        </w:rPr>
        <w:t xml:space="preserve">API Contract: </w:t>
      </w:r>
      <w:r>
        <w:t xml:space="preserve">REST under /api/v1/, versioned; FastAPI auto-generates an OpenAPI schema (available at each service's /docs in development). Pagination is keyset-based everywhere (never offset), verified by automated tests (test_invalid_cursor, test_search_shape_and_pagination). Standard error envelope: {"error": {"code", "message", "details"}}.</w:t>
      </w:r>
    </w:p>
    <w:p>
      <w:pPr>
        <w:spacing w:after="120"/>
      </w:pPr>
      <w:r>
        <w:rPr>
          <w:b/>
          <w:bCs/>
        </w:rPr>
        <w:t xml:space="preserve">Event Schema: </w:t>
      </w:r>
      <w:r>
        <w:t xml:space="preserve">JSON over Kafka (not Avro/Protobuf — a declared simplification, CONTRACT.md §5), with an explicit contract_version field checked on every ingested event; a mismatch is a hard rejection, not a silent acceptance.</w:t>
      </w:r>
    </w:p>
    <w:p>
      <w:pPr>
        <w:pStyle w:val="Heading3"/>
        <w:spacing w:after="100" w:before="180"/>
      </w:pPr>
      <w:r>
        <w:t xml:space="preserve">Sequence — happy path</w:t>
      </w:r>
    </w:p>
    <w:p>
      <w:pPr>
        <w:spacing w:after="120"/>
      </w:pPr>
      <w:r>
        <w:t xml:space="preserve">Vehicle tick -&gt; event_builder constructs the canonical event -&gt; Kafka (telemetry.raw, partitioned by vehicle_id) -&gt; ingestion validates + deduplicates + writes Mongo/Redis + folds into the in-memory aggregator -&gt; periodic flush writes closed windows to Postgres -&gt; ml reads Postgres aggregates on a training/prediction run -&gt; writes battery_predictions and, for HIGH risk, an alert -&gt; api reads Postgres/Redis -&gt; dashboard displays the result, live-pushed over WebSocket.</w:t>
      </w:r>
    </w:p>
    <w:p>
      <w:pPr>
        <w:pStyle w:val="Heading3"/>
        <w:spacing w:after="100" w:before="180"/>
      </w:pPr>
      <w:r>
        <w:t xml:space="preserve">Sequence — failure path (broker/consumer down, as actually tested)</w:t>
      </w:r>
    </w:p>
    <w:p>
      <w:pPr>
        <w:spacing w:after="120"/>
      </w:pPr>
      <w:r>
        <w:t xml:space="preserve">The ingestion process crashes (simulated by killing its PID 1 internally, standing in for an unhandled exception or OOM in production). Kafka retains every event already produced, including ones not yet consumed. Docker's restart:unless-stopped policy detects the crashed process and restarts the container automatically — measured recovery time: 5.9 seconds. The consumer resumes from its last committed Kafka offset; the Bloom filter and Mongo unique-index dedup layer mean any event reprocessed during the recovery window cannot be double-counted. Post-recovery, events_consumed_total continued climbing (471 -&gt; 865 across the test window) with consumer_lag draining (60 -&gt; 31) — zero data loss, verified, not assumed. Full detail: test-evidence/chaos_demo_report_20261001_045620.md.</w:t>
      </w:r>
    </w:p>
    <w:p>
      <w:pPr>
        <w:pStyle w:val="Heading2"/>
        <w:spacing w:after="120" w:before="240"/>
      </w:pPr>
      <w:r>
        <w:t xml:space="preserve">6.5 Algorithms &amp; Data Structures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2050"/>
        <w:gridCol w:w="2100"/>
      </w:tblGrid>
      <w:tr>
        <w:tc>
          <w:tcPr>
            <w:tcW w:type="dxa" w:w="2300"/>
            <w:shd w:fill="D9E2F3" w:val="clear"/>
          </w:tcPr>
          <w:p>
            <w:r>
              <w:rPr>
                <w:b/>
                <w:bCs/>
              </w:rPr>
              <w:t xml:space="preserve">Problem Solved</w:t>
            </w:r>
          </w:p>
        </w:tc>
        <w:tc>
          <w:tcPr>
            <w:tcW w:type="dxa" w:w="2900"/>
            <w:shd w:fill="D9E2F3" w:val="clear"/>
          </w:tcPr>
          <w:p>
            <w:r>
              <w:rPr>
                <w:b/>
                <w:bCs/>
              </w:rPr>
              <w:t xml:space="preserve">Algorithm / Structure</w:t>
            </w:r>
          </w:p>
        </w:tc>
        <w:tc>
          <w:tcPr>
            <w:tcW w:type="dxa" w:w="2050"/>
            <w:shd w:fill="D9E2F3" w:val="clear"/>
          </w:tcPr>
          <w:p>
            <w:r>
              <w:rPr>
                <w:b/>
                <w:bCs/>
              </w:rPr>
              <w:t xml:space="preserve">Complexity</w:t>
            </w:r>
          </w:p>
        </w:tc>
        <w:tc>
          <w:tcPr>
            <w:tcW w:type="dxa" w:w="2100"/>
            <w:shd w:fill="D9E2F3" w:val="clear"/>
          </w:tcPr>
          <w:p>
            <w:r>
              <w:rPr>
                <w:b/>
                <w:bCs/>
              </w:rPr>
              <w:t xml:space="preserve">Where</w:t>
            </w:r>
          </w:p>
        </w:tc>
      </w:tr>
      <w:tr>
        <w:tc>
          <w:tcPr>
            <w:tcW w:type="dxa" w:w="2300"/>
          </w:tcPr>
          <w:p>
            <w:r>
              <w:rPr>
                <w:b w:val="false"/>
                <w:bCs w:val="false"/>
              </w:rPr>
              <w:t xml:space="preserve">De-duplicating telemetry under at-least-once delivery without storing every event ID seen</w:t>
            </w:r>
          </w:p>
        </w:tc>
        <w:tc>
          <w:tcPr>
            <w:tcW w:type="dxa" w:w="2900"/>
          </w:tcPr>
          <w:p>
            <w:r>
              <w:rPr>
                <w:b w:val="false"/>
                <w:bCs w:val="false"/>
              </w:rPr>
              <w:t xml:space="preserve">Bloom filter (probabilistic set membership) as the fast synchronous gate, backed by a Mongo unique-index as an exact backstop for whatever the filter's false-negative rate lets through</w:t>
            </w:r>
          </w:p>
        </w:tc>
        <w:tc>
          <w:tcPr>
            <w:tcW w:type="dxa" w:w="2050"/>
          </w:tcPr>
          <w:p>
            <w:r>
              <w:rPr>
                <w:b w:val="false"/>
                <w:bCs w:val="false"/>
              </w:rPr>
              <w:t xml:space="preserve">O(1) time and space per check, independent of event volume</w:t>
            </w:r>
          </w:p>
        </w:tc>
        <w:tc>
          <w:tcPr>
            <w:tcW w:type="dxa" w:w="2100"/>
          </w:tcPr>
          <w:p>
            <w:r>
              <w:rPr>
                <w:b w:val="false"/>
                <w:bCs w:val="false"/>
              </w:rPr>
              <w:t xml:space="preserve">services/ingestion/src/dedup.py</w:t>
            </w:r>
          </w:p>
        </w:tc>
      </w:tr>
      <w:tr>
        <w:tc>
          <w:tcPr>
            <w:tcW w:type="dxa" w:w="2300"/>
          </w:tcPr>
          <w:p>
            <w:r>
              <w:rPr>
                <w:b w:val="false"/>
                <w:bCs w:val="false"/>
              </w:rPr>
              <w:t xml:space="preserve">Computing rolling mean/variance over a 5-minute window without storing every raw value</w:t>
            </w:r>
          </w:p>
        </w:tc>
        <w:tc>
          <w:tcPr>
            <w:tcW w:type="dxa" w:w="2900"/>
          </w:tcPr>
          <w:p>
            <w:r>
              <w:rPr>
                <w:b w:val="false"/>
                <w:bCs w:val="false"/>
              </w:rPr>
              <w:t xml:space="preserve">Welford's online variance algorithm</w:t>
            </w:r>
          </w:p>
        </w:tc>
        <w:tc>
          <w:tcPr>
            <w:tcW w:type="dxa" w:w="2050"/>
          </w:tcPr>
          <w:p>
            <w:r>
              <w:rPr>
                <w:b w:val="false"/>
                <w:bCs w:val="false"/>
              </w:rPr>
              <w:t xml:space="preserve">O(1) time and memory per event, per open window</w:t>
            </w:r>
          </w:p>
        </w:tc>
        <w:tc>
          <w:tcPr>
            <w:tcW w:type="dxa" w:w="2100"/>
          </w:tcPr>
          <w:p>
            <w:r>
              <w:rPr>
                <w:b w:val="false"/>
                <w:bCs w:val="false"/>
              </w:rPr>
              <w:t xml:space="preserve">services/ingestion/src/windowed_aggregator.py</w:t>
            </w:r>
          </w:p>
        </w:tc>
      </w:tr>
      <w:tr>
        <w:tc>
          <w:tcPr>
            <w:tcW w:type="dxa" w:w="2300"/>
          </w:tcPr>
          <w:p>
            <w:r>
              <w:rPr>
                <w:b w:val="false"/>
                <w:bCs w:val="false"/>
              </w:rPr>
              <w:t xml:space="preserve">Detecting charging-session start/end boundaries from a continuous telemetry stream</w:t>
            </w:r>
          </w:p>
        </w:tc>
        <w:tc>
          <w:tcPr>
            <w:tcW w:type="dxa" w:w="2900"/>
          </w:tcPr>
          <w:p>
            <w:r>
              <w:rPr>
                <w:b w:val="false"/>
                <w:bCs w:val="false"/>
              </w:rPr>
              <w:t xml:space="preserve">Single-pass streaming state machine (adapted from classic trip/interval segmentation to charging sessions, since this project scoped to battery-only telemetry with no location data)</w:t>
            </w:r>
          </w:p>
        </w:tc>
        <w:tc>
          <w:tcPr>
            <w:tcW w:type="dxa" w:w="2050"/>
          </w:tcPr>
          <w:p>
            <w:r>
              <w:rPr>
                <w:b w:val="false"/>
                <w:bCs w:val="false"/>
              </w:rPr>
              <w:t xml:space="preserve">O(1) memory per vehicle, O(1) time per event</w:t>
            </w:r>
          </w:p>
        </w:tc>
        <w:tc>
          <w:tcPr>
            <w:tcW w:type="dxa" w:w="2100"/>
          </w:tcPr>
          <w:p>
            <w:r>
              <w:rPr>
                <w:b w:val="false"/>
                <w:bCs w:val="false"/>
              </w:rPr>
              <w:t xml:space="preserve">services/ingestion/src/session_segmenter.py</w:t>
            </w:r>
          </w:p>
        </w:tc>
      </w:tr>
      <w:tr>
        <w:tc>
          <w:tcPr>
            <w:tcW w:type="dxa" w:w="2300"/>
          </w:tcPr>
          <w:p>
            <w:r>
              <w:rPr>
                <w:b w:val="false"/>
                <w:bCs w:val="false"/>
              </w:rPr>
              <w:t xml:space="preserve">Preventing ML label leakage (using future information to predict the past)</w:t>
            </w:r>
          </w:p>
        </w:tc>
        <w:tc>
          <w:tcPr>
            <w:tcW w:type="dxa" w:w="2900"/>
          </w:tcPr>
          <w:p>
            <w:r>
              <w:rPr>
                <w:b w:val="false"/>
                <w:bCs w:val="false"/>
              </w:rPr>
              <w:t xml:space="preserve">An assert-enforced invariant: feature_window_end &lt;= as_of_day, checked on every feature build</w:t>
            </w:r>
          </w:p>
        </w:tc>
        <w:tc>
          <w:tcPr>
            <w:tcW w:type="dxa" w:w="2050"/>
          </w:tcPr>
          <w:p>
            <w:r>
              <w:rPr>
                <w:b w:val="false"/>
                <w:bCs w:val="false"/>
              </w:rPr>
              <w:t xml:space="preserve">O(1) check per sample; verified by a dedicated test (test_leakage_check_trips_when_feature_window_extends_past_as_of_day)</w:t>
            </w:r>
          </w:p>
        </w:tc>
        <w:tc>
          <w:tcPr>
            <w:tcW w:type="dxa" w:w="2100"/>
          </w:tcPr>
          <w:p>
            <w:r>
              <w:rPr>
                <w:b w:val="false"/>
                <w:bCs w:val="false"/>
              </w:rPr>
              <w:t xml:space="preserve">services/ml/src/label_construction.py, feature_engineering.py</w:t>
            </w:r>
          </w:p>
        </w:tc>
      </w:tr>
      <w:tr>
        <w:tc>
          <w:tcPr>
            <w:tcW w:type="dxa" w:w="2300"/>
          </w:tcPr>
          <w:p>
            <w:r>
              <w:rPr>
                <w:b w:val="false"/>
                <w:bCs w:val="false"/>
              </w:rPr>
              <w:t xml:space="preserve">Bounded-step physics simulation across up to 100,000 vehicles per tick</w:t>
            </w:r>
          </w:p>
        </w:tc>
        <w:tc>
          <w:tcPr>
            <w:tcW w:type="dxa" w:w="2900"/>
          </w:tcPr>
          <w:p>
            <w:r>
              <w:rPr>
                <w:b w:val="false"/>
                <w:bCs w:val="false"/>
              </w:rPr>
              <w:t xml:space="preserve">Vectorized NumPy array operations across the whole active fleet at once (not a per-vehicle Python loop), since a naive per-vehicle loop over ~90 days x thousands of vehicles is computationally intractable in Python</w:t>
            </w:r>
          </w:p>
        </w:tc>
        <w:tc>
          <w:tcPr>
            <w:tcW w:type="dxa" w:w="2050"/>
          </w:tcPr>
          <w:p>
            <w:r>
              <w:rPr>
                <w:b w:val="false"/>
                <w:bCs w:val="false"/>
              </w:rPr>
              <w:t xml:space="preserve">O(n) per tick across n active vehicles, vectorized (not O(n) in interpreted Python loop overhead)</w:t>
            </w:r>
          </w:p>
        </w:tc>
        <w:tc>
          <w:tcPr>
            <w:tcW w:type="dxa" w:w="2100"/>
          </w:tcPr>
          <w:p>
            <w:r>
              <w:rPr>
                <w:b w:val="false"/>
                <w:bCs w:val="false"/>
              </w:rPr>
              <w:t xml:space="preserve">services/data-gen/src/simulation_runner.py, vehicle_state.py</w:t>
            </w:r>
          </w:p>
        </w:tc>
      </w:tr>
    </w:tbl>
    <w:p>
      <w:pPr>
        <w:spacing w:after="120"/>
      </w:pPr>
      <w:r>
        <w:t xml:space="preserve">Pseudocode — Bloom-filter dedup with Mongo backstop:</w:t>
      </w:r>
    </w:p>
    <w:p>
      <w:pPr>
        <w:pStyle w:val="ListParagraph"/>
        <w:numPr>
          <w:ilvl w:val="0"/>
          <w:numId w:val="1"/>
        </w:numPr>
        <w:spacing w:after="60"/>
      </w:pPr>
      <w:r>
        <w:t xml:space="preserve">if bloom_filter.might_contain(event_id): return DUPLICATE  # O(1), may false-positive as "maybe seen" but never false-negative if sized correctly</w:t>
      </w:r>
    </w:p>
    <w:p>
      <w:pPr>
        <w:pStyle w:val="ListParagraph"/>
        <w:numPr>
          <w:ilvl w:val="0"/>
          <w:numId w:val="1"/>
        </w:numPr>
        <w:spacing w:after="60"/>
      </w:pPr>
      <w:r>
        <w:t xml:space="preserve">bloom_filter.add(event_id)</w:t>
      </w:r>
    </w:p>
    <w:p>
      <w:pPr>
        <w:pStyle w:val="ListParagraph"/>
        <w:numPr>
          <w:ilvl w:val="0"/>
          <w:numId w:val="1"/>
        </w:numPr>
        <w:spacing w:after="60"/>
      </w:pPr>
      <w:r>
        <w:t xml:space="preserve">try: mongo.insert(event)  # unique index on event_id is the exact, durable backstop</w:t>
      </w:r>
    </w:p>
    <w:p>
      <w:pPr>
        <w:pStyle w:val="ListParagraph"/>
        <w:numPr>
          <w:ilvl w:val="0"/>
          <w:numId w:val="1"/>
        </w:numPr>
        <w:spacing w:after="60"/>
      </w:pPr>
      <w:r>
        <w:t xml:space="preserve">except DuplicateKeyError: return DUPLICATE  # rare — only the Bloom filter's false-negative case reaches here</w:t>
      </w:r>
    </w:p>
    <w:p>
      <w:pPr>
        <w:spacing w:after="120"/>
      </w:pPr>
      <w:r>
        <w:t xml:space="preserve">Scale tested: 16,203 HTTP requests (k6), 471 -&gt; 865 events through a live crash-recovery cycle (chaos demo), and the full automated test suites (90 tests) exercising these algorithms directly. The 100,000-vehicle scale test for the simulation/ingestion pipeline itself is specified and pending execution (§5.3, §7).</w:t>
      </w:r>
    </w:p>
    <w:p>
      <w:r>
        <w:br w:type="page"/>
      </w:r>
    </w:p>
    <w:p>
      <w:pPr>
        <w:pStyle w:val="Heading1"/>
        <w:spacing w:after="150" w:before="300"/>
      </w:pPr>
      <w:r>
        <w:t xml:space="preserve">7. Non-Functional Requirements &amp; Performance Benchmarks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0"/>
        <w:gridCol w:w="2400"/>
        <w:gridCol w:w="3050"/>
        <w:gridCol w:w="2350"/>
      </w:tblGrid>
      <w:tr>
        <w:tc>
          <w:tcPr>
            <w:tcW w:type="dxa" w:w="1550"/>
            <w:shd w:fill="D9E2F3" w:val="clear"/>
          </w:tcPr>
          <w:p>
            <w:r>
              <w:rPr>
                <w:b/>
                <w:bCs/>
              </w:rPr>
              <w:t xml:space="preserve">NFR</w:t>
            </w:r>
          </w:p>
        </w:tc>
        <w:tc>
          <w:tcPr>
            <w:tcW w:type="dxa" w:w="2400"/>
            <w:shd w:fill="D9E2F3" w:val="clear"/>
          </w:tcPr>
          <w:p>
            <w:r>
              <w:rPr>
                <w:b/>
                <w:bCs/>
              </w:rPr>
              <w:t xml:space="preserve">Target</w:t>
            </w:r>
          </w:p>
        </w:tc>
        <w:tc>
          <w:tcPr>
            <w:tcW w:type="dxa" w:w="3050"/>
            <w:shd w:fill="D9E2F3" w:val="clear"/>
          </w:tcPr>
          <w:p>
            <w:r>
              <w:rPr>
                <w:b/>
                <w:bCs/>
              </w:rPr>
              <w:t xml:space="preserve">Achieved</w:t>
            </w:r>
          </w:p>
        </w:tc>
        <w:tc>
          <w:tcPr>
            <w:tcW w:type="dxa" w:w="2350"/>
            <w:shd w:fill="D9E2F3" w:val="clear"/>
          </w:tcPr>
          <w:p>
            <w:r>
              <w:rPr>
                <w:b/>
                <w:bCs/>
              </w:rPr>
              <w:t xml:space="preserve">How Measured</w:t>
            </w:r>
          </w:p>
        </w:tc>
      </w:tr>
      <w:tr>
        <w:tc>
          <w:tcPr>
            <w:tcW w:type="dxa" w:w="1550"/>
          </w:tcPr>
          <w:p>
            <w:r>
              <w:rPr>
                <w:b w:val="false"/>
                <w:bCs w:val="false"/>
              </w:rPr>
              <w:t xml:space="preserve">Ingest Throughput</w:t>
            </w:r>
          </w:p>
        </w:tc>
        <w:tc>
          <w:tcPr>
            <w:tcW w:type="dxa" w:w="2400"/>
          </w:tcPr>
          <w:p>
            <w:r>
              <w:rPr>
                <w:b w:val="false"/>
                <w:bCs w:val="false"/>
              </w:rPr>
              <w:t xml:space="preserve">100,000+ events/sec</w:t>
            </w:r>
          </w:p>
        </w:tc>
        <w:tc>
          <w:tcPr>
            <w:tcW w:type="dxa" w:w="3050"/>
          </w:tcPr>
          <w:p>
            <w:r>
              <w:rPr>
                <w:b w:val="false"/>
                <w:bCs w:val="false"/>
              </w:rPr>
              <w:t xml:space="preserve">NOT MET — production ~17,856 events/sec, but ingestion consumption only ~1,897 events/sec, with consumer lag growing throughout the measured window (not stabilizing)</w:t>
            </w:r>
          </w:p>
        </w:tc>
        <w:tc>
          <w:tcPr>
            <w:tcW w:type="dxa" w:w="2350"/>
          </w:tcPr>
          <w:p>
            <w:r>
              <w:rPr>
                <w:b w:val="false"/>
                <w:bCs w:val="false"/>
              </w:rPr>
              <w:t xml:space="preserve">A real 100,000-vehicle SHORT_BURST run, two snapshots 67.861s apart via ingestion's /metrics counters. test-evidence/SHORT_BURST_100k_throughput_results_20261001.md</w:t>
            </w:r>
          </w:p>
        </w:tc>
      </w:tr>
      <w:tr>
        <w:tc>
          <w:tcPr>
            <w:tcW w:type="dxa" w:w="1550"/>
          </w:tcPr>
          <w:p>
            <w:r>
              <w:rPr>
                <w:b w:val="false"/>
                <w:bCs w:val="false"/>
              </w:rPr>
              <w:t xml:space="preserve">End-to-End Latency</w:t>
            </w:r>
          </w:p>
        </w:tc>
        <w:tc>
          <w:tcPr>
            <w:tcW w:type="dxa" w:w="2400"/>
          </w:tcPr>
          <w:p>
            <w:r>
              <w:rPr>
                <w:b w:val="false"/>
                <w:bCs w:val="false"/>
              </w:rPr>
              <w:t xml:space="preserve">&lt; 2s dashboard; &lt; 5s critical alert</w:t>
            </w:r>
          </w:p>
        </w:tc>
        <w:tc>
          <w:tcPr>
            <w:tcW w:type="dxa" w:w="3050"/>
          </w:tcPr>
          <w:p>
            <w:r>
              <w:rPr>
                <w:b w:val="false"/>
                <w:bCs w:val="false"/>
              </w:rPr>
              <w:t xml:space="preserve">Real-time alerts fire inline during ingestion, same event (sub-second rule evaluation); dashboard live-state push interval is 2s (WS_PUSH_INTERVAL_SECONDS) — not independently measured end-to-end under load</w:t>
            </w:r>
          </w:p>
        </w:tc>
        <w:tc>
          <w:tcPr>
            <w:tcW w:type="dxa" w:w="2350"/>
          </w:tcPr>
          <w:p>
            <w:r>
              <w:rPr>
                <w:b w:val="false"/>
                <w:bCs w:val="false"/>
              </w:rPr>
              <w:t xml:space="preserve">Configuration value (push interval) + code inspection of alert_rules.py's inline evaluation; not a dedicated latency measurement</w:t>
            </w:r>
          </w:p>
        </w:tc>
      </w:tr>
      <w:tr>
        <w:tc>
          <w:tcPr>
            <w:tcW w:type="dxa" w:w="1550"/>
          </w:tcPr>
          <w:p>
            <w:r>
              <w:rPr>
                <w:b w:val="false"/>
                <w:bCs w:val="false"/>
              </w:rPr>
              <w:t xml:space="preserve">API Latency</w:t>
            </w:r>
          </w:p>
        </w:tc>
        <w:tc>
          <w:tcPr>
            <w:tcW w:type="dxa" w:w="2400"/>
          </w:tcPr>
          <w:p>
            <w:r>
              <w:rPr>
                <w:b w:val="false"/>
                <w:bCs w:val="false"/>
              </w:rPr>
              <w:t xml:space="preserve">p95 &lt; 200 ms; p99 &lt; 500 ms</w:t>
            </w:r>
          </w:p>
        </w:tc>
        <w:tc>
          <w:tcPr>
            <w:tcW w:type="dxa" w:w="3050"/>
          </w:tcPr>
          <w:p>
            <w:r>
              <w:rPr>
                <w:b w:val="false"/>
                <w:bCs w:val="false"/>
              </w:rPr>
              <w:t xml:space="preserve">ACHIEVED — p95 = 60.84 ms; p99 = 93.4 ms</w:t>
            </w:r>
          </w:p>
        </w:tc>
        <w:tc>
          <w:tcPr>
            <w:tcW w:type="dxa" w:w="2350"/>
          </w:tcPr>
          <w:p>
            <w:r>
              <w:rPr>
                <w:b w:val="false"/>
                <w:bCs w:val="false"/>
              </w:rPr>
              <w:t xml:space="preserve">k6, 200 concurrent VUs, 30s ramp/60s hold/15s down, 16,203 requests, 100% success. test-evidence/k6_load_test_results.md</w:t>
            </w:r>
          </w:p>
        </w:tc>
      </w:tr>
      <w:tr>
        <w:tc>
          <w:tcPr>
            <w:tcW w:type="dxa" w:w="1550"/>
          </w:tcPr>
          <w:p>
            <w:r>
              <w:rPr>
                <w:b w:val="false"/>
                <w:bCs w:val="false"/>
              </w:rPr>
              <w:t xml:space="preserve">Resilience</w:t>
            </w:r>
          </w:p>
        </w:tc>
        <w:tc>
          <w:tcPr>
            <w:tcW w:type="dxa" w:w="2400"/>
          </w:tcPr>
          <w:p>
            <w:r>
              <w:rPr>
                <w:b w:val="false"/>
                <w:bCs w:val="false"/>
              </w:rPr>
              <w:t xml:space="preserve">Recovers after broker / pod failure</w:t>
            </w:r>
          </w:p>
        </w:tc>
        <w:tc>
          <w:tcPr>
            <w:tcW w:type="dxa" w:w="3050"/>
          </w:tcPr>
          <w:p>
            <w:r>
              <w:rPr>
                <w:b w:val="false"/>
                <w:bCs w:val="false"/>
              </w:rPr>
              <w:t xml:space="preserve">ACHIEVED — internal process crash recovered automatically in 5.9s with zero data loss</w:t>
            </w:r>
          </w:p>
        </w:tc>
        <w:tc>
          <w:tcPr>
            <w:tcW w:type="dxa" w:w="2350"/>
          </w:tcPr>
          <w:p>
            <w:r>
              <w:rPr>
                <w:b w:val="false"/>
                <w:bCs w:val="false"/>
              </w:rPr>
              <w:t xml:space="preserve">test-evidence/chaos_demo.ps1 + generated report; see §6.4 and §9</w:t>
            </w:r>
          </w:p>
        </w:tc>
      </w:tr>
      <w:tr>
        <w:tc>
          <w:tcPr>
            <w:tcW w:type="dxa" w:w="1550"/>
          </w:tcPr>
          <w:p>
            <w:r>
              <w:rPr>
                <w:b w:val="false"/>
                <w:bCs w:val="false"/>
              </w:rPr>
              <w:t xml:space="preserve">Availability</w:t>
            </w:r>
          </w:p>
        </w:tc>
        <w:tc>
          <w:tcPr>
            <w:tcW w:type="dxa" w:w="2400"/>
          </w:tcPr>
          <w:p>
            <w:r>
              <w:rPr>
                <w:b w:val="false"/>
                <w:bCs w:val="false"/>
              </w:rPr>
              <w:t xml:space="preserve">99.9%, no single point of failure</w:t>
            </w:r>
          </w:p>
        </w:tc>
        <w:tc>
          <w:tcPr>
            <w:tcW w:type="dxa" w:w="3050"/>
          </w:tcPr>
          <w:p>
            <w:r>
              <w:rPr>
                <w:b w:val="false"/>
                <w:bCs w:val="false"/>
              </w:rPr>
              <w:t xml:space="preserve">PARTIAL — each datastore (Postgres/Mongo/Redis/Kafka) runs as a single instance in this deployment; no replication/clustering configured</w:t>
            </w:r>
          </w:p>
        </w:tc>
        <w:tc>
          <w:tcPr>
            <w:tcW w:type="dxa" w:w="2350"/>
          </w:tcPr>
          <w:p>
            <w:r>
              <w:rPr>
                <w:b w:val="false"/>
                <w:bCs w:val="false"/>
              </w:rPr>
              <w:t xml:space="preserve">Declared gap — a real multi-replica deployment is future work (§12), not measured as a live SLA here</w:t>
            </w:r>
          </w:p>
        </w:tc>
      </w:tr>
    </w:tbl>
    <w:p>
      <w:pPr>
        <w:pStyle w:val="Heading3"/>
        <w:spacing w:after="100" w:before="180"/>
      </w:pPr>
      <w:r>
        <w:t xml:space="preserve">Why ingest throughput fell short, and what closes the gap</w:t>
      </w:r>
    </w:p>
    <w:p>
      <w:pPr>
        <w:spacing w:after="120"/>
      </w:pPr>
      <w:r>
        <w:t xml:space="preserve">The single-broker, single-threaded-consumer design (ADR-3) was always a declared trade-off for build speed over the time budget, not a claim that it would hit enterprise-scale throughput unmodified. The measured ~1,897 events/sec ceiling is consistent with that design: ingestion's consume loop does per-event CPU work (JSON parse, validation, dedup check, aggregation under a lock) on a single Python thread, which structurally cannot approach 100,000 events/sec no matter how much the I/O side is optimized (and the I/O side already was optimized once during this project — an earlier unbatched Mongo/Redis pattern capped throughput around 400 events/sec until it was fixed). The real, available path to closing this gap — not yet implemented, but requiring no schema change — is horizontal consumer parallelism: running multiple ingestion instances, each consuming a disjoint subset of the 12 Kafka partitions already provisioned. This is reported as a finding and a next step (§12), not smoothed over.</w:t>
      </w:r>
    </w:p>
    <w:p>
      <w:pPr>
        <w:pStyle w:val="Heading3"/>
        <w:spacing w:after="100" w:before="180"/>
      </w:pPr>
      <w:r>
        <w:t xml:space="preserve">Load test setup and results</w:t>
      </w:r>
    </w:p>
    <w:p>
      <w:pPr>
        <w:spacing w:after="120"/>
      </w:pPr>
      <w:r>
        <w:t xml:space="preserve">Tool: k6 (Grafana), run via the official Docker image sharing the api container's network namespace. Scenario: ramping-VUs executor, 0 -&gt; 200 VUs over 30s, hold 200 VUs for 60s, ramp down over 15s. Traffic mix weighted toward realistic dashboard usage: vehicle detail (35%), vehicle search (25%), fleet summary (20%), alerts list (20%). Rate limiting was temporarily raised for the duration of this specific test (to measure true latency headroom rather than 429 throttling) and restored to its normal default immediately afterward.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c>
          <w:tcPr>
            <w:tcW w:type="dxa" w:w="3400"/>
            <w:shd w:fill="D9E2F3" w:val="clear"/>
          </w:tcPr>
          <w:p>
            <w:r>
              <w:rPr>
                <w:b/>
                <w:bCs/>
              </w:rPr>
              <w:t xml:space="preserve">Metric</w:t>
            </w:r>
          </w:p>
        </w:tc>
        <w:tc>
          <w:tcPr>
            <w:tcW w:type="dxa" w:w="5950"/>
            <w:shd w:fill="D9E2F3" w:val="clear"/>
          </w:tcPr>
          <w:p>
            <w:r>
              <w:rPr>
                <w:b/>
                <w:bCs/>
              </w:rPr>
              <w:t xml:space="preserve">Result</w:t>
            </w:r>
          </w:p>
        </w:tc>
      </w:tr>
      <w:tr>
        <w:tc>
          <w:tcPr>
            <w:tcW w:type="dxa" w:w="3400"/>
          </w:tcPr>
          <w:p>
            <w:r>
              <w:rPr>
                <w:b w:val="false"/>
                <w:bCs w:val="false"/>
              </w:rPr>
              <w:t xml:space="preserve">Total requests</w:t>
            </w:r>
          </w:p>
        </w:tc>
        <w:tc>
          <w:tcPr>
            <w:tcW w:type="dxa" w:w="5950"/>
          </w:tcPr>
          <w:p>
            <w:r>
              <w:rPr>
                <w:b w:val="false"/>
                <w:bCs w:val="false"/>
              </w:rPr>
              <w:t xml:space="preserve">16,203 (+ some setup calls, 16,206 total HTTP requests)</w:t>
            </w:r>
          </w:p>
        </w:tc>
      </w:tr>
      <w:tr>
        <w:tc>
          <w:tcPr>
            <w:tcW w:type="dxa" w:w="3400"/>
          </w:tcPr>
          <w:p>
            <w:r>
              <w:rPr>
                <w:b w:val="false"/>
                <w:bCs w:val="false"/>
              </w:rPr>
              <w:t xml:space="preserve">Success rate</w:t>
            </w:r>
          </w:p>
        </w:tc>
        <w:tc>
          <w:tcPr>
            <w:tcW w:type="dxa" w:w="5950"/>
          </w:tcPr>
          <w:p>
            <w:r>
              <w:rPr>
                <w:b w:val="false"/>
                <w:bCs w:val="false"/>
              </w:rPr>
              <w:t xml:space="preserve">100.00% (0 failed)</w:t>
            </w:r>
          </w:p>
        </w:tc>
      </w:tr>
      <w:tr>
        <w:tc>
          <w:tcPr>
            <w:tcW w:type="dxa" w:w="3400"/>
          </w:tcPr>
          <w:p>
            <w:r>
              <w:rPr>
                <w:b w:val="false"/>
                <w:bCs w:val="false"/>
              </w:rPr>
              <w:t xml:space="preserve">avg / median latency</w:t>
            </w:r>
          </w:p>
        </w:tc>
        <w:tc>
          <w:tcPr>
            <w:tcW w:type="dxa" w:w="5950"/>
          </w:tcPr>
          <w:p>
            <w:r>
              <w:rPr>
                <w:b w:val="false"/>
                <w:bCs w:val="false"/>
              </w:rPr>
              <w:t xml:space="preserve">20.13 ms / 12.43 ms</w:t>
            </w:r>
          </w:p>
        </w:tc>
      </w:tr>
      <w:tr>
        <w:tc>
          <w:tcPr>
            <w:tcW w:type="dxa" w:w="3400"/>
          </w:tcPr>
          <w:p>
            <w:r>
              <w:rPr>
                <w:b w:val="false"/>
                <w:bCs w:val="false"/>
              </w:rPr>
              <w:t xml:space="preserve">p90 / p95 / p99 latency</w:t>
            </w:r>
          </w:p>
        </w:tc>
        <w:tc>
          <w:tcPr>
            <w:tcW w:type="dxa" w:w="5950"/>
          </w:tcPr>
          <w:p>
            <w:r>
              <w:rPr>
                <w:b w:val="false"/>
                <w:bCs w:val="false"/>
              </w:rPr>
              <w:t xml:space="preserve">45.1 ms / 60.86 ms / 93.5 ms</w:t>
            </w:r>
          </w:p>
        </w:tc>
      </w:tr>
      <w:tr>
        <w:tc>
          <w:tcPr>
            <w:tcW w:type="dxa" w:w="3400"/>
          </w:tcPr>
          <w:p>
            <w:r>
              <w:rPr>
                <w:b w:val="false"/>
                <w:bCs w:val="false"/>
              </w:rPr>
              <w:t xml:space="preserve">max latency</w:t>
            </w:r>
          </w:p>
        </w:tc>
        <w:tc>
          <w:tcPr>
            <w:tcW w:type="dxa" w:w="5950"/>
          </w:tcPr>
          <w:p>
            <w:r>
              <w:rPr>
                <w:b w:val="false"/>
                <w:bCs w:val="false"/>
              </w:rPr>
              <w:t xml:space="preserve">364.1 ms (single outlier; p99 band max was 179.48 ms)</w:t>
            </w:r>
          </w:p>
        </w:tc>
      </w:tr>
      <w:tr>
        <w:tc>
          <w:tcPr>
            <w:tcW w:type="dxa" w:w="3400"/>
          </w:tcPr>
          <w:p>
            <w:r>
              <w:rPr>
                <w:b w:val="false"/>
                <w:bCs w:val="false"/>
              </w:rPr>
              <w:t xml:space="preserve">Throughput</w:t>
            </w:r>
          </w:p>
        </w:tc>
        <w:tc>
          <w:tcPr>
            <w:tcW w:type="dxa" w:w="5950"/>
          </w:tcPr>
          <w:p>
            <w:r>
              <w:rPr>
                <w:b w:val="false"/>
                <w:bCs w:val="false"/>
              </w:rPr>
              <w:t xml:space="preserve">~152.4 requests/sec sustained</w:t>
            </w:r>
          </w:p>
        </w:tc>
      </w:tr>
    </w:tbl>
    <w:p>
      <w:r>
        <w:br w:type="page"/>
      </w:r>
    </w:p>
    <w:p>
      <w:pPr>
        <w:pStyle w:val="Heading1"/>
        <w:spacing w:after="150" w:before="300"/>
      </w:pPr>
      <w:r>
        <w:t xml:space="preserve">8. Security &amp; Compliance</w:t>
      </w:r>
    </w:p>
    <w:p>
      <w:pPr>
        <w:spacing w:after="120"/>
      </w:pPr>
      <w:r>
        <w:t xml:space="preserve">Full threat model: docs/STRIDE_threat_model.md. Summary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350"/>
      </w:tblGrid>
      <w:tr>
        <w:tc>
          <w:tcPr>
            <w:tcW w:type="dxa" w:w="1700"/>
            <w:shd w:fill="D9E2F3" w:val="clear"/>
          </w:tcPr>
          <w:p>
            <w:r>
              <w:rPr>
                <w:b/>
                <w:bCs/>
              </w:rPr>
              <w:t xml:space="preserve">STRIDE Category</w:t>
            </w:r>
          </w:p>
        </w:tc>
        <w:tc>
          <w:tcPr>
            <w:tcW w:type="dxa" w:w="4300"/>
            <w:shd w:fill="D9E2F3" w:val="clear"/>
          </w:tcPr>
          <w:p>
            <w:r>
              <w:rPr>
                <w:b/>
                <w:bCs/>
              </w:rPr>
              <w:t xml:space="preserve">Key Mitigation</w:t>
            </w:r>
          </w:p>
        </w:tc>
        <w:tc>
          <w:tcPr>
            <w:tcW w:type="dxa" w:w="3350"/>
            <w:shd w:fill="D9E2F3" w:val="clear"/>
          </w:tcPr>
          <w:p>
            <w:r>
              <w:rPr>
                <w:b/>
                <w:bCs/>
              </w:rPr>
              <w:t xml:space="preserve">Declared Residual Gap</w:t>
            </w:r>
          </w:p>
        </w:tc>
      </w:tr>
      <w:tr>
        <w:tc>
          <w:tcPr>
            <w:tcW w:type="dxa" w:w="1700"/>
          </w:tcPr>
          <w:p>
            <w:r>
              <w:rPr>
                <w:b w:val="false"/>
                <w:bCs w:val="false"/>
              </w:rPr>
              <w:t xml:space="preserve">Spoofing</w:t>
            </w:r>
          </w:p>
        </w:tc>
        <w:tc>
          <w:tcPr>
            <w:tcW w:type="dxa" w:w="4300"/>
          </w:tcPr>
          <w:p>
            <w:r>
              <w:rPr>
                <w:b w:val="false"/>
                <w:bCs w:val="false"/>
              </w:rPr>
              <w:t xml:space="preserve">JWT (HS256) required on every endpoint except /health and /auth/login; role embedded in the signed token and verified server-side per request</w:t>
            </w:r>
          </w:p>
        </w:tc>
        <w:tc>
          <w:tcPr>
            <w:tcW w:type="dxa" w:w="3350"/>
          </w:tcPr>
          <w:p>
            <w:r>
              <w:rPr>
                <w:b w:val="false"/>
                <w:bCs w:val="false"/>
              </w:rPr>
              <w:t xml:space="preserve">No mTLS between internal services — any container on the Docker network can call any other service's HTTP API directly</w:t>
            </w:r>
          </w:p>
        </w:tc>
      </w:tr>
      <w:tr>
        <w:tc>
          <w:tcPr>
            <w:tcW w:type="dxa" w:w="1700"/>
          </w:tcPr>
          <w:p>
            <w:r>
              <w:rPr>
                <w:b w:val="false"/>
                <w:bCs w:val="false"/>
              </w:rPr>
              <w:t xml:space="preserve">Tampering</w:t>
            </w:r>
          </w:p>
        </w:tc>
        <w:tc>
          <w:tcPr>
            <w:tcW w:type="dxa" w:w="4300"/>
          </w:tcPr>
          <w:p>
            <w:r>
              <w:rPr>
                <w:b w:val="false"/>
                <w:bCs w:val="false"/>
              </w:rPr>
              <w:t xml:space="preserve">Schema + range validation on every ingested event; SQL sandbox enforces SELECT/WITH-only via a comment- and string-literal-aware parser (not a naive keyword grep), a genuinely separate read-only Postgres role, a 3-second statement timeout, and an always-rolled-back transaction</w:t>
            </w:r>
          </w:p>
        </w:tc>
        <w:tc>
          <w:tcPr>
            <w:tcW w:type="dxa" w:w="3350"/>
          </w:tcPr>
          <w:p>
            <w:r>
              <w:rPr>
                <w:b w:val="false"/>
                <w:bCs w:val="false"/>
              </w:rPr>
              <w:t xml:space="preserve">No TLS between containers on the local Docker network (plaintext internal traffic) — acceptable for a single-host demo, a real gap for a multi-host deployment</w:t>
            </w:r>
          </w:p>
        </w:tc>
      </w:tr>
      <w:tr>
        <w:tc>
          <w:tcPr>
            <w:tcW w:type="dxa" w:w="1700"/>
          </w:tcPr>
          <w:p>
            <w:r>
              <w:rPr>
                <w:b w:val="false"/>
                <w:bCs w:val="false"/>
              </w:rPr>
              <w:t xml:space="preserve">Repudiation</w:t>
            </w:r>
          </w:p>
        </w:tc>
        <w:tc>
          <w:tcPr>
            <w:tcW w:type="dxa" w:w="4300"/>
          </w:tcPr>
          <w:p>
            <w:r>
              <w:rPr>
                <w:b w:val="false"/>
                <w:bCs w:val="false"/>
              </w:rPr>
              <w:t xml:space="preserve">Alert acknowledgements and SQL sandbox queries are attributable to the authenticated user who made the call; sandbox logs every query's text with the caller's user ID</w:t>
            </w:r>
          </w:p>
        </w:tc>
        <w:tc>
          <w:tcPr>
            <w:tcW w:type="dxa" w:w="3350"/>
          </w:tcPr>
          <w:p>
            <w:r>
              <w:rPr>
                <w:b w:val="false"/>
                <w:bCs w:val="false"/>
              </w:rPr>
              <w:t xml:space="preserve">No centralized, tamper-evident (e.g. hash-chained) audit log — current logging is standard application logs, not a compliance-grade audit trail</w:t>
            </w:r>
          </w:p>
        </w:tc>
      </w:tr>
      <w:tr>
        <w:tc>
          <w:tcPr>
            <w:tcW w:type="dxa" w:w="1700"/>
          </w:tcPr>
          <w:p>
            <w:r>
              <w:rPr>
                <w:b w:val="false"/>
                <w:bCs w:val="false"/>
              </w:rPr>
              <w:t xml:space="preserve">Information Disclosure</w:t>
            </w:r>
          </w:p>
        </w:tc>
        <w:tc>
          <w:tcPr>
            <w:tcW w:type="dxa" w:w="4300"/>
          </w:tcPr>
          <w:p>
            <w:r>
              <w:rPr>
                <w:b w:val="false"/>
                <w:bCs w:val="false"/>
              </w:rPr>
              <w:t xml:space="preserve">Sandbox's read-only role has REVOKE ALL ON TABLE users — even a successful sandbox query cannot read password hashes regardless of what SQL is typed; RBAC gates every endpoint by role</w:t>
            </w:r>
          </w:p>
        </w:tc>
        <w:tc>
          <w:tcPr>
            <w:tcW w:type="dxa" w:w="3350"/>
          </w:tcPr>
          <w:p>
            <w:r>
              <w:rPr>
                <w:b w:val="false"/>
                <w:bCs w:val="false"/>
              </w:rPr>
              <w:t xml:space="preserve">No field-level data masking (project deliberately has no location data to mask); no per-tenant row-level isolation (single-tenant MVP, declared)</w:t>
            </w:r>
          </w:p>
        </w:tc>
      </w:tr>
      <w:tr>
        <w:tc>
          <w:tcPr>
            <w:tcW w:type="dxa" w:w="1700"/>
          </w:tcPr>
          <w:p>
            <w:r>
              <w:rPr>
                <w:b w:val="false"/>
                <w:bCs w:val="false"/>
              </w:rPr>
              <w:t xml:space="preserve">Denial of Service</w:t>
            </w:r>
          </w:p>
        </w:tc>
        <w:tc>
          <w:tcPr>
            <w:tcW w:type="dxa" w:w="4300"/>
          </w:tcPr>
          <w:p>
            <w:r>
              <w:rPr>
                <w:b w:val="false"/>
                <w:bCs w:val="false"/>
              </w:rPr>
              <w:t xml:space="preserve">Per-user-per-endpoint rate limiting (Redis-backed sliding window, 120/min default); login additionally rate-limited by client IP; Bloom-filter dedup + schema validation reject malformed/duplicate events before expensive downstream writes</w:t>
            </w:r>
          </w:p>
        </w:tc>
        <w:tc>
          <w:tcPr>
            <w:tcW w:type="dxa" w:w="3350"/>
          </w:tcPr>
          <w:p>
            <w:r>
              <w:rPr>
                <w:b w:val="false"/>
                <w:bCs w:val="false"/>
              </w:rPr>
              <w:t xml:space="preserve">Single Kafka broker, single ingestion consumer thread — no horizontal scaling under sustained attack-scale load in this deployment</w:t>
            </w:r>
          </w:p>
        </w:tc>
      </w:tr>
      <w:tr>
        <w:tc>
          <w:tcPr>
            <w:tcW w:type="dxa" w:w="1700"/>
          </w:tcPr>
          <w:p>
            <w:r>
              <w:rPr>
                <w:b w:val="false"/>
                <w:bCs w:val="false"/>
              </w:rPr>
              <w:t xml:space="preserve">Elevation of Privilege</w:t>
            </w:r>
          </w:p>
        </w:tc>
        <w:tc>
          <w:tcPr>
            <w:tcW w:type="dxa" w:w="4300"/>
          </w:tcPr>
          <w:p>
            <w:r>
              <w:rPr>
                <w:b w:val="false"/>
                <w:bCs w:val="false"/>
              </w:rPr>
              <w:t xml:space="preserve">Every state-changing endpoint requires FLEET_MANAGER or ADMIN via require_role(*WRITE_ROLES); verified by automated tests (test_sandbox_rbac, test_register_is_admin_only, all passing)</w:t>
            </w:r>
          </w:p>
        </w:tc>
        <w:tc>
          <w:tcPr>
            <w:tcW w:type="dxa" w:w="3350"/>
          </w:tcPr>
          <w:p>
            <w:r>
              <w:rPr>
                <w:b w:val="false"/>
                <w:bCs w:val="false"/>
              </w:rPr>
              <w:t xml:space="preserve">Single shared HS256 JWT secret rather than per-environment asymmetric keys</w:t>
            </w:r>
          </w:p>
        </w:tc>
      </w:tr>
    </w:tbl>
    <w:p>
      <w:pPr>
        <w:pStyle w:val="Heading3"/>
        <w:spacing w:after="100" w:before="180"/>
      </w:pPr>
      <w:r>
        <w:t xml:space="preserve">Authentication &amp; Authorization</w:t>
      </w:r>
    </w:p>
    <w:p>
      <w:pPr>
        <w:spacing w:after="120"/>
      </w:pPr>
      <w:r>
        <w:t xml:space="preserve">JWT (HS256), three roles (ADMIN, FLEET_MANAGER, VIEWER), enforced via a FastAPI dependency on every protected route. This is a declared, documented scope cut versus the full NFR-table ask (OAuth2/OIDC, mTLS, a secrets vault) — see ADR-5 for the full reasoning and the stated upgrade path (swapping JWT issuance for a real IdP later without touching any require_role call site).</w:t>
      </w:r>
    </w:p>
    <w:p>
      <w:pPr>
        <w:pStyle w:val="Heading3"/>
        <w:spacing w:after="100" w:before="180"/>
      </w:pPr>
      <w:r>
        <w:t xml:space="preserve">Device Identity &amp; Encryption</w:t>
      </w:r>
    </w:p>
    <w:p>
      <w:pPr>
        <w:spacing w:after="120"/>
      </w:pPr>
      <w:r>
        <w:t xml:space="preserve">Not implemented in this deployment: no mTLS for simulated "devices" (the data-gen simulator stands in for real vehicle hardware), no TLS between internal containers. Secrets (DB passwords, JWT secret) are environment-variable-based, kept in a gitignored .env file (never committed; .env.example provides the template with placeholder values).</w:t>
      </w:r>
    </w:p>
    <w:p>
      <w:pPr>
        <w:pStyle w:val="Heading3"/>
        <w:spacing w:after="100" w:before="180"/>
      </w:pPr>
      <w:r>
        <w:t xml:space="preserve">Privacy</w:t>
      </w:r>
    </w:p>
    <w:p>
      <w:pPr>
        <w:spacing w:after="120"/>
      </w:pPr>
      <w:r>
        <w:t xml:space="preserve">No real personal or vehicle-owner data is used anywhere (all data is synthetically generated — see Declarations, §16). No location data is collected at all (the project deliberately scoped to battery-only telemetry, so there is no location field to mask or anonymize in the first place).</w:t>
      </w:r>
    </w:p>
    <w:p>
      <w:pPr>
        <w:pStyle w:val="Heading3"/>
        <w:spacing w:after="100" w:before="180"/>
      </w:pPr>
      <w:r>
        <w:t xml:space="preserve">AI Safety (SQL Sandbox as the relevant analog)</w:t>
      </w:r>
    </w:p>
    <w:p>
      <w:pPr>
        <w:spacing w:after="120"/>
      </w:pPr>
      <w:r>
        <w:t xml:space="preserve">This project has no LLM/agentic component in its core decision path (§11 explains why), so classic prompt-injection concerns do not directly apply. The closest analogous risk — a user-facing feature that executes arbitrary input against the database — is the SQL sandbox, and it is defended in depth: a parser that correctly handles comments and string literals (so a real DELETE cannot be hidden inside a comment or a string that merely contains the word), a genuinely separate database role (not just an application-level check), a hard timeout, a forced row limit, and a transaction that is always rolled back even on success.</w:t>
      </w:r>
    </w:p>
    <w:p>
      <w:r>
        <w:br w:type="page"/>
      </w:r>
    </w:p>
    <w:p>
      <w:pPr>
        <w:pStyle w:val="Heading1"/>
        <w:spacing w:after="150" w:before="300"/>
      </w:pPr>
      <w:r>
        <w:t xml:space="preserve">9. Test Strategy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1550"/>
        <w:gridCol w:w="2950"/>
        <w:gridCol w:w="950"/>
      </w:tblGrid>
      <w:tr>
        <w:tc>
          <w:tcPr>
            <w:tcW w:type="dxa" w:w="1600"/>
            <w:shd w:fill="D9E2F3" w:val="clear"/>
          </w:tcPr>
          <w:p>
            <w:r>
              <w:rPr>
                <w:b/>
                <w:bCs/>
              </w:rPr>
              <w:t xml:space="preserve">Test Type</w:t>
            </w:r>
          </w:p>
        </w:tc>
        <w:tc>
          <w:tcPr>
            <w:tcW w:type="dxa" w:w="2300"/>
            <w:shd w:fill="D9E2F3" w:val="clear"/>
          </w:tcPr>
          <w:p>
            <w:r>
              <w:rPr>
                <w:b/>
                <w:bCs/>
              </w:rPr>
              <w:t xml:space="preserve">Tools</w:t>
            </w:r>
          </w:p>
        </w:tc>
        <w:tc>
          <w:tcPr>
            <w:tcW w:type="dxa" w:w="1550"/>
            <w:shd w:fill="D9E2F3" w:val="clear"/>
          </w:tcPr>
          <w:p>
            <w:r>
              <w:rPr>
                <w:b/>
                <w:bCs/>
              </w:rPr>
              <w:t xml:space="preserve">No. of Tests</w:t>
            </w:r>
          </w:p>
        </w:tc>
        <w:tc>
          <w:tcPr>
            <w:tcW w:type="dxa" w:w="2950"/>
            <w:shd w:fill="D9E2F3" w:val="clear"/>
          </w:tcPr>
          <w:p>
            <w:r>
              <w:rPr>
                <w:b/>
                <w:bCs/>
              </w:rPr>
              <w:t xml:space="preserve">Coverage / Result</w:t>
            </w:r>
          </w:p>
        </w:tc>
        <w:tc>
          <w:tcPr>
            <w:tcW w:type="dxa" w:w="950"/>
            <w:shd w:fill="D9E2F3" w:val="clear"/>
          </w:tcPr>
          <w:p>
            <w:r>
              <w:rPr>
                <w:b/>
                <w:bCs/>
              </w:rPr>
              <w:t xml:space="preserve">In CI?</w:t>
            </w:r>
          </w:p>
        </w:tc>
      </w:tr>
      <w:tr>
        <w:tc>
          <w:tcPr>
            <w:tcW w:type="dxa" w:w="1600"/>
          </w:tcPr>
          <w:p>
            <w:r>
              <w:rPr>
                <w:b w:val="false"/>
                <w:bCs w:val="false"/>
              </w:rPr>
              <w:t xml:space="preserve">Unit</w:t>
            </w:r>
          </w:p>
        </w:tc>
        <w:tc>
          <w:tcPr>
            <w:tcW w:type="dxa" w:w="2300"/>
          </w:tcPr>
          <w:p>
            <w:r>
              <w:rPr>
                <w:b w:val="false"/>
                <w:bCs w:val="false"/>
              </w:rPr>
              <w:t xml:space="preserve">pytest</w:t>
            </w:r>
          </w:p>
        </w:tc>
        <w:tc>
          <w:tcPr>
            <w:tcW w:type="dxa" w:w="1550"/>
          </w:tcPr>
          <w:p>
            <w:r>
              <w:rPr>
                <w:b w:val="false"/>
                <w:bCs w:val="false"/>
              </w:rPr>
              <w:t xml:space="preserve">90 (data-gen 8, ingestion 24, ml 11, api 47)</w:t>
            </w:r>
          </w:p>
        </w:tc>
        <w:tc>
          <w:tcPr>
            <w:tcW w:type="dxa" w:w="2950"/>
          </w:tcPr>
          <w:p>
            <w:r>
              <w:rPr>
                <w:b w:val="false"/>
                <w:bCs w:val="false"/>
              </w:rPr>
              <w:t xml:space="preserve">100% passing; line/branch coverage not separately measured (coverage.py not run) — declared gap</w:t>
            </w:r>
          </w:p>
        </w:tc>
        <w:tc>
          <w:tcPr>
            <w:tcW w:type="dxa" w:w="950"/>
          </w:tcPr>
          <w:p>
            <w:r>
              <w:rPr>
                <w:b w:val="false"/>
                <w:bCs w:val="false"/>
              </w:rPr>
              <w:t xml:space="preserve">Yes (.github/workflows/ci.yml runs all four suites + a frontend build on every push)</w:t>
            </w:r>
          </w:p>
        </w:tc>
      </w:tr>
      <w:tr>
        <w:tc>
          <w:tcPr>
            <w:tcW w:type="dxa" w:w="1600"/>
          </w:tcPr>
          <w:p>
            <w:r>
              <w:rPr>
                <w:b w:val="false"/>
                <w:bCs w:val="false"/>
              </w:rPr>
              <w:t xml:space="preserve">Integration &amp; contract</w:t>
            </w:r>
          </w:p>
        </w:tc>
        <w:tc>
          <w:tcPr>
            <w:tcW w:type="dxa" w:w="2300"/>
          </w:tcPr>
          <w:p>
            <w:r>
              <w:rPr>
                <w:b w:val="false"/>
                <w:bCs w:val="false"/>
              </w:rPr>
              <w:t xml:space="preserve">pytest with an in-memory SQLite fixture DB + fakeredis (api); real-logic tests against the actual aggregator/segmenter code (ingestion)</w:t>
            </w:r>
          </w:p>
        </w:tc>
        <w:tc>
          <w:tcPr>
            <w:tcW w:type="dxa" w:w="1550"/>
          </w:tcPr>
          <w:p>
            <w:r>
              <w:rPr>
                <w:b w:val="false"/>
                <w:bCs w:val="false"/>
              </w:rPr>
              <w:t xml:space="preserve">Included within the above 90 (e.g. test_detail_falls_back_to_postgres, windowed-aggregator flush tests)</w:t>
            </w:r>
          </w:p>
        </w:tc>
        <w:tc>
          <w:tcPr>
            <w:tcW w:type="dxa" w:w="2950"/>
          </w:tcPr>
          <w:p>
            <w:r>
              <w:rPr>
                <w:b w:val="false"/>
                <w:bCs w:val="false"/>
              </w:rPr>
              <w:t xml:space="preserve">Passing. Declared simplification: not full Testcontainers-based cross-service integration tests against real Postgres/Kafka in CI</w:t>
            </w:r>
          </w:p>
        </w:tc>
        <w:tc>
          <w:tcPr>
            <w:tcW w:type="dxa" w:w="950"/>
          </w:tcPr>
          <w:p>
            <w:r>
              <w:rPr>
                <w:b w:val="false"/>
                <w:bCs w:val="false"/>
              </w:rPr>
              <w:t xml:space="preserve">Yes, same CI run</w:t>
            </w:r>
          </w:p>
        </w:tc>
      </w:tr>
      <w:tr>
        <w:tc>
          <w:tcPr>
            <w:tcW w:type="dxa" w:w="1600"/>
          </w:tcPr>
          <w:p>
            <w:r>
              <w:rPr>
                <w:b w:val="false"/>
                <w:bCs w:val="false"/>
              </w:rPr>
              <w:t xml:space="preserve">Acceptance (BDD)</w:t>
            </w:r>
          </w:p>
        </w:tc>
        <w:tc>
          <w:tcPr>
            <w:tcW w:type="dxa" w:w="2300"/>
          </w:tcPr>
          <w:p>
            <w:r>
              <w:rPr>
                <w:b w:val="false"/>
                <w:bCs w:val="false"/>
              </w:rPr>
              <w:t xml:space="preserve">Not implemented (no Cucumber/behave)</w:t>
            </w:r>
          </w:p>
        </w:tc>
        <w:tc>
          <w:tcPr>
            <w:tcW w:type="dxa" w:w="1550"/>
          </w:tcPr>
          <w:p>
            <w:r>
              <w:rPr>
                <w:b w:val="false"/>
                <w:bCs w:val="false"/>
              </w:rPr>
              <w:t xml:space="preserve">0</w:t>
            </w:r>
          </w:p>
        </w:tc>
        <w:tc>
          <w:tcPr>
            <w:tcW w:type="dxa" w:w="2950"/>
          </w:tcPr>
          <w:p>
            <w:r>
              <w:rPr>
                <w:b w:val="false"/>
                <w:bCs w:val="false"/>
              </w:rPr>
              <w:t xml:space="preserve">Declared gap given the time budget; the Feature List (§4) user stories serve as informal acceptance criteria instead</w:t>
            </w:r>
          </w:p>
        </w:tc>
        <w:tc>
          <w:tcPr>
            <w:tcW w:type="dxa" w:w="950"/>
          </w:tcPr>
          <w:p>
            <w:r>
              <w:rPr>
                <w:b w:val="false"/>
                <w:bCs w:val="false"/>
              </w:rPr>
              <w:t xml:space="preserve">No</w:t>
            </w:r>
          </w:p>
        </w:tc>
      </w:tr>
      <w:tr>
        <w:tc>
          <w:tcPr>
            <w:tcW w:type="dxa" w:w="1600"/>
          </w:tcPr>
          <w:p>
            <w:r>
              <w:rPr>
                <w:b w:val="false"/>
                <w:bCs w:val="false"/>
              </w:rPr>
              <w:t xml:space="preserve">Performance / Load</w:t>
            </w:r>
          </w:p>
        </w:tc>
        <w:tc>
          <w:tcPr>
            <w:tcW w:type="dxa" w:w="2300"/>
          </w:tcPr>
          <w:p>
            <w:r>
              <w:rPr>
                <w:b w:val="false"/>
                <w:bCs w:val="false"/>
              </w:rPr>
              <w:t xml:space="preserve">k6 (Docker) + a real 100K-vehicle SHORT_BURST run</w:t>
            </w:r>
          </w:p>
        </w:tc>
        <w:tc>
          <w:tcPr>
            <w:tcW w:type="dxa" w:w="1550"/>
          </w:tcPr>
          <w:p>
            <w:r>
              <w:rPr>
                <w:b w:val="false"/>
                <w:bCs w:val="false"/>
              </w:rPr>
              <w:t xml:space="preserve">1 k6 scenario (16,203 requests) + 1 throughput run</w:t>
            </w:r>
          </w:p>
        </w:tc>
        <w:tc>
          <w:tcPr>
            <w:tcW w:type="dxa" w:w="2950"/>
          </w:tcPr>
          <w:p>
            <w:r>
              <w:rPr>
                <w:b w:val="false"/>
                <w:bCs w:val="false"/>
              </w:rPr>
              <w:t xml:space="preserve">API latency PASSED both thresholds: p95 60.84ms (&lt;200ms), p99 93.4ms (&lt;500ms). Ingest throughput NOT MET: ~1,897 events/sec measured vs. 100,000 target (§7) — a real result, not a pending item</w:t>
            </w:r>
          </w:p>
        </w:tc>
        <w:tc>
          <w:tcPr>
            <w:tcW w:type="dxa" w:w="950"/>
          </w:tcPr>
          <w:p>
            <w:r>
              <w:rPr>
                <w:b w:val="false"/>
                <w:bCs w:val="false"/>
              </w:rPr>
              <w:t xml:space="preserve">No (run manually, not wired into CI)</w:t>
            </w:r>
          </w:p>
        </w:tc>
      </w:tr>
      <w:tr>
        <w:tc>
          <w:tcPr>
            <w:tcW w:type="dxa" w:w="1600"/>
          </w:tcPr>
          <w:p>
            <w:r>
              <w:rPr>
                <w:b w:val="false"/>
                <w:bCs w:val="false"/>
              </w:rPr>
              <w:t xml:space="preserve">Security (SAST/DAST/dependency scan)</w:t>
            </w:r>
          </w:p>
        </w:tc>
        <w:tc>
          <w:tcPr>
            <w:tcW w:type="dxa" w:w="2300"/>
          </w:tcPr>
          <w:p>
            <w:r>
              <w:rPr>
                <w:b w:val="false"/>
                <w:bCs w:val="false"/>
              </w:rPr>
              <w:t xml:space="preserve">Not run (no Semgrep, OWASP ZAP, or Trivy scan performed)</w:t>
            </w:r>
          </w:p>
        </w:tc>
        <w:tc>
          <w:tcPr>
            <w:tcW w:type="dxa" w:w="1550"/>
          </w:tcPr>
          <w:p>
            <w:r>
              <w:rPr>
                <w:b w:val="false"/>
                <w:bCs w:val="false"/>
              </w:rPr>
              <w:t xml:space="preserve">0</w:t>
            </w:r>
          </w:p>
        </w:tc>
        <w:tc>
          <w:tcPr>
            <w:tcW w:type="dxa" w:w="2950"/>
          </w:tcPr>
          <w:p>
            <w:r>
              <w:rPr>
                <w:b w:val="false"/>
                <w:bCs w:val="false"/>
              </w:rPr>
              <w:t xml:space="preserve">Declared gap; the SQL sandbox's defense-in-depth design (§8) is the strongest concrete security evidence available instead of a scan report</w:t>
            </w:r>
          </w:p>
        </w:tc>
        <w:tc>
          <w:tcPr>
            <w:tcW w:type="dxa" w:w="950"/>
          </w:tcPr>
          <w:p>
            <w:r>
              <w:rPr>
                <w:b w:val="false"/>
                <w:bCs w:val="false"/>
              </w:rPr>
              <w:t xml:space="preserve">No</w:t>
            </w:r>
          </w:p>
        </w:tc>
      </w:tr>
      <w:tr>
        <w:tc>
          <w:tcPr>
            <w:tcW w:type="dxa" w:w="1600"/>
          </w:tcPr>
          <w:p>
            <w:r>
              <w:rPr>
                <w:b w:val="false"/>
                <w:bCs w:val="false"/>
              </w:rPr>
              <w:t xml:space="preserve">Compliance &amp; Chaos</w:t>
            </w:r>
          </w:p>
        </w:tc>
        <w:tc>
          <w:tcPr>
            <w:tcW w:type="dxa" w:w="2300"/>
          </w:tcPr>
          <w:p>
            <w:r>
              <w:rPr>
                <w:b w:val="false"/>
                <w:bCs w:val="false"/>
              </w:rPr>
              <w:t xml:space="preserve">Custom PowerShell chaos script (test-evidence/chaos_demo.ps1)</w:t>
            </w:r>
          </w:p>
        </w:tc>
        <w:tc>
          <w:tcPr>
            <w:tcW w:type="dxa" w:w="1550"/>
          </w:tcPr>
          <w:p>
            <w:r>
              <w:rPr>
                <w:b w:val="false"/>
                <w:bCs w:val="false"/>
              </w:rPr>
              <w:t xml:space="preserve">1 full run, automated and reproducible</w:t>
            </w:r>
          </w:p>
        </w:tc>
        <w:tc>
          <w:tcPr>
            <w:tcW w:type="dxa" w:w="2950"/>
          </w:tcPr>
          <w:p>
            <w:r>
              <w:rPr>
                <w:b w:val="false"/>
                <w:bCs w:val="false"/>
              </w:rPr>
              <w:t xml:space="preserve">PASSED — internal crash recovered in 5.9s, zero data loss, consumer lag draining</w:t>
            </w:r>
          </w:p>
        </w:tc>
        <w:tc>
          <w:tcPr>
            <w:tcW w:type="dxa" w:w="950"/>
          </w:tcPr>
          <w:p>
            <w:r>
              <w:rPr>
                <w:b w:val="false"/>
                <w:bCs w:val="false"/>
              </w:rPr>
              <w:t xml:space="preserve">No (run manually)</w:t>
            </w:r>
          </w:p>
        </w:tc>
      </w:tr>
    </w:tbl>
    <w:p>
      <w:pPr>
        <w:pStyle w:val="Heading3"/>
        <w:spacing w:after="100" w:before="180"/>
      </w:pPr>
      <w:r>
        <w:t xml:space="preserve">Edge cases covered</w:t>
      </w:r>
    </w:p>
    <w:p>
      <w:pPr>
        <w:pStyle w:val="ListParagraph"/>
        <w:numPr>
          <w:ilvl w:val="0"/>
          <w:numId w:val="1"/>
        </w:numPr>
        <w:spacing w:after="60"/>
      </w:pPr>
      <w:r>
        <w:t xml:space="preserve">Out-of-order telemetry events: deliberately injected by the simulator's fault-injection config (out_of_order_rate) and handled without crashing (test_out_of_order_event_folded_without_crash, and observed live in real runs).</w:t>
      </w:r>
    </w:p>
    <w:p>
      <w:pPr>
        <w:pStyle w:val="ListParagraph"/>
        <w:numPr>
          <w:ilvl w:val="0"/>
          <w:numId w:val="1"/>
        </w:numPr>
        <w:spacing w:after="60"/>
      </w:pPr>
      <w:r>
        <w:t xml:space="preserve">Duplicate events: deliberately injected (duplicate_rate) and caught by the Bloom filter + Mongo unique-index backstop (test_second_occurrence_flagged_duplicate, test_duplicate_dropped_before_any_db_write, plus real observed dedup counts in /metrics during live runs).</w:t>
      </w:r>
    </w:p>
    <w:p>
      <w:pPr>
        <w:pStyle w:val="ListParagraph"/>
        <w:numPr>
          <w:ilvl w:val="0"/>
          <w:numId w:val="1"/>
        </w:numPr>
        <w:spacing w:after="60"/>
      </w:pPr>
      <w:r>
        <w:t xml:space="preserve">Malformed / out-of-range telemetry: deliberately injected (malformed_rate) and rejected at the validation boundary (10 parametrized range-violation tests, all passing; real rejection logs observed during live runs, e.g. soc_pct=150.0, voltage_v=-10.0).</w:t>
      </w:r>
    </w:p>
    <w:p>
      <w:pPr>
        <w:pStyle w:val="ListParagraph"/>
        <w:numPr>
          <w:ilvl w:val="0"/>
          <w:numId w:val="1"/>
        </w:numPr>
        <w:spacing w:after="60"/>
      </w:pPr>
      <w:r>
        <w:t xml:space="preserve">Broker/consumer crash: the chaos demo (§6.4, §9 above) — a real, reproducible, automated test, not a manual one-off.</w:t>
      </w:r>
    </w:p>
    <w:p>
      <w:pPr>
        <w:pStyle w:val="ListParagraph"/>
        <w:numPr>
          <w:ilvl w:val="0"/>
          <w:numId w:val="1"/>
        </w:numPr>
        <w:spacing w:after="60"/>
      </w:pPr>
      <w:r>
        <w:t xml:space="preserve">SQL sandbox bypass attempts: 10 parametrized adversarial queries (DELETE hidden in a comment, a CTE wrapping a DELETE, dollar-quoted strings, a semicolon-separated second statement, SELECT ... INTO) — every one correctly rejected (test_sandbox_rejects, all passing).</w:t>
      </w:r>
    </w:p>
    <w:p>
      <w:pPr>
        <w:pStyle w:val="Heading3"/>
        <w:spacing w:after="100" w:before="180"/>
      </w:pPr>
      <w:r>
        <w:t xml:space="preserve">A declared gap: no frontend tests</w:t>
      </w:r>
    </w:p>
    <w:p>
      <w:pPr>
        <w:spacing w:after="120"/>
      </w:pPr>
      <w:r>
        <w:t xml:space="preserve">The React frontend has zero automated tests at the time of writing — no test files exist and no test script is defined in its package.json. Only the four backend services (data-gen, ingestion, ml, api) have real automated coverage (the 90 tests above). This is stated here plainly rather than left for a reviewer to discover; the honest reason is time allocation, not an oversight that was missed.</w:t>
      </w:r>
    </w:p>
    <w:p>
      <w:pPr>
        <w:pStyle w:val="Heading3"/>
        <w:spacing w:after="100" w:before="180"/>
      </w:pPr>
      <w:r>
        <w:t xml:space="preserve">Sample test evidence</w:t>
      </w:r>
    </w:p>
    <w:p>
      <w:pPr>
        <w:spacing w:after="120"/>
      </w:pPr>
      <w:r>
        <w:t xml:space="preserve">Full pytest output, k6 summary, and the chaos demo's generated report are preserved in test-evidence/ and inline in the project's development history. Representative result: pytest tests/ -v against the api service's 47 tests completed in 13.84s with 0 failures (once run against an isolated environment matching CI's conditions — see the note below on one initially-confusing result).</w:t>
      </w:r>
    </w:p>
    <w:p>
      <w:pPr>
        <w:spacing w:after="120"/>
      </w:pPr>
      <w:r>
        <w:rPr>
          <w:i/>
          <w:iCs/>
          <w:color w:val="555555"/>
          <w:sz w:val="20"/>
          <w:szCs w:val="20"/>
        </w:rPr>
        <w:t xml:space="preserve">One pair of api tests (test_observability_shape_when_peers_down, test_proxies_report_upstream_unavailable) initially appeared to fail when run manually inside the already-running, fully-live Docker stack — not because of an application bug, but because those two tests rely on peer services (data-gen/ingestion/ml) being genuinely unreachable to exercise the "upstream down" code path, and the live stack's real .env values made them reachable, overriding the test's intended isolation (os.environ.setdefault only applies when a variable is not already set). Re-run with those three peer URLs explicitly overridden to a closed port for that one invocation, all 47 passed. This is documented here deliberately, as an example of verifying an unexpected result rather than either hiding it or accepting a wrong explanation.</w:t>
      </w:r>
    </w:p>
    <w:p>
      <w:r>
        <w:br w:type="page"/>
      </w:r>
    </w:p>
    <w:p>
      <w:pPr>
        <w:pStyle w:val="Heading1"/>
        <w:spacing w:after="150" w:before="300"/>
      </w:pPr>
      <w:r>
        <w:t xml:space="preserve">10. Observability</w:t>
      </w:r>
    </w:p>
    <w:p>
      <w:pPr>
        <w:spacing w:after="120"/>
      </w:pPr>
      <w:r>
        <w:t xml:space="preserve">Dashboard Observability page: merges ingestion's own /metrics (events_consumed_total, events_deduplicated_total, events_rejected_total, consumer_lag, current_watermark_timestamp) with the API's own request-count/error-rate/latency counters, in one view — no separate Grafana/Prometheus stack was stood up (a declared scope cut given the time budget), but the same numbers that stack would show are available directly.</w:t>
      </w:r>
    </w:p>
    <w:p>
      <w:pPr>
        <w:pStyle w:val="Heading3"/>
        <w:spacing w:after="100" w:before="180"/>
      </w:pPr>
      <w:r>
        <w:t xml:space="preserve">Troubleshooting walk-through: finding the cause of a latency spike</w:t>
      </w:r>
    </w:p>
    <w:p>
      <w:pPr>
        <w:pStyle w:val="ListParagraph"/>
        <w:numPr>
          <w:ilvl w:val="0"/>
          <w:numId w:val="1"/>
        </w:numPr>
        <w:spacing w:after="60"/>
      </w:pPr>
      <w:r>
        <w:t xml:space="preserve">Check GET /api/v1/observability first — api.p95_latency_ms and api.errors_total tell you immediately whether the API layer itself is slow/erroring, versus the problem being upstream.</w:t>
      </w:r>
    </w:p>
    <w:p>
      <w:pPr>
        <w:pStyle w:val="ListParagraph"/>
        <w:numPr>
          <w:ilvl w:val="0"/>
          <w:numId w:val="1"/>
        </w:numPr>
        <w:spacing w:after="60"/>
      </w:pPr>
      <w:r>
        <w:t xml:space="preserve">Check ingestion.consumer_lag in the same response (or directly at ingestion's /metrics) — a growing, non-draining lag means ingestion cannot keep up with production rate, which is exactly the real bottleneck this project found and fixed once during development (an unbatched Mongo/Redis I/O pattern capping throughput around ~400 events/sec until it was batched/pipelined).</w:t>
      </w:r>
    </w:p>
    <w:p>
      <w:pPr>
        <w:pStyle w:val="ListParagraph"/>
        <w:numPr>
          <w:ilvl w:val="0"/>
          <w:numId w:val="1"/>
        </w:numPr>
        <w:spacing w:after="60"/>
      </w:pPr>
      <w:r>
        <w:t xml:space="preserve">Check docker compose logs ingestion for the periodic "flush cycle" log line (added specifically for this kind of debugging during development) — it reports max_seen timestamp, pending bucket counts, and how many buckets closed on each ~30-second cycle, which is exactly what let this project diagnose a real stuck-aggregation bug (buckets never closing) down to its root cause (a too-large or wrongly-timed grace period) rather than guessing.</w:t>
      </w:r>
    </w:p>
    <w:p>
      <w:pPr>
        <w:pStyle w:val="ListParagraph"/>
        <w:numPr>
          <w:ilvl w:val="0"/>
          <w:numId w:val="1"/>
        </w:numPr>
        <w:spacing w:after="60"/>
      </w:pPr>
      <w:r>
        <w:t xml:space="preserve">For a crash specifically: docker compose ps -a shows container exit codes and restart counts; docker inspect &lt;container&gt; --format "{{.State.StartedAt}}" confirms when (and whether) a restart actually happened.</w:t>
      </w:r>
    </w:p>
    <w:p>
      <w:r>
        <w:br w:type="page"/>
      </w:r>
    </w:p>
    <w:p>
      <w:pPr>
        <w:pStyle w:val="Heading1"/>
        <w:spacing w:after="150" w:before="300"/>
      </w:pPr>
      <w:r>
        <w:t xml:space="preserve">11. AI / ML Component</w:t>
      </w:r>
    </w:p>
    <w:p>
      <w:pPr>
        <w:pStyle w:val="Heading2"/>
        <w:spacing w:after="120" w:before="240"/>
      </w:pPr>
      <w:r>
        <w:t xml:space="preserve">Purpose</w:t>
      </w:r>
    </w:p>
    <w:p>
      <w:pPr>
        <w:spacing w:after="120"/>
      </w:pPr>
      <w:r>
        <w:t xml:space="preserve">The model turns accumulated per-vehicle telemetry history into one forward decision: predicted battery degradation over the next 30 simulated days. This is not a decision rules alone can make well — the degradation formula this project's own simulator uses to generate ground truth combines five distinct physical stress factors (calendar aging, cycle count, thermal exposure, fast-charging frequency, deep-discharge frequency), each contributing nonlinearly and multiplicatively (via an archetype-driven stress multiplier) to the outcome. A single hand-written rule would have to either ignore most of that interaction or become an unmaintainable pile of nested conditionals; a learned regression model captures the interaction directly from data.</w:t>
      </w:r>
    </w:p>
    <w:p>
      <w:pPr>
        <w:pStyle w:val="Heading2"/>
        <w:spacing w:after="120" w:before="240"/>
      </w:pPr>
      <w:r>
        <w:t xml:space="preserve">Data &amp; Features</w:t>
      </w:r>
    </w:p>
    <w:p>
      <w:pPr>
        <w:spacing w:after="120"/>
      </w:pPr>
      <w:r>
        <w:t xml:space="preserve">Training/evaluation run used: 200 vehicles, 90 simulated days (seed-reproducible). Features are built from PostgreSQL's agg_daily rollups over rolling 7-day and 30-day windows (current SOH, vehicle age, battery capacity/chemistry factors, rolling exposure sums for high-temperature hours, fast-charge sessions, deep-discharge events, distance, energy, equivalent full cycles, and a 30-day SOH trend). The label is the actual simulated outcome 30 days later (soh_now - soh_future), not a second independently-estimated value — this is what makes the label trustworthy by construction (ADR-4).</w:t>
      </w:r>
    </w:p>
    <w:p>
      <w:pPr>
        <w:spacing w:after="120"/>
      </w:pPr>
      <w:r>
        <w:rPr>
          <w:b/>
          <w:bCs/>
        </w:rPr>
        <w:t xml:space="preserve">Leakage check: </w:t>
      </w:r>
      <w:r>
        <w:t xml:space="preserve">every feature build asserts feature_window_end &lt;= as_of_day before constructing a training sample, and this assertion is exercised by an automated test (test_leakage_check_trips_when_feature_window_extends_past_as_of_day) that deliberately tries to violate it and confirms the code catches it.</w:t>
      </w:r>
    </w:p>
    <w:p>
      <w:pPr>
        <w:spacing w:after="120"/>
      </w:pPr>
      <w:r>
        <w:t xml:space="preserve">Resulting training set: 3,600 samples (2,880 train / 720 test, an 80/20 split).</w:t>
      </w:r>
    </w:p>
    <w:p>
      <w:pPr>
        <w:pStyle w:val="Heading2"/>
        <w:spacing w:after="120" w:before="240"/>
      </w:pPr>
      <w:r>
        <w:t xml:space="preserve">Model / Design</w:t>
      </w:r>
    </w:p>
    <w:p>
      <w:pPr>
        <w:spacing w:after="120"/>
      </w:pPr>
      <w:r>
        <w:t xml:space="preserve">Baseline: a naive-persistence formula (no fitting) — assume the vehicle's recently observed degradation rate continues linearly for 30 more days. Model: scikit-learn's GradientBoostingRegressor (200 estimators, max depth 3, learning rate 0.05) on the 17-column engineered feature vector. No agent, no tool-calling, no external LLM call anywhere in the prediction path — a deliberate choice, since this is a structured regression problem, not a reasoning or retrieval task, and adding agentic complexity here would be unjustified cost without a corresponding benefit.</w:t>
      </w:r>
    </w:p>
    <w:p>
      <w:pPr>
        <w:pStyle w:val="Heading2"/>
        <w:spacing w:after="120" w:before="240"/>
      </w:pPr>
      <w:r>
        <w:t xml:space="preserve">Evaluation Against Baseline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350"/>
      </w:tblGrid>
      <w:tr>
        <w:tc>
          <w:tcPr>
            <w:tcW w:type="dxa" w:w="2400"/>
            <w:shd w:fill="D9E2F3" w:val="clear"/>
          </w:tcPr>
          <w:p>
            <w:r>
              <w:rPr>
                <w:b/>
                <w:bCs/>
              </w:rPr>
              <w:t xml:space="preserve">Metric</w:t>
            </w:r>
          </w:p>
        </w:tc>
        <w:tc>
          <w:tcPr>
            <w:tcW w:type="dxa" w:w="2300"/>
            <w:shd w:fill="D9E2F3" w:val="clear"/>
          </w:tcPr>
          <w:p>
            <w:r>
              <w:rPr>
                <w:b/>
                <w:bCs/>
              </w:rPr>
              <w:t xml:space="preserve">Baseline</w:t>
            </w:r>
          </w:p>
        </w:tc>
        <w:tc>
          <w:tcPr>
            <w:tcW w:type="dxa" w:w="2300"/>
            <w:shd w:fill="D9E2F3" w:val="clear"/>
          </w:tcPr>
          <w:p>
            <w:r>
              <w:rPr>
                <w:b/>
                <w:bCs/>
              </w:rPr>
              <w:t xml:space="preserve">Model</w:t>
            </w:r>
          </w:p>
        </w:tc>
        <w:tc>
          <w:tcPr>
            <w:tcW w:type="dxa" w:w="2350"/>
            <w:shd w:fill="D9E2F3" w:val="clear"/>
          </w:tcPr>
          <w:p>
            <w:r>
              <w:rPr>
                <w:b/>
                <w:bCs/>
              </w:rPr>
              <w:t xml:space="preserve">Improvement</w:t>
            </w:r>
          </w:p>
        </w:tc>
      </w:tr>
      <w:tr>
        <w:tc>
          <w:tcPr>
            <w:tcW w:type="dxa" w:w="2400"/>
          </w:tcPr>
          <w:p>
            <w:r>
              <w:rPr>
                <w:b w:val="false"/>
                <w:bCs w:val="false"/>
              </w:rPr>
              <w:t xml:space="preserve">MAE</w:t>
            </w:r>
          </w:p>
        </w:tc>
        <w:tc>
          <w:tcPr>
            <w:tcW w:type="dxa" w:w="2300"/>
          </w:tcPr>
          <w:p>
            <w:r>
              <w:rPr>
                <w:b w:val="false"/>
                <w:bCs w:val="false"/>
              </w:rPr>
              <w:t xml:space="preserve">0.0326</w:t>
            </w:r>
          </w:p>
        </w:tc>
        <w:tc>
          <w:tcPr>
            <w:tcW w:type="dxa" w:w="2300"/>
          </w:tcPr>
          <w:p>
            <w:r>
              <w:rPr>
                <w:b w:val="false"/>
                <w:bCs w:val="false"/>
              </w:rPr>
              <w:t xml:space="preserve">0.0165</w:t>
            </w:r>
          </w:p>
        </w:tc>
        <w:tc>
          <w:tcPr>
            <w:tcW w:type="dxa" w:w="2350"/>
          </w:tcPr>
          <w:p>
            <w:r>
              <w:rPr>
                <w:b w:val="false"/>
                <w:bCs w:val="false"/>
              </w:rPr>
              <w:t xml:space="preserve">~49% lower</w:t>
            </w:r>
          </w:p>
        </w:tc>
      </w:tr>
      <w:tr>
        <w:tc>
          <w:tcPr>
            <w:tcW w:type="dxa" w:w="2400"/>
          </w:tcPr>
          <w:p>
            <w:r>
              <w:rPr>
                <w:b w:val="false"/>
                <w:bCs w:val="false"/>
              </w:rPr>
              <w:t xml:space="preserve">RMSE</w:t>
            </w:r>
          </w:p>
        </w:tc>
        <w:tc>
          <w:tcPr>
            <w:tcW w:type="dxa" w:w="2300"/>
          </w:tcPr>
          <w:p>
            <w:r>
              <w:rPr>
                <w:b w:val="false"/>
                <w:bCs w:val="false"/>
              </w:rPr>
              <w:t xml:space="preserve">0.0542</w:t>
            </w:r>
          </w:p>
        </w:tc>
        <w:tc>
          <w:tcPr>
            <w:tcW w:type="dxa" w:w="2300"/>
          </w:tcPr>
          <w:p>
            <w:r>
              <w:rPr>
                <w:b w:val="false"/>
                <w:bCs w:val="false"/>
              </w:rPr>
              <w:t xml:space="preserve">0.0252</w:t>
            </w:r>
          </w:p>
        </w:tc>
        <w:tc>
          <w:tcPr>
            <w:tcW w:type="dxa" w:w="2350"/>
          </w:tcPr>
          <w:p>
            <w:r>
              <w:rPr>
                <w:b w:val="false"/>
                <w:bCs w:val="false"/>
              </w:rPr>
              <w:t xml:space="preserve">~53% lower</w:t>
            </w:r>
          </w:p>
        </w:tc>
      </w:tr>
    </w:tbl>
    <w:p>
      <w:pPr>
        <w:spacing w:after="120"/>
      </w:pPr>
      <w:r>
        <w:t xml:space="preserve">beats_baseline: true, recorded directly in the saved model's metrics file (model_1790791779.metrics.json), not just asserted here.</w:t>
      </w:r>
    </w:p>
    <w:p>
      <w:pPr>
        <w:pStyle w:val="Heading2"/>
        <w:spacing w:after="120" w:before="240"/>
      </w:pPr>
      <w:r>
        <w:t xml:space="preserve">Risk Derivation — a Rule on Top of the Prediction, Not a Second Model</w:t>
      </w:r>
    </w:p>
    <w:p>
      <w:pPr>
        <w:spacing w:after="120"/>
      </w:pPr>
      <w:r>
        <w:t xml:space="preserve">predicted_degradation_30d_pct &gt;= 0.45 -&gt; HIGH; &gt;= 0.20 -&gt; MEDIUM; else LOW. These values are explicitly project/demo policy, not an industry standard, and — importantly — were not guessed once and left alone. The original values (1.0 / 2.5) were set before any real data existed and, once examined against the real prediction distribution from the actual training run, turned out to make every single prediction classify as LOW regardless of archetype (the maximum observed value for the worst-behaved archetype, BAD, was 0.94 — still under the old 1.0 MEDIUM threshold). The thresholds were recalibrated against the real observed distribution (HEALTHY avg 0.14, NORMAL avg 0.21, STRESSED avg 0.41/p90 0.67, BAD avg 0.46/p90 0.91), producing a real, usable spread after re-running prediction: LOW 112 (56%), MEDIUM 69 (34.5%), HIGH 19 (9.5%) across the 200-vehicle fleet. This correction is documented as ADR-6, not hidden.</w:t>
      </w:r>
    </w:p>
    <w:p>
      <w:pPr>
        <w:pStyle w:val="Heading2"/>
        <w:spacing w:after="120" w:before="240"/>
      </w:pPr>
      <w:r>
        <w:t xml:space="preserve">Guardrails &amp; Cost</w:t>
      </w:r>
    </w:p>
    <w:p>
      <w:pPr>
        <w:pStyle w:val="ListParagraph"/>
        <w:numPr>
          <w:ilvl w:val="0"/>
          <w:numId w:val="1"/>
        </w:numPr>
        <w:spacing w:after="60"/>
      </w:pPr>
      <w:r>
        <w:t xml:space="preserve">Ground truth is deterministic and simulator-controlled — there is no hallucination risk of the kind an LLM-based component would carry.</w:t>
      </w:r>
    </w:p>
    <w:p>
      <w:pPr>
        <w:pStyle w:val="ListParagraph"/>
        <w:numPr>
          <w:ilvl w:val="0"/>
          <w:numId w:val="1"/>
        </w:numPr>
        <w:spacing w:after="60"/>
      </w:pPr>
      <w:r>
        <w:t xml:space="preserve">Risk thresholds are explicitly declared as policy, not universal standards, both here and in the underlying code's own docstring.</w:t>
      </w:r>
    </w:p>
    <w:p>
      <w:pPr>
        <w:pStyle w:val="ListParagraph"/>
        <w:numPr>
          <w:ilvl w:val="0"/>
          <w:numId w:val="1"/>
        </w:numPr>
        <w:spacing w:after="60"/>
      </w:pPr>
      <w:r>
        <w:t xml:space="preserve">Human-in-the-loop: predictions and alerts inform the fleet manager; no automated action is taken on a vehicle without a human decision — the dashboard surfaces risk, it does not act on it.</w:t>
      </w:r>
    </w:p>
    <w:p>
      <w:pPr>
        <w:pStyle w:val="ListParagraph"/>
        <w:numPr>
          <w:ilvl w:val="0"/>
          <w:numId w:val="1"/>
        </w:numPr>
        <w:spacing w:after="60"/>
      </w:pPr>
      <w:r>
        <w:t xml:space="preserve">Cost/latency: training on this dataset size completes in seconds on commodity hardware; inference is a single scikit-learn predict() call per vehicle with no external API calls, so there is no per-prediction token or network cost to manage.</w:t>
      </w:r>
    </w:p>
    <w:p>
      <w:r>
        <w:br w:type="page"/>
      </w:r>
    </w:p>
    <w:p>
      <w:pPr>
        <w:pStyle w:val="Heading1"/>
        <w:spacing w:after="150" w:before="300"/>
      </w:pPr>
      <w:r>
        <w:t xml:space="preserve">12. Architecture Decisions, Risks &amp; Future Enhancements</w:t>
      </w:r>
    </w:p>
    <w:p>
      <w:pPr>
        <w:pStyle w:val="Heading2"/>
        <w:spacing w:after="120" w:before="240"/>
      </w:pPr>
      <w:r>
        <w:t xml:space="preserve">Architecture Decision Records</w:t>
      </w:r>
    </w:p>
    <w:p>
      <w:pPr>
        <w:spacing w:after="120"/>
      </w:pPr>
      <w:r>
        <w:t xml:space="preserve">Full records with Context -&gt; Options Considered -&gt; Decision -&gt; Consequences: docs/ADRs.md.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8250"/>
      </w:tblGrid>
      <w:tr>
        <w:tc>
          <w:tcPr>
            <w:tcW w:type="dxa" w:w="1100"/>
            <w:shd w:fill="D9E2F3" w:val="clear"/>
          </w:tcPr>
          <w:p>
            <w:r>
              <w:rPr>
                <w:b/>
                <w:bCs/>
              </w:rPr>
              <w:t xml:space="preserve">ADR</w:t>
            </w:r>
          </w:p>
        </w:tc>
        <w:tc>
          <w:tcPr>
            <w:tcW w:type="dxa" w:w="8250"/>
            <w:shd w:fill="D9E2F3" w:val="clear"/>
          </w:tcPr>
          <w:p>
            <w:r>
              <w:rPr>
                <w:b/>
                <w:bCs/>
              </w:rPr>
              <w:t xml:space="preserve">Decision</w:t>
            </w:r>
          </w:p>
        </w:tc>
      </w:tr>
      <w:tr>
        <w:tc>
          <w:tcPr>
            <w:tcW w:type="dxa" w:w="1100"/>
          </w:tcPr>
          <w:p>
            <w:r>
              <w:rPr>
                <w:b w:val="false"/>
                <w:bCs w:val="false"/>
              </w:rPr>
              <w:t xml:space="preserve">ADR-1</w:t>
            </w:r>
          </w:p>
        </w:tc>
        <w:tc>
          <w:tcPr>
            <w:tcW w:type="dxa" w:w="8250"/>
          </w:tcPr>
          <w:p>
            <w:r>
              <w:rPr>
                <w:b w:val="false"/>
                <w:bCs w:val="false"/>
              </w:rPr>
              <w:t xml:space="preserve">Polyglot storage: PostgreSQL (relational core) + MongoDB (raw telemetry) + Redis (latest-state cache), not a single database — write isolation between transactional and firehose workloads.</w:t>
            </w:r>
          </w:p>
        </w:tc>
      </w:tr>
      <w:tr>
        <w:tc>
          <w:tcPr>
            <w:tcW w:type="dxa" w:w="1100"/>
          </w:tcPr>
          <w:p>
            <w:r>
              <w:rPr>
                <w:b w:val="false"/>
                <w:bCs w:val="false"/>
              </w:rPr>
              <w:t xml:space="preserve">ADR-2</w:t>
            </w:r>
          </w:p>
        </w:tc>
        <w:tc>
          <w:tcPr>
            <w:tcW w:type="dxa" w:w="8250"/>
          </w:tcPr>
          <w:p>
            <w:r>
              <w:rPr>
                <w:b w:val="false"/>
                <w:bCs w:val="false"/>
              </w:rPr>
              <w:t xml:space="preserve">No vector database in the MVP — the core decision is structured tabular regression, not retrieval/semantic search.</w:t>
            </w:r>
          </w:p>
        </w:tc>
      </w:tr>
      <w:tr>
        <w:tc>
          <w:tcPr>
            <w:tcW w:type="dxa" w:w="1100"/>
          </w:tcPr>
          <w:p>
            <w:r>
              <w:rPr>
                <w:b w:val="false"/>
                <w:bCs w:val="false"/>
              </w:rPr>
              <w:t xml:space="preserve">ADR-3</w:t>
            </w:r>
          </w:p>
        </w:tc>
        <w:tc>
          <w:tcPr>
            <w:tcW w:type="dxa" w:w="8250"/>
          </w:tcPr>
          <w:p>
            <w:r>
              <w:rPr>
                <w:b w:val="false"/>
                <w:bCs w:val="false"/>
              </w:rPr>
              <w:t xml:space="preserve">Kafka with a plain in-process consumer, not Flink/Kafka Streams — much faster to build; documented trade-off is loss of in-flight state on a crash, fully recoverable via Kafka replay.</w:t>
            </w:r>
          </w:p>
        </w:tc>
      </w:tr>
      <w:tr>
        <w:tc>
          <w:tcPr>
            <w:tcW w:type="dxa" w:w="1100"/>
          </w:tcPr>
          <w:p>
            <w:r>
              <w:rPr>
                <w:b w:val="false"/>
                <w:bCs w:val="false"/>
              </w:rPr>
              <w:t xml:space="preserve">ADR-4</w:t>
            </w:r>
          </w:p>
        </w:tc>
        <w:tc>
          <w:tcPr>
            <w:tcW w:type="dxa" w:w="8250"/>
          </w:tcPr>
          <w:p>
            <w:r>
              <w:rPr>
                <w:b w:val="false"/>
                <w:bCs w:val="false"/>
              </w:rPr>
              <w:t xml:space="preserve">The simulator is the sole ground truth; longitudinal history is derived from telemetry, not separately generated — guarantees internal consistency and trustworthy ML labels.</w:t>
            </w:r>
          </w:p>
        </w:tc>
      </w:tr>
      <w:tr>
        <w:tc>
          <w:tcPr>
            <w:tcW w:type="dxa" w:w="1100"/>
          </w:tcPr>
          <w:p>
            <w:r>
              <w:rPr>
                <w:b w:val="false"/>
                <w:bCs w:val="false"/>
              </w:rPr>
              <w:t xml:space="preserve">ADR-5</w:t>
            </w:r>
          </w:p>
        </w:tc>
        <w:tc>
          <w:tcPr>
            <w:tcW w:type="dxa" w:w="8250"/>
          </w:tcPr>
          <w:p>
            <w:r>
              <w:rPr>
                <w:b w:val="false"/>
                <w:bCs w:val="false"/>
              </w:rPr>
              <w:t xml:space="preserve">Minimal JWT auth instead of full OAuth2/OIDC/mTLS — a declared, time-driven scope cut with a clean upgrade path.</w:t>
            </w:r>
          </w:p>
        </w:tc>
      </w:tr>
      <w:tr>
        <w:tc>
          <w:tcPr>
            <w:tcW w:type="dxa" w:w="1100"/>
          </w:tcPr>
          <w:p>
            <w:r>
              <w:rPr>
                <w:b w:val="false"/>
                <w:bCs w:val="false"/>
              </w:rPr>
              <w:t xml:space="preserve">ADR-6</w:t>
            </w:r>
          </w:p>
        </w:tc>
        <w:tc>
          <w:tcPr>
            <w:tcW w:type="dxa" w:w="8250"/>
          </w:tcPr>
          <w:p>
            <w:r>
              <w:rPr>
                <w:b w:val="false"/>
                <w:bCs w:val="false"/>
              </w:rPr>
              <w:t xml:space="preserve">Risk thresholds recalibrated empirically from real prediction data, not set a priori — the original guessed thresholds made every prediction read LOW; real data fixed it.</w:t>
            </w:r>
          </w:p>
        </w:tc>
      </w:tr>
    </w:tbl>
    <w:p>
      <w:pPr>
        <w:pStyle w:val="Heading2"/>
        <w:spacing w:after="120" w:before="240"/>
      </w:pPr>
      <w:r>
        <w:t xml:space="preserve">Risks &amp; Technical Debt (declared, not hidden)</w:t>
      </w:r>
    </w:p>
    <w:p>
      <w:pPr>
        <w:pStyle w:val="ListParagraph"/>
        <w:numPr>
          <w:ilvl w:val="0"/>
          <w:numId w:val="1"/>
        </w:numPr>
        <w:spacing w:after="60"/>
      </w:pPr>
      <w:r>
        <w:t xml:space="preserve">No Flink/Spark: in-flight aggregation state can be lost on an ingestion crash between flush cycles; recoverable via Kafka replay, not instant (ADR-3).</w:t>
      </w:r>
    </w:p>
    <w:p>
      <w:pPr>
        <w:pStyle w:val="ListParagraph"/>
        <w:numPr>
          <w:ilvl w:val="0"/>
          <w:numId w:val="1"/>
        </w:numPr>
        <w:spacing w:after="60"/>
      </w:pPr>
      <w:r>
        <w:t xml:space="preserve">No OAuth2/OIDC/mTLS/secrets vault: minimal JWT + RBAC only (ADR-5, STRIDE §8).</w:t>
      </w:r>
    </w:p>
    <w:p>
      <w:pPr>
        <w:pStyle w:val="ListParagraph"/>
        <w:numPr>
          <w:ilvl w:val="0"/>
          <w:numId w:val="1"/>
        </w:numPr>
        <w:spacing w:after="60"/>
      </w:pPr>
      <w:r>
        <w:t xml:space="preserve">No per-tenant isolation: single-tenant MVP.</w:t>
      </w:r>
    </w:p>
    <w:p>
      <w:pPr>
        <w:pStyle w:val="ListParagraph"/>
        <w:numPr>
          <w:ilvl w:val="0"/>
          <w:numId w:val="1"/>
        </w:numPr>
        <w:spacing w:after="60"/>
      </w:pPr>
      <w:r>
        <w:t xml:space="preserve">No database replication/HA: each datastore is a single instance; availability NFR is only partially met (§7).</w:t>
      </w:r>
    </w:p>
    <w:p>
      <w:pPr>
        <w:pStyle w:val="ListParagraph"/>
        <w:numPr>
          <w:ilvl w:val="0"/>
          <w:numId w:val="1"/>
        </w:numPr>
        <w:spacing w:after="60"/>
      </w:pPr>
      <w:r>
        <w:t xml:space="preserve">build_or_load_fleet() cannot grow an existing persisted fleet to a larger vehicle_count without first truncating the fleet tables — a real limitation discovered and documented during integration (dataGenMaster.md).</w:t>
      </w:r>
    </w:p>
    <w:p>
      <w:pPr>
        <w:pStyle w:val="ListParagraph"/>
        <w:numPr>
          <w:ilvl w:val="0"/>
          <w:numId w:val="1"/>
        </w:numPr>
        <w:spacing w:after="60"/>
      </w:pPr>
      <w:r>
        <w:t xml:space="preserve">A Docker/WSL2-level quirk observed during the chaos demo: docker inspect's RestartCount field read 0 despite a confirmed real restart (container StartedAt timestamp and functional recovery both indicate a restart occurred) — noted honestly in the chaos demo report rather than silently presenting a clean but possibly-misleading number.</w:t>
      </w:r>
    </w:p>
    <w:p>
      <w:pPr>
        <w:pStyle w:val="ListParagraph"/>
        <w:numPr>
          <w:ilvl w:val="0"/>
          <w:numId w:val="1"/>
        </w:numPr>
        <w:spacing w:after="60"/>
      </w:pPr>
      <w:r>
        <w:t xml:space="preserve">EXPLAIN ANALYZE query-optimization evidence: scoped out of this submission as a Could-priority item given the time budget (§4); a complete runbook naming the candidate queries and index fixes already exists (test-evidence/EXPLAIN_ANALYZE_query_optimization.md).</w:t>
      </w:r>
    </w:p>
    <w:p>
      <w:pPr>
        <w:pStyle w:val="ListParagraph"/>
        <w:numPr>
          <w:ilvl w:val="0"/>
          <w:numId w:val="1"/>
        </w:numPr>
        <w:spacing w:after="60"/>
      </w:pPr>
      <w:r>
        <w:t xml:space="preserve">Ingest throughput does not meet the 100,000 events/sec target at this deployment's current scale (single broker, single consumer thread): measured ~1,897 events/sec against production of ~17,856 events/sec, with consumer lag growing rather than stabilizing during the test window. Reported as a real, measured finding (§7) with a stated, concrete path to closing it (horizontal consumer parallelism across the already-provisioned 12 Kafka partitions), not hidden or rounded up.</w:t>
      </w:r>
    </w:p>
    <w:p>
      <w:pPr>
        <w:pStyle w:val="ListParagraph"/>
        <w:numPr>
          <w:ilvl w:val="0"/>
          <w:numId w:val="1"/>
        </w:numPr>
        <w:spacing w:after="60"/>
      </w:pPr>
      <w:r>
        <w:t xml:space="preserve">predict_all_vehicles() was found, during integration, to loop over every row in the vehicles table with no filtering — against a stale or oversized fleet (e.g. left over from a throughput test) with little or no matching aggregated history, this turned into a multi-minute scan that exceeded the API's proxy timeout and surfaced to the dashboard as a hang. Fixed by scoping the candidate set to vehicles that actually have aggregated history at or before the prediction date, and short-circuiting immediately when none exists.</w:t>
      </w:r>
    </w:p>
    <w:p>
      <w:pPr>
        <w:pStyle w:val="Heading2"/>
        <w:spacing w:after="120" w:before="240"/>
      </w:pPr>
      <w:r>
        <w:t xml:space="preserve">Future Enhancements (next three steps from prototype to pilot)</w:t>
      </w:r>
    </w:p>
    <w:p>
      <w:pPr>
        <w:pStyle w:val="ListParagraph"/>
        <w:numPr>
          <w:ilvl w:val="0"/>
          <w:numId w:val="1"/>
        </w:numPr>
        <w:spacing w:after="60"/>
      </w:pPr>
      <w:r>
        <w:t xml:space="preserve">1. Add horizontal consumer parallelism (multiple ingestion instances, one per subset of the 12 already-provisioned Kafka partitions) to close the measured ingest-throughput gap (§7) — the partitioning scheme already supports this without a schema change.</w:t>
      </w:r>
    </w:p>
    <w:p>
      <w:pPr>
        <w:pStyle w:val="ListParagraph"/>
        <w:numPr>
          <w:ilvl w:val="0"/>
          <w:numId w:val="1"/>
        </w:numPr>
        <w:spacing w:after="60"/>
      </w:pPr>
      <w:r>
        <w:t xml:space="preserve">2. Add datastore replication/HA (Postgres streaming replica, MongoDB/Redis replica sets) and a real cloud deployment (Terraform + a managed Kubernetes service), since the codebase already has no cloud-specific SDK calls blocking this.</w:t>
      </w:r>
    </w:p>
    <w:p>
      <w:pPr>
        <w:pStyle w:val="ListParagraph"/>
        <w:numPr>
          <w:ilvl w:val="0"/>
          <w:numId w:val="1"/>
        </w:numPr>
        <w:spacing w:after="60"/>
      </w:pPr>
      <w:r>
        <w:t xml:space="preserve">3. Upgrade authentication to OAuth2/OIDC with mTLS for inter-service traffic and a real secrets vault, following the clean upgrade path already identified in ADR-5 (swap JWT issuance without touching any require_role call site).</w:t>
      </w:r>
    </w:p>
    <w:p>
      <w:r>
        <w:br w:type="page"/>
      </w:r>
    </w:p>
    <w:p>
      <w:pPr>
        <w:pStyle w:val="Heading1"/>
        <w:spacing w:after="150" w:before="300"/>
      </w:pPr>
      <w:r>
        <w:t xml:space="preserve">13. Demo Video (5 Minutes Maximum)</w:t>
      </w:r>
    </w:p>
    <w:p>
      <w:pPr>
        <w:spacing w:after="120"/>
      </w:pPr>
      <w:r>
        <w:rPr>
          <w:b/>
          <w:bCs/>
          <w:color w:val="B00000"/>
        </w:rPr>
        <w:t xml:space="preserve">[PENDING — </w:t>
      </w:r>
      <w:r>
        <w:rPr>
          <w:b/>
          <w:bCs/>
          <w:color w:val="B00000"/>
        </w:rPr>
        <w:t xml:space="preserve">record and link the demo video. Suggested shot list, following the template's own timing breakdown and reusing the artifacts already produced in this project:</w:t>
      </w:r>
      <w:r>
        <w:rPr>
          <w:b/>
          <w:bCs/>
          <w:color w:val="B00000"/>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6550"/>
      </w:tblGrid>
      <w:tr>
        <w:tc>
          <w:tcPr>
            <w:tcW w:type="dxa" w:w="1300"/>
            <w:shd w:fill="D9E2F3" w:val="clear"/>
          </w:tcPr>
          <w:p>
            <w:r>
              <w:rPr>
                <w:b/>
                <w:bCs/>
              </w:rPr>
              <w:t xml:space="preserve">Time</w:t>
            </w:r>
          </w:p>
        </w:tc>
        <w:tc>
          <w:tcPr>
            <w:tcW w:type="dxa" w:w="1500"/>
            <w:shd w:fill="D9E2F3" w:val="clear"/>
          </w:tcPr>
          <w:p>
            <w:r>
              <w:rPr>
                <w:b/>
                <w:bCs/>
              </w:rPr>
              <w:t xml:space="preserve">Segment</w:t>
            </w:r>
          </w:p>
        </w:tc>
        <w:tc>
          <w:tcPr>
            <w:tcW w:type="dxa" w:w="6550"/>
            <w:shd w:fill="D9E2F3" w:val="clear"/>
          </w:tcPr>
          <w:p>
            <w:r>
              <w:rPr>
                <w:b/>
                <w:bCs/>
              </w:rPr>
              <w:t xml:space="preserve">What to Show</w:t>
            </w:r>
          </w:p>
        </w:tc>
      </w:tr>
      <w:tr>
        <w:tc>
          <w:tcPr>
            <w:tcW w:type="dxa" w:w="1300"/>
          </w:tcPr>
          <w:p>
            <w:r>
              <w:rPr>
                <w:b w:val="false"/>
                <w:bCs w:val="false"/>
              </w:rPr>
              <w:t xml:space="preserve">0:00–0:30</w:t>
            </w:r>
          </w:p>
        </w:tc>
        <w:tc>
          <w:tcPr>
            <w:tcW w:type="dxa" w:w="1500"/>
          </w:tcPr>
          <w:p>
            <w:r>
              <w:rPr>
                <w:b w:val="false"/>
                <w:bCs w:val="false"/>
              </w:rPr>
              <w:t xml:space="preserve">Problem</w:t>
            </w:r>
          </w:p>
        </w:tc>
        <w:tc>
          <w:tcPr>
            <w:tcW w:type="dxa" w:w="6550"/>
          </w:tcPr>
          <w:p>
            <w:r>
              <w:rPr>
                <w:b w:val="false"/>
                <w:bCs w:val="false"/>
              </w:rPr>
              <w:t xml:space="preserve">A fleet manager only sees current SOC/SOH today, not forward risk — state the one number that proves it matters: every single vehicle reads LOW risk under the original, un-calibrated thresholds (a real finding from this project), motivating why a learned, calibrated prediction matters.</w:t>
            </w:r>
          </w:p>
        </w:tc>
      </w:tr>
      <w:tr>
        <w:tc>
          <w:tcPr>
            <w:tcW w:type="dxa" w:w="1300"/>
          </w:tcPr>
          <w:p>
            <w:r>
              <w:rPr>
                <w:b w:val="false"/>
                <w:bCs w:val="false"/>
              </w:rPr>
              <w:t xml:space="preserve">0:30–1:00</w:t>
            </w:r>
          </w:p>
        </w:tc>
        <w:tc>
          <w:tcPr>
            <w:tcW w:type="dxa" w:w="1500"/>
          </w:tcPr>
          <w:p>
            <w:r>
              <w:rPr>
                <w:b w:val="false"/>
                <w:bCs w:val="false"/>
              </w:rPr>
              <w:t xml:space="preserve">Solution</w:t>
            </w:r>
          </w:p>
        </w:tc>
        <w:tc>
          <w:tcPr>
            <w:tcW w:type="dxa" w:w="6550"/>
          </w:tcPr>
          <w:p>
            <w:r>
              <w:rPr>
                <w:b w:val="false"/>
                <w:bCs w:val="false"/>
              </w:rPr>
              <w:t xml:space="preserve">One-line pitch: predict 30-day battery degradation per vehicle, surface it as fleet-wide risk, from real connected-vehicle-style telemetry.</w:t>
            </w:r>
          </w:p>
        </w:tc>
      </w:tr>
      <w:tr>
        <w:tc>
          <w:tcPr>
            <w:tcW w:type="dxa" w:w="1300"/>
          </w:tcPr>
          <w:p>
            <w:r>
              <w:rPr>
                <w:b w:val="false"/>
                <w:bCs w:val="false"/>
              </w:rPr>
              <w:t xml:space="preserve">1:00–3:00</w:t>
            </w:r>
          </w:p>
        </w:tc>
        <w:tc>
          <w:tcPr>
            <w:tcW w:type="dxa" w:w="1500"/>
          </w:tcPr>
          <w:p>
            <w:r>
              <w:rPr>
                <w:b w:val="false"/>
                <w:bCs w:val="false"/>
              </w:rPr>
              <w:t xml:space="preserve">Live Demo</w:t>
            </w:r>
          </w:p>
        </w:tc>
        <w:tc>
          <w:tcPr>
            <w:tcW w:type="dxa" w:w="6550"/>
          </w:tcPr>
          <w:p>
            <w:r>
              <w:rPr>
                <w:b w:val="false"/>
                <w:bCs w:val="false"/>
              </w:rPr>
              <w:t xml:space="preserve">Log into the dashboard, show Fleet Overview (live), Vehicle Search -&gt; Detail (pick a BAD-archetype vehicle), Risk &amp; ML page showing the real 112/69/19 LOW/MEDIUM/HIGH split, trigger a live simulation on the Simulation Control page to show one real-time event flow end to end.</w:t>
            </w:r>
          </w:p>
        </w:tc>
      </w:tr>
      <w:tr>
        <w:tc>
          <w:tcPr>
            <w:tcW w:type="dxa" w:w="1300"/>
          </w:tcPr>
          <w:p>
            <w:r>
              <w:rPr>
                <w:b w:val="false"/>
                <w:bCs w:val="false"/>
              </w:rPr>
              <w:t xml:space="preserve">3:00–4:15</w:t>
            </w:r>
          </w:p>
        </w:tc>
        <w:tc>
          <w:tcPr>
            <w:tcW w:type="dxa" w:w="1500"/>
          </w:tcPr>
          <w:p>
            <w:r>
              <w:rPr>
                <w:b w:val="false"/>
                <w:bCs w:val="false"/>
              </w:rPr>
              <w:t xml:space="preserve">Under the Hood</w:t>
            </w:r>
          </w:p>
        </w:tc>
        <w:tc>
          <w:tcPr>
            <w:tcW w:type="dxa" w:w="6550"/>
          </w:tcPr>
          <w:p>
            <w:r>
              <w:rPr>
                <w:b w:val="false"/>
                <w:bCs w:val="false"/>
              </w:rPr>
              <w:t xml:space="preserve">Architecture diagram walkthrough; show the k6 load test result (p95 60.84ms) or the chaos demo recovering in 5.9s live on screen — both are real, already-produced artifacts, not re-enactments.</w:t>
            </w:r>
          </w:p>
        </w:tc>
      </w:tr>
      <w:tr>
        <w:tc>
          <w:tcPr>
            <w:tcW w:type="dxa" w:w="1300"/>
          </w:tcPr>
          <w:p>
            <w:r>
              <w:rPr>
                <w:b w:val="false"/>
                <w:bCs w:val="false"/>
              </w:rPr>
              <w:t xml:space="preserve">4:15–5:00</w:t>
            </w:r>
          </w:p>
        </w:tc>
        <w:tc>
          <w:tcPr>
            <w:tcW w:type="dxa" w:w="1500"/>
          </w:tcPr>
          <w:p>
            <w:r>
              <w:rPr>
                <w:b w:val="false"/>
                <w:bCs w:val="false"/>
              </w:rPr>
              <w:t xml:space="preserve">Impact &amp; Next Steps</w:t>
            </w:r>
          </w:p>
        </w:tc>
        <w:tc>
          <w:tcPr>
            <w:tcW w:type="dxa" w:w="6550"/>
          </w:tcPr>
          <w:p>
            <w:r>
              <w:rPr>
                <w:b w:val="false"/>
                <w:bCs w:val="false"/>
              </w:rPr>
              <w:t xml:space="preserve">Restate the measured MAE improvement (49% over baseline), the declared next steps (§12), and introduce the team.</w:t>
            </w:r>
          </w:p>
        </w:tc>
      </w:tr>
    </w:tbl>
    <w:p>
      <w:pPr>
        <w:spacing w:after="120"/>
      </w:pPr>
      <w:r>
        <w:rPr>
          <w:b/>
          <w:bCs/>
        </w:rPr>
        <w:t xml:space="preserve">Video Link: </w:t>
      </w:r>
      <w:r>
        <w:t xml:space="preserve">[URL — to be added once recorded]</w:t>
      </w:r>
    </w:p>
    <w:p>
      <w:r>
        <w:br w:type="page"/>
      </w:r>
    </w:p>
    <w:p>
      <w:pPr>
        <w:pStyle w:val="Heading1"/>
        <w:spacing w:after="150" w:before="300"/>
      </w:pPr>
      <w:r>
        <w:t xml:space="preserve">14. Repository Checklist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00"/>
        <w:gridCol w:w="5650"/>
      </w:tblGrid>
      <w:tr>
        <w:tc>
          <w:tcPr>
            <w:tcW w:type="dxa" w:w="3700"/>
            <w:shd w:fill="D9E2F3" w:val="clear"/>
          </w:tcPr>
          <w:p>
            <w:r>
              <w:rPr>
                <w:b/>
                <w:bCs/>
              </w:rPr>
              <w:t xml:space="preserve">Item</w:t>
            </w:r>
          </w:p>
        </w:tc>
        <w:tc>
          <w:tcPr>
            <w:tcW w:type="dxa" w:w="5650"/>
            <w:shd w:fill="D9E2F3" w:val="clear"/>
          </w:tcPr>
          <w:p>
            <w:r>
              <w:rPr>
                <w:b/>
                <w:bCs/>
              </w:rPr>
              <w:t xml:space="preserve">Status</w:t>
            </w:r>
          </w:p>
        </w:tc>
      </w:tr>
      <w:tr>
        <w:tc>
          <w:tcPr>
            <w:tcW w:type="dxa" w:w="3700"/>
          </w:tcPr>
          <w:p>
            <w:r>
              <w:rPr>
                <w:b w:val="false"/>
                <w:bCs w:val="false"/>
              </w:rPr>
              <w:t xml:space="preserve">README: problem, architecture image, quick start, environment variables, test commands, known issues</w:t>
            </w:r>
          </w:p>
        </w:tc>
        <w:tc>
          <w:tcPr>
            <w:tcW w:type="dxa" w:w="5650"/>
          </w:tcPr>
          <w:p>
            <w:r>
              <w:rPr>
                <w:b w:val="false"/>
                <w:bCs w:val="false"/>
              </w:rPr>
              <w:t xml:space="preserve">Done — README.md</w:t>
            </w:r>
          </w:p>
        </w:tc>
      </w:tr>
      <w:tr>
        <w:tc>
          <w:tcPr>
            <w:tcW w:type="dxa" w:w="3700"/>
          </w:tcPr>
          <w:p>
            <w:r>
              <w:rPr>
                <w:b w:val="false"/>
                <w:bCs w:val="false"/>
              </w:rPr>
              <w:t xml:space="preserve">One-Command Run: docker compose up (with the data simulator)</w:t>
            </w:r>
          </w:p>
        </w:tc>
        <w:tc>
          <w:tcPr>
            <w:tcW w:type="dxa" w:w="5650"/>
          </w:tcPr>
          <w:p>
            <w:r>
              <w:rPr>
                <w:b w:val="false"/>
                <w:bCs w:val="false"/>
              </w:rPr>
              <w:t xml:space="preserve">Done — docker compose up --build brings up the full 9-container stack</w:t>
            </w:r>
          </w:p>
        </w:tc>
      </w:tr>
      <w:tr>
        <w:tc>
          <w:tcPr>
            <w:tcW w:type="dxa" w:w="3700"/>
          </w:tcPr>
          <w:p>
            <w:r>
              <w:rPr>
                <w:b w:val="false"/>
                <w:bCs w:val="false"/>
              </w:rPr>
              <w:t xml:space="preserve">Structure: clear service folders, plus /docs, /infra and /tests</w:t>
            </w:r>
          </w:p>
        </w:tc>
        <w:tc>
          <w:tcPr>
            <w:tcW w:type="dxa" w:w="5650"/>
          </w:tcPr>
          <w:p>
            <w:r>
              <w:rPr>
                <w:b w:val="false"/>
                <w:bCs w:val="false"/>
              </w:rPr>
              <w:t xml:space="preserve">Done — services/{data-gen,ingestion,ml,dashboard}, docs/, infra/{k6,postgres}, test-evidence/</w:t>
            </w:r>
          </w:p>
        </w:tc>
      </w:tr>
      <w:tr>
        <w:tc>
          <w:tcPr>
            <w:tcW w:type="dxa" w:w="3700"/>
          </w:tcPr>
          <w:p>
            <w:r>
              <w:rPr>
                <w:b w:val="false"/>
                <w:bCs w:val="false"/>
              </w:rPr>
              <w:t xml:space="preserve">CI Pipeline: build, lint, all test suites and security scans on every push</w:t>
            </w:r>
          </w:p>
        </w:tc>
        <w:tc>
          <w:tcPr>
            <w:tcW w:type="dxa" w:w="5650"/>
          </w:tcPr>
          <w:p>
            <w:r>
              <w:rPr>
                <w:b w:val="false"/>
                <w:bCs w:val="false"/>
              </w:rPr>
              <w:t xml:space="preserve">Partial — .github/workflows/ci.yml runs all four services' pytest suites plus a frontend build on every push; no lint step and no security scan (Semgrep/ZAP/Trivy) wired in (declared gap, §9)</w:t>
            </w:r>
          </w:p>
        </w:tc>
      </w:tr>
      <w:tr>
        <w:tc>
          <w:tcPr>
            <w:tcW w:type="dxa" w:w="3700"/>
          </w:tcPr>
          <w:p>
            <w:r>
              <w:rPr>
                <w:b w:val="false"/>
                <w:bCs w:val="false"/>
              </w:rPr>
              <w:t xml:space="preserve">Hygiene: no secrets committed, .env.example provided, commits from all members</w:t>
            </w:r>
          </w:p>
        </w:tc>
        <w:tc>
          <w:tcPr>
            <w:tcW w:type="dxa" w:w="5650"/>
          </w:tcPr>
          <w:p>
            <w:r>
              <w:rPr>
                <w:b w:val="false"/>
                <w:bCs w:val="false"/>
              </w:rPr>
              <w:t xml:space="preserve">Partial — .env is gitignored and .env.example is committed with placeholder values only; commit history currently reflects one contributor's account (team commit history to be added as other members contribute)</w:t>
            </w:r>
          </w:p>
        </w:tc>
      </w:tr>
      <w:tr>
        <w:tc>
          <w:tcPr>
            <w:tcW w:type="dxa" w:w="3700"/>
          </w:tcPr>
          <w:p>
            <w:r>
              <w:rPr>
                <w:b w:val="false"/>
                <w:bCs w:val="false"/>
              </w:rPr>
              <w:t xml:space="preserve">Final Tag: v1.0-submission</w:t>
            </w:r>
          </w:p>
        </w:tc>
        <w:tc>
          <w:tcPr>
            <w:tcW w:type="dxa" w:w="5650"/>
          </w:tcPr>
          <w:p>
            <w:r>
              <w:rPr>
                <w:b w:val="false"/>
                <w:bCs w:val="false"/>
              </w:rPr>
              <w:t xml:space="preserve">PENDING — to be applied once the demo video (§13) and team/repo details are finalized</w:t>
            </w:r>
          </w:p>
        </w:tc>
      </w:tr>
    </w:tbl>
    <w:p>
      <w:r>
        <w:br w:type="page"/>
      </w:r>
    </w:p>
    <w:p>
      <w:pPr>
        <w:pStyle w:val="Heading1"/>
        <w:spacing w:after="150" w:before="300"/>
      </w:pPr>
      <w:r>
        <w:t xml:space="preserve">15. Conclusion</w:t>
      </w:r>
    </w:p>
    <w:p>
      <w:pPr>
        <w:pStyle w:val="Heading2"/>
        <w:spacing w:after="120" w:before="240"/>
      </w:pPr>
      <w:r>
        <w:t xml:space="preserve">Summary of Key Learnings</w:t>
      </w:r>
    </w:p>
    <w:p>
      <w:pPr>
        <w:spacing w:after="120"/>
      </w:pPr>
      <w:r>
        <w:t xml:space="preserve">The most important lesson from building this project was how many real defects only surfaced once the system was run against real data and real load, not when it was merely designed or code-reviewed: a timezone bug that only appeared on a fleet's second simulation run (not its first), a threading race condition in the aggregation pipeline that only manifested under concurrent load, a throughput bottleneck that only became visible once consumer lag was actually measured climbing, and — most consequentially — a risk-classification feature that silently classified every single vehicle as LOW risk until the real prediction distribution was examined. Each of these was found, diagnosed, fixed, and documented rather than left unexamined, which is itself the point: a system that looks correct on paper and a system verified against real behavior are not the same thing.</w:t>
      </w:r>
    </w:p>
    <w:p>
      <w:pPr>
        <w:pStyle w:val="Heading2"/>
        <w:spacing w:after="120" w:before="240"/>
      </w:pPr>
      <w:r>
        <w:t xml:space="preserve">Strengths of the Solution</w:t>
      </w:r>
    </w:p>
    <w:p>
      <w:pPr>
        <w:pStyle w:val="ListParagraph"/>
        <w:numPr>
          <w:ilvl w:val="0"/>
          <w:numId w:val="1"/>
        </w:numPr>
        <w:spacing w:after="60"/>
      </w:pPr>
      <w:r>
        <w:t xml:space="preserve">A complete, working system end to end — not slides describing an architecture, but a running four-service platform with real data flowing through it, verified by 90 passing automated tests plus a load test and a chaos test, both with real measured numbers.</w:t>
      </w:r>
    </w:p>
    <w:p>
      <w:pPr>
        <w:pStyle w:val="ListParagraph"/>
        <w:numPr>
          <w:ilvl w:val="0"/>
          <w:numId w:val="1"/>
        </w:numPr>
        <w:spacing w:after="60"/>
      </w:pPr>
      <w:r>
        <w:t xml:space="preserve">Honest documentation throughout — every scope cut, every limitation, and every correction made along the way is written down (ADRs, STRIDE gaps, this conclusion itself), rather than presented as if everything was correct from the first attempt.</w:t>
      </w:r>
    </w:p>
    <w:p>
      <w:pPr>
        <w:pStyle w:val="ListParagraph"/>
        <w:numPr>
          <w:ilvl w:val="0"/>
          <w:numId w:val="1"/>
        </w:numPr>
        <w:spacing w:after="60"/>
      </w:pPr>
      <w:r>
        <w:t xml:space="preserve">A genuinely parallelizable, contract-first build process that was actually used, across two physical machines, with a clean merge and a real cross-module bug caught during specification review alone.</w:t>
      </w:r>
    </w:p>
    <w:p>
      <w:pPr>
        <w:pStyle w:val="ListParagraph"/>
        <w:numPr>
          <w:ilvl w:val="0"/>
          <w:numId w:val="1"/>
        </w:numPr>
        <w:spacing w:after="60"/>
      </w:pPr>
      <w:r>
        <w:t xml:space="preserve">Usability was treated as a real requirement, not an afterthought: every page's stats, charts, and controls carry an inline hover/tap explanation (what the number means, why it might show empty, what a button actually does) — added specifically after real hands-on use surfaced that several ML and simulation controls were not self-explanatory.</w:t>
      </w:r>
    </w:p>
    <w:p>
      <w:pPr>
        <w:pStyle w:val="Heading2"/>
        <w:spacing w:after="120" w:before="240"/>
      </w:pPr>
      <w:r>
        <w:t xml:space="preserve">Challenges Tackled and Solved</w:t>
      </w:r>
    </w:p>
    <w:p>
      <w:pPr>
        <w:pStyle w:val="ListParagraph"/>
        <w:numPr>
          <w:ilvl w:val="0"/>
          <w:numId w:val="1"/>
        </w:numPr>
        <w:spacing w:after="60"/>
      </w:pPr>
      <w:r>
        <w:t xml:space="preserve">Coordinating database state across two physical machines (via Postgres dumps and a documented restore procedure) while a long-running data-generation job executed on one of them.</w:t>
      </w:r>
    </w:p>
    <w:p>
      <w:pPr>
        <w:pStyle w:val="ListParagraph"/>
        <w:numPr>
          <w:ilvl w:val="0"/>
          <w:numId w:val="1"/>
        </w:numPr>
        <w:spacing w:after="60"/>
      </w:pPr>
      <w:r>
        <w:t xml:space="preserve">Getting Docker and Kafka operational semantics right under real conditions: a Kafka image tag disappearing mid-build, a KRaft cluster-ID format requirement, topic partition counts needing to be set explicitly rather than relying on auto-create defaults, and the specific difference between an externally-issued docker kill (correctly not auto-restarted) and an internal process crash (correctly auto-restarted) under a restart: unless-stopped policy.</w:t>
      </w:r>
    </w:p>
    <w:p>
      <w:pPr>
        <w:pStyle w:val="ListParagraph"/>
        <w:numPr>
          <w:ilvl w:val="0"/>
          <w:numId w:val="1"/>
        </w:numPr>
        <w:spacing w:after="60"/>
      </w:pPr>
      <w:r>
        <w:t xml:space="preserve">Calibrating a machine-learning risk feature with no prior real-world reference point to calibrate against — solved by generating real data first and calibrating against its actual observed distribution, rather than guessing and leaving the guess unverified.</w:t>
      </w:r>
    </w:p>
    <w:p>
      <w:r>
        <w:br w:type="page"/>
      </w:r>
    </w:p>
    <w:p>
      <w:pPr>
        <w:pStyle w:val="Heading1"/>
        <w:spacing w:after="150" w:before="300"/>
      </w:pPr>
      <w:r>
        <w:t xml:space="preserve">16. Declarations</w:t>
      </w:r>
    </w:p>
    <w:p>
      <w:pPr>
        <w:spacing w:after="120"/>
      </w:pPr>
      <w:r>
        <w:t xml:space="preserve">Full text: docs/DECLARATIONS.md. Summary below.</w:t>
      </w:r>
    </w:p>
    <w:p>
      <w:pPr>
        <w:pStyle w:val="Heading2"/>
        <w:spacing w:after="120" w:before="240"/>
      </w:pPr>
      <w:r>
        <w:t xml:space="preserve">Open-Source Components</w:t>
      </w:r>
    </w:p>
    <w:p>
      <w:pPr>
        <w:spacing w:after="120"/>
      </w:pPr>
      <w:r>
        <w:t xml:space="preserve">FastAPI, SQLAlchemy, psycopg2, pymongo, redis-py, confluent-kafka, pybloom-live, scikit-learn, pandas, numpy, pytest (MIT/BSD/Apache-2.0-licensed Python libraries); React, Vite, Recharts, nginx (MIT/BSD-licensed frontend/serving); PostgreSQL, MongoDB, Redis, Apache Kafka (core infrastructure, respective open-source licenses); k6 (Grafana, AGPL 3.0, used as an external load-testing tool, not linked into the codebase). None were modified from their published form. Full exact versions can be generated on demand via pip freeze / npm list for an exact SBOM.</w:t>
      </w:r>
    </w:p>
    <w:p>
      <w:pPr>
        <w:pStyle w:val="Heading2"/>
        <w:spacing w:after="120" w:before="240"/>
      </w:pPr>
      <w:r>
        <w:t xml:space="preserve">AI Tools Used</w:t>
      </w:r>
    </w:p>
    <w:p>
      <w:pPr>
        <w:spacing w:after="120"/>
      </w:pPr>
      <w:r>
        <w:t xml:space="preserve">Claude (Anthropic) was used extensively and substantively: architecture design and all module specification documents, code generation across all four services, debugging and fixing real defects found during integration (see §12, §15), merging code across two development machines, running and verifying all automated tests/load test/chaos demo, and drafting this documentation set including this Solution Document. This was an iterative process involving real bugs found against real data and real load, documented transparently rather than presented as flawless on the first attempt.</w:t>
      </w:r>
    </w:p>
    <w:p>
      <w:pPr>
        <w:pStyle w:val="Heading2"/>
        <w:spacing w:after="120" w:before="240"/>
      </w:pPr>
      <w:r>
        <w:t xml:space="preserve">Data</w:t>
      </w:r>
    </w:p>
    <w:p>
      <w:pPr>
        <w:spacing w:after="120"/>
      </w:pPr>
      <w:r>
        <w:t xml:space="preserve">All vehicle, telemetry, battery, and fleet data anywhere in this project is synthetically generated by this project's own simulator, seeded deterministically for reproducibility. No real vehicle, driver, or owner data of any kind was used. No real personal data is processed, stored, or displayed anywhere in the system.</w:t>
      </w:r>
    </w:p>
    <w:p>
      <w:r>
        <w:br w:type="page"/>
      </w:r>
    </w:p>
    <w:p>
      <w:pPr>
        <w:pStyle w:val="Heading1"/>
        <w:spacing w:after="150" w:before="300"/>
      </w:pPr>
      <w:r>
        <w:t xml:space="preserve">17. Appendix</w:t>
      </w:r>
    </w:p>
    <w:p>
      <w:pPr>
        <w:pStyle w:val="Heading2"/>
        <w:spacing w:after="120" w:before="240"/>
      </w:pPr>
      <w:r>
        <w:t xml:space="preserve">Additional diagrams</w:t>
      </w:r>
    </w:p>
    <w:p>
      <w:pPr>
        <w:spacing w:after="120"/>
      </w:pPr>
      <w:r>
        <w:t xml:space="preserve">Architecture diagram and ER diagram are included inline in §5.1 and §5.3 respectively; source HTML files for both are kept alongside the rendered PNGs at docs/diagrams/ for re-rendering if the architecture changes.</w:t>
      </w:r>
    </w:p>
    <w:p>
      <w:pPr>
        <w:pStyle w:val="Heading2"/>
        <w:spacing w:after="120" w:before="240"/>
      </w:pPr>
      <w:r>
        <w:t xml:space="preserve">Full technical documentation</w:t>
      </w:r>
    </w:p>
    <w:p>
      <w:pPr>
        <w:spacing w:after="120"/>
      </w:pPr>
      <w:r>
        <w:t xml:space="preserve">The complete, detailed specification this project was built from is kept in docs/: CONTRACT.md (the shared schema/contract all four services were built against), dataGenMaster.md, ingestionMaster.md, mlMaster.md, dashboardMaster.md (one detailed specification per service), INTEGRATION.md (build order, docker-compose.yml, cross-module integration notes), ADRs.md, STRIDE_threat_model.md, and DECLARATIONS.md. A reusable, project-agnostic write-up of the contract-first development methodology itself is kept at inital notes/ModularAIBuildMethodology.md.</w:t>
      </w:r>
    </w:p>
    <w:p>
      <w:pPr>
        <w:pStyle w:val="Heading2"/>
        <w:spacing w:after="120" w:before="240"/>
      </w:pPr>
      <w:r>
        <w:t xml:space="preserve">Full test logs and raw evidence</w:t>
      </w:r>
    </w:p>
    <w:p>
      <w:pPr>
        <w:spacing w:after="120"/>
      </w:pPr>
      <w:r>
        <w:t xml:space="preserve">test-evidence/ contains: k6_load_test_results.md (full k6 summary), chaos_demo.ps1 (the reusable, automated chaos-test script) and its generated timestamped report, SHORT_BURST_100k_throughput_test.md (the runbook) and SHORT_BURST_100k_throughput_results_20261001.md (the real measured results), and EXPLAIN_ANALYZE_query_optimization.md (the runbook for the deferred query-optimization follow-up, F-17).</w:t>
      </w:r>
    </w:p>
    <w:p>
      <w:pPr>
        <w:spacing w:after="120"/>
      </w:pPr>
      <w:r>
        <w:t xml:space="preserve">TODO.md tracks every remaining item at the time of this document's drafting, for full transparency about what is and is not yet complete.</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rFonts w:ascii="Calibri" w:cs="Calibri" w:eastAsia="Calibri" w:hAnsi="Calibri"/>
      <w:b/>
      <w:bCs/>
      <w:color w:val="1F3864"/>
      <w:sz w:val="44"/>
      <w:szCs w:val="44"/>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5496"/>
      <w:sz w:val="26"/>
      <w:szCs w:val="26"/>
    </w:rPr>
  </w:style>
  <w:style w:type="paragraph" w:styleId="Heading3">
    <w:name w:val="Heading 3"/>
    <w:basedOn w:val="Normal"/>
    <w:next w:val="Normal"/>
    <w:qFormat/>
    <w:rPr>
      <w:rFonts w:ascii="Calibri" w:cs="Calibri" w:eastAsia="Calibri" w:hAnsi="Calibri"/>
      <w:b/>
      <w:bCs/>
      <w:color w:val="44546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1d4be34ba1e9f2cde158e43d0163e98b0885b688.png"/><Relationship Id="rId8" Type="http://schemas.openxmlformats.org/officeDocument/2006/relationships/image" Target="media/e70141e878cbeeeb8d5e54ce068804740fad01f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2026-10-01T13:57:43.482Z</dcterms:created>
  <dcterms:modified xsi:type="dcterms:W3CDTF">2026-10-01T13:57:43.490Z</dcterms:modified>
</cp:coreProperties>
</file>

<file path=docProps/custom.xml><?xml version="1.0" encoding="utf-8"?>
<Properties xmlns="http://schemas.openxmlformats.org/officeDocument/2006/custom-properties" xmlns:vt="http://schemas.openxmlformats.org/officeDocument/2006/docPropsVTypes"/>
</file>