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CDM Review 2 – Improved System Design (Refined Version)</w:t>
      </w:r>
    </w:p>
    <w:p>
      <w:pPr>
        <w:pStyle w:val="Heading1"/>
      </w:pPr>
      <w:r>
        <w:t>1. Data Storage and Result Representation (Improved)</w:t>
      </w:r>
    </w:p>
    <w:p>
      <w:r>
        <w:t>To ensure reproducibility and clarity in system behavior, all CDM outputs are stored in structured JSON format. These outputs are generated dynamically by the backend and optionally persisted as model artifacts for reuse.</w:t>
        <w:br/>
        <w:br/>
        <w:t>Example structure for clustering output:</w:t>
        <w:br/>
        <w:t>{</w:t>
        <w:br/>
        <w:t xml:space="preserve">  "cluster_id": 1,</w:t>
        <w:br/>
        <w:t xml:space="preserve">  "documents": [12, 45, 78],</w:t>
        <w:br/>
        <w:t xml:space="preserve">  "purity": 0.81,</w:t>
        <w:br/>
        <w:t xml:space="preserve">  "top_terms": ["economy", "inflation"]</w:t>
        <w:br/>
        <w:t>}</w:t>
        <w:br/>
        <w:br/>
        <w:t>All results are stored in a dedicated modelArtifacts layer, ensuring separation between raw data and derived insights.</w:t>
      </w:r>
    </w:p>
    <w:p>
      <w:pPr>
        <w:pStyle w:val="Heading1"/>
      </w:pPr>
      <w:r>
        <w:t>2. Frontend Interaction Flow (Improved)</w:t>
      </w:r>
    </w:p>
    <w:p>
      <w:r>
        <w:t>The frontend follows a clear and structured interaction pipeline to ensure usability and demonstration clarity.</w:t>
        <w:br/>
        <w:br/>
        <w:t>User Flow:</w:t>
        <w:br/>
        <w:t>1. User selects a module (e.g., Clustering)</w:t>
        <w:br/>
        <w:t>2. Inputs parameters (e.g., number of clusters k=3)</w:t>
        <w:br/>
        <w:t>3. Clicks the Run button</w:t>
        <w:br/>
        <w:t>4. Frontend sends API request to backend endpoint</w:t>
        <w:br/>
        <w:t>5. Backend processes request and returns JSON response</w:t>
        <w:br/>
        <w:t>6. Frontend visualizes output using charts and metrics</w:t>
        <w:br/>
        <w:t>7. Interpretation layer explains results</w:t>
        <w:br/>
        <w:br/>
        <w:t>This ensures a seamless integration between user interaction, backend computation, and visual analytics.</w:t>
      </w:r>
    </w:p>
    <w:p>
      <w:pPr>
        <w:pStyle w:val="Heading1"/>
      </w:pPr>
      <w:r>
        <w:t>3. Mathematical Justification (Added)</w:t>
      </w:r>
    </w:p>
    <w:p>
      <w:r>
        <w:t>To validate the correctness of mining results, the following evaluation metrics are used:</w:t>
        <w:br/>
        <w:br/>
        <w:t>Silhouette Score:</w:t>
        <w:br/>
        <w:t>Measures how similar a document is to its own cluster compared to other clusters.</w:t>
        <w:br/>
        <w:br/>
        <w:t>Lift (Association Rules):</w:t>
        <w:br/>
        <w:t>Lift &gt; 1 indicates a strong association between items.</w:t>
        <w:br/>
        <w:br/>
        <w:t>Confidence:</w:t>
        <w:br/>
        <w:t>Probability that the consequent occurs given the antecedent.</w:t>
        <w:br/>
        <w:br/>
        <w:t>These metrics ensure that clustering quality and association strength are quantitatively evaluated.</w:t>
      </w:r>
    </w:p>
    <w:p>
      <w:pPr>
        <w:pStyle w:val="Heading1"/>
      </w:pPr>
      <w:r>
        <w:t>4. Interpretation Layer (Improved)</w:t>
      </w:r>
    </w:p>
    <w:p>
      <w:r>
        <w:t>The system does not only present raw outputs but also generates human-readable insights.</w:t>
        <w:br/>
        <w:br/>
        <w:t>Example:</w:t>
        <w:br/>
        <w:t>Cluster 1 contains a majority of finance-related articles, with dominant terms such as 'economy' and 'inflation'. This indicates a clear thematic grouping of financial news.</w:t>
        <w:br/>
        <w:br/>
        <w:t>This interpretation layer helps users understand patterns without needing deep technical knowledge.</w:t>
      </w:r>
    </w:p>
    <w:p>
      <w:pPr>
        <w:pStyle w:val="Heading1"/>
      </w:pPr>
      <w:r>
        <w:t>5. System Constraints and Limitations (Added)</w:t>
      </w:r>
    </w:p>
    <w:p>
      <w:r>
        <w:t>The system considers the following constraints:</w:t>
        <w:br/>
        <w:br/>
        <w:t>- High-dimensional text data increases memory usage</w:t>
        <w:br/>
        <w:t>- TF-IDF vectorization may become expensive for large corpora</w:t>
        <w:br/>
        <w:t>- PCA reduces dimensionality but may lose minor variance</w:t>
        <w:br/>
        <w:t>- FP-Growth is optimized but still dependent on support thresholds</w:t>
        <w:br/>
        <w:br/>
        <w:t>To mitigate these issues, sampling and feature limits are applied where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