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Times New Roman" w:cs="Times New Roman" w:eastAsia="Times New Roman" w:hAnsi="Times New Roman"/>
          <w:b/>
          <w:bCs/>
          <w:sz w:val="32"/>
          <w:szCs w:val="32"/>
        </w:rPr>
        <w:t xml:space="preserve">Local Structure–Activity Landscape Roughness Predicts Per-Compound QSAR Error Independently of the Applicability Domain</w:t>
      </w:r>
    </w:p>
    <w:p>
      <w:pPr>
        <w:spacing w:after="120"/>
        <w:jc w:val="center"/>
      </w:pPr>
      <w:r>
        <w:rPr>
          <w:rFonts w:ascii="Times New Roman" w:cs="Times New Roman" w:eastAsia="Times New Roman" w:hAnsi="Times New Roman"/>
          <w:sz w:val="24"/>
          <w:szCs w:val="24"/>
        </w:rPr>
        <w:t xml:space="preserve">Krishna Harish</w:t>
      </w:r>
    </w:p>
    <w:p>
      <w:pPr>
        <w:spacing w:after="60"/>
        <w:jc w:val="center"/>
      </w:pPr>
      <w:r>
        <w:rPr>
          <w:rFonts w:ascii="Times New Roman" w:cs="Times New Roman" w:eastAsia="Times New Roman" w:hAnsi="Times New Roman"/>
          <w:i/>
          <w:iCs/>
          <w:sz w:val="22"/>
          <w:szCs w:val="22"/>
        </w:rPr>
        <w:t xml:space="preserve">Elkins High School, Missouri City, Texas, United States</w:t>
      </w:r>
    </w:p>
    <w:p>
      <w:pPr>
        <w:spacing w:after="240"/>
        <w:jc w:val="center"/>
      </w:pPr>
      <w:r>
        <w:rPr>
          <w:rFonts w:ascii="Times New Roman" w:cs="Times New Roman" w:eastAsia="Times New Roman" w:hAnsi="Times New Roman"/>
          <w:sz w:val="22"/>
          <w:szCs w:val="22"/>
        </w:rPr>
        <w:t xml:space="preserve">*Corresponding author. E-mail: krishnaharish2009@gmail.com</w:t>
      </w:r>
    </w:p>
    <w:p>
      <w:pPr>
        <w:spacing w:after="120" w:before="120"/>
      </w:pPr>
      <w:r>
        <w:rPr>
          <w:rFonts w:ascii="Times New Roman" w:cs="Times New Roman" w:eastAsia="Times New Roman" w:hAnsi="Times New Roman"/>
          <w:b/>
          <w:bCs/>
          <w:sz w:val="24"/>
          <w:szCs w:val="24"/>
        </w:rPr>
        <w:t xml:space="preserve">ABSTRACT</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Machine-learning models for molecular potency are most useful when their predictions can be trusted, yet they fail systematically on activity cliffs (pairs of structurally similar molecules with large potency differences) and give no warning when a prediction lands on one. Existing measures of structure–activity landscape roughness are either global (one scalar per data set) or pairwise (single molecule pairs), while applicability-domain and uncertainty methods flag extrapolation into sparse chemical space rather than the dense-region discontinuities cliffs represent. We introduce a family of local roughness functionals computed from a compound’s nearest training neighbors and evaluate them on thirty bioactivity benchmarks. Local roughness predicts the per-compound error of a random-forest model on every target and retains its predictive value after the applicability domain is controlled in partial-correlation and mixed-effects analyses, establishing it as a distinct axis of reliability. An activity-free descriptor, the pairwise-SALI density of a compound’s neighbors, flags labeled activity cliffs with a median ROC-AUC of 0.69, whereas nearest-neighbor similarity is oriented oppositely because cliffs cluster among close analogs. These relationships hold across three model classes, are robust to neighborhood size and distance metric, and replicate on physicochemical regression benchmarks outside bioactivity; in a triage setting, ranking predictions by roughness preferentially recovers the activity cliffs that uncertainty- and applicability-domain flags miss. The result is a model-agnostic, structure-only estimate of where a QSAR prediction should and should not be trusted.</w:t>
      </w:r>
    </w:p>
    <w:p>
      <w:pPr>
        <w:spacing w:after="120" w:before="160"/>
      </w:pPr>
      <w:r>
        <w:rPr>
          <w:rFonts w:ascii="Times New Roman" w:cs="Times New Roman" w:eastAsia="Times New Roman" w:hAnsi="Times New Roman"/>
          <w:b/>
          <w:bCs/>
          <w:sz w:val="24"/>
          <w:szCs w:val="24"/>
        </w:rPr>
        <w:t xml:space="preserve">KEYWORDS</w:t>
      </w:r>
    </w:p>
    <w:p>
      <w:pPr>
        <w:spacing w:after="0"/>
        <w:jc w:val="both"/>
      </w:pPr>
      <w:r>
        <w:rPr>
          <w:rFonts w:ascii="Times New Roman" w:cs="Times New Roman" w:eastAsia="Times New Roman" w:hAnsi="Times New Roman"/>
          <w:sz w:val="24"/>
          <w:szCs w:val="24"/>
        </w:rPr>
        <w:t xml:space="preserve">activity cliffs; QSAR; structure–activity landscape; applicability domain; uncertainty quantification; cheminformatics; machine-learning reliability</w:t>
      </w:r>
    </w:p>
    <w:p>
      <w:r>
        <w:br w:type="page"/>
      </w:r>
    </w:p>
    <w:p>
      <w:pPr>
        <w:pStyle w:val="Heading1"/>
      </w:pPr>
      <w:r>
        <w:rPr>
          <w:rFonts w:ascii="Times New Roman" w:cs="Times New Roman" w:eastAsia="Times New Roman" w:hAnsi="Times New Roman"/>
          <w:b w:val="false"/>
          <w:bCs w:val="false"/>
          <w:i w:val="false"/>
          <w:iCs w:val="false"/>
          <w:sz w:val="24"/>
          <w:szCs w:val="24"/>
        </w:rPr>
        <w:t xml:space="preserve">Introduction</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Quantitative structure–activity relationship (QSAR) modeling and, more recently, deep learning are routine tools for prioritizing compounds in drug discovery, used to predict potency, selectivity, and pharmacokinetic properties from chemical structure</w:t>
      </w:r>
      <w:r>
        <w:rPr>
          <w:rFonts w:ascii="Times New Roman" w:cs="Times New Roman" w:eastAsia="Times New Roman" w:hAnsi="Times New Roman"/>
          <w:b w:val="false"/>
          <w:bCs w:val="false"/>
          <w:i w:val="false"/>
          <w:iCs w:val="false"/>
          <w:sz w:val="24"/>
          <w:szCs w:val="24"/>
          <w:vertAlign w:val="superscript"/>
        </w:rPr>
        <w:t xml:space="preserve">1,2</w:t>
      </w:r>
      <w:r>
        <w:rPr>
          <w:rFonts w:ascii="Times New Roman" w:cs="Times New Roman" w:eastAsia="Times New Roman" w:hAnsi="Times New Roman"/>
          <w:b w:val="false"/>
          <w:bCs w:val="false"/>
          <w:i w:val="false"/>
          <w:iCs w:val="false"/>
          <w:sz w:val="24"/>
          <w:szCs w:val="24"/>
        </w:rPr>
        <w:t xml:space="preserve">. Almost all such models rest, implicitly or explicitly, on the molecular similarity principle: structurally similar molecules tend to exhibit similar properties</w:t>
      </w:r>
      <w:r>
        <w:rPr>
          <w:rFonts w:ascii="Times New Roman" w:cs="Times New Roman" w:eastAsia="Times New Roman" w:hAnsi="Times New Roman"/>
          <w:b w:val="false"/>
          <w:bCs w:val="false"/>
          <w:i w:val="false"/>
          <w:iCs w:val="false"/>
          <w:sz w:val="24"/>
          <w:szCs w:val="24"/>
          <w:vertAlign w:val="superscript"/>
        </w:rPr>
        <w:t xml:space="preserve">3</w:t>
      </w:r>
      <w:r>
        <w:rPr>
          <w:rFonts w:ascii="Times New Roman" w:cs="Times New Roman" w:eastAsia="Times New Roman" w:hAnsi="Times New Roman"/>
          <w:b w:val="false"/>
          <w:bCs w:val="false"/>
          <w:i w:val="false"/>
          <w:iCs w:val="false"/>
          <w:sz w:val="24"/>
          <w:szCs w:val="24"/>
        </w:rPr>
        <w:t xml:space="preserve">. This assumption is what allows a model trained on known compounds to generalize to new ones, and it is embedded in the inductive biases of the most widely used representations and algorithms, from fingerprint-based nearest-neighbor and kernel methods to message-passing graph neural networks, all of which map similar structures to similar predictions.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Activity cliffs are the principled exception to this rule</w:t>
      </w:r>
      <w:r>
        <w:rPr>
          <w:rFonts w:ascii="Times New Roman" w:cs="Times New Roman" w:eastAsia="Times New Roman" w:hAnsi="Times New Roman"/>
          <w:b w:val="false"/>
          <w:bCs w:val="false"/>
          <w:i w:val="false"/>
          <w:iCs w:val="false"/>
          <w:sz w:val="24"/>
          <w:szCs w:val="24"/>
          <w:vertAlign w:val="superscript"/>
        </w:rPr>
        <w:t xml:space="preserve">4,5</w:t>
      </w:r>
      <w:r>
        <w:rPr>
          <w:rFonts w:ascii="Times New Roman" w:cs="Times New Roman" w:eastAsia="Times New Roman" w:hAnsi="Times New Roman"/>
          <w:b w:val="false"/>
          <w:bCs w:val="false"/>
          <w:i w:val="false"/>
          <w:iCs w:val="false"/>
          <w:sz w:val="24"/>
          <w:szCs w:val="24"/>
        </w:rPr>
        <w:t xml:space="preserve">. A cliff is a pair of structurally similar molecules whose potencies differ by orders of magnitude, a discontinuity in the structure–activity landscape that directly violates the similarity assumption. Cliffs are not rare curiosities; they are pervasive across medicinal-chemistry data sets and frequently mark precisely the structural transformations that matter most during optimization</w:t>
      </w:r>
      <w:r>
        <w:rPr>
          <w:rFonts w:ascii="Times New Roman" w:cs="Times New Roman" w:eastAsia="Times New Roman" w:hAnsi="Times New Roman"/>
          <w:b w:val="false"/>
          <w:bCs w:val="false"/>
          <w:i w:val="false"/>
          <w:iCs w:val="false"/>
          <w:sz w:val="24"/>
          <w:szCs w:val="24"/>
          <w:vertAlign w:val="superscript"/>
        </w:rPr>
        <w:t xml:space="preserve">6</w:t>
      </w:r>
      <w:r>
        <w:rPr>
          <w:rFonts w:ascii="Times New Roman" w:cs="Times New Roman" w:eastAsia="Times New Roman" w:hAnsi="Times New Roman"/>
          <w:b w:val="false"/>
          <w:bCs w:val="false"/>
          <w:i w:val="false"/>
          <w:iCs w:val="false"/>
          <w:sz w:val="24"/>
          <w:szCs w:val="24"/>
        </w:rPr>
        <w:t xml:space="preserve">. Because they break the assumption on which prediction relies, cliffs are where models fail. A recent benchmark established this systematically: across 30 targets, machine-learning models, and deep neural networks in particular, predicted cliff compounds substantially less accurately than the rest, with descriptor-based methods outperforming graph- and sequence-based deep learning and no method reliably mastering cliffs</w:t>
      </w:r>
      <w:r>
        <w:rPr>
          <w:rFonts w:ascii="Times New Roman" w:cs="Times New Roman" w:eastAsia="Times New Roman" w:hAnsi="Times New Roman"/>
          <w:b w:val="false"/>
          <w:bCs w:val="false"/>
          <w:i w:val="false"/>
          <w:iCs w:val="false"/>
          <w:sz w:val="24"/>
          <w:szCs w:val="24"/>
          <w:vertAlign w:val="superscript"/>
        </w:rPr>
        <w:t xml:space="preserve">7,8</w:t>
      </w:r>
      <w:r>
        <w:rPr>
          <w:rFonts w:ascii="Times New Roman" w:cs="Times New Roman" w:eastAsia="Times New Roman" w:hAnsi="Times New Roman"/>
          <w:b w:val="false"/>
          <w:bCs w:val="false"/>
          <w:i w:val="false"/>
          <w:iCs w:val="false"/>
          <w:sz w:val="24"/>
          <w:szCs w:val="24"/>
        </w:rPr>
        <w:t xml:space="preserve">. The practical consequence is a problem of trust: a model may issue a confident prediction for a compound that sits on a cliff, exactly where that prediction is least reliable. A modeler able to identify cliff-prone compounds in advance (from structure, before any assay) could flag unreliable predictions, triage compounds for experimental confirmation, and interpret model error.</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Existing tools address adjacent but distinct questions. Roughness of the structure–activity landscape has been quantified at the level of an entire data set: the ROGI index</w:t>
      </w:r>
      <w:r>
        <w:rPr>
          <w:rFonts w:ascii="Times New Roman" w:cs="Times New Roman" w:eastAsia="Times New Roman" w:hAnsi="Times New Roman"/>
          <w:b w:val="false"/>
          <w:bCs w:val="false"/>
          <w:i w:val="false"/>
          <w:iCs w:val="false"/>
          <w:sz w:val="24"/>
          <w:szCs w:val="24"/>
          <w:vertAlign w:val="superscript"/>
        </w:rPr>
        <w:t xml:space="preserve">9</w:t>
      </w:r>
      <w:r>
        <w:rPr>
          <w:rFonts w:ascii="Times New Roman" w:cs="Times New Roman" w:eastAsia="Times New Roman" w:hAnsi="Times New Roman"/>
          <w:b w:val="false"/>
          <w:bCs w:val="false"/>
          <w:i w:val="false"/>
          <w:iCs w:val="false"/>
          <w:sz w:val="24"/>
          <w:szCs w:val="24"/>
        </w:rPr>
        <w:t xml:space="preserve"> and its representation-normalized successor</w:t>
      </w:r>
      <w:r>
        <w:rPr>
          <w:rFonts w:ascii="Times New Roman" w:cs="Times New Roman" w:eastAsia="Times New Roman" w:hAnsi="Times New Roman"/>
          <w:b w:val="false"/>
          <w:bCs w:val="false"/>
          <w:i w:val="false"/>
          <w:iCs w:val="false"/>
          <w:sz w:val="24"/>
          <w:szCs w:val="24"/>
          <w:vertAlign w:val="superscript"/>
        </w:rPr>
        <w:t xml:space="preserve">10</w:t>
      </w:r>
      <w:r>
        <w:rPr>
          <w:rFonts w:ascii="Times New Roman" w:cs="Times New Roman" w:eastAsia="Times New Roman" w:hAnsi="Times New Roman"/>
          <w:b w:val="false"/>
          <w:bCs w:val="false"/>
          <w:i w:val="false"/>
          <w:iCs w:val="false"/>
          <w:sz w:val="24"/>
          <w:szCs w:val="24"/>
        </w:rPr>
        <w:t xml:space="preserve">, together with earlier modelability indices such as MODI</w:t>
      </w:r>
      <w:r>
        <w:rPr>
          <w:rFonts w:ascii="Times New Roman" w:cs="Times New Roman" w:eastAsia="Times New Roman" w:hAnsi="Times New Roman"/>
          <w:b w:val="false"/>
          <w:bCs w:val="false"/>
          <w:i w:val="false"/>
          <w:iCs w:val="false"/>
          <w:sz w:val="24"/>
          <w:szCs w:val="24"/>
          <w:vertAlign w:val="superscript"/>
        </w:rPr>
        <w:t xml:space="preserve">11</w:t>
      </w:r>
      <w:r>
        <w:rPr>
          <w:rFonts w:ascii="Times New Roman" w:cs="Times New Roman" w:eastAsia="Times New Roman" w:hAnsi="Times New Roman"/>
          <w:b w:val="false"/>
          <w:bCs w:val="false"/>
          <w:i w:val="false"/>
          <w:iCs w:val="false"/>
          <w:sz w:val="24"/>
          <w:szCs w:val="24"/>
        </w:rPr>
        <w:t xml:space="preserve"> and SARI</w:t>
      </w:r>
      <w:r>
        <w:rPr>
          <w:rFonts w:ascii="Times New Roman" w:cs="Times New Roman" w:eastAsia="Times New Roman" w:hAnsi="Times New Roman"/>
          <w:b w:val="false"/>
          <w:bCs w:val="false"/>
          <w:i w:val="false"/>
          <w:iCs w:val="false"/>
          <w:sz w:val="24"/>
          <w:szCs w:val="24"/>
          <w:vertAlign w:val="superscript"/>
        </w:rPr>
        <w:t xml:space="preserve">12</w:t>
      </w:r>
      <w:r>
        <w:rPr>
          <w:rFonts w:ascii="Times New Roman" w:cs="Times New Roman" w:eastAsia="Times New Roman" w:hAnsi="Times New Roman"/>
          <w:b w:val="false"/>
          <w:bCs w:val="false"/>
          <w:i w:val="false"/>
          <w:iCs w:val="false"/>
          <w:sz w:val="24"/>
          <w:szCs w:val="24"/>
        </w:rPr>
        <w:t xml:space="preserve">, return a single scalar that correlates with a model's overall error and answers whether a data set is hard to model. At the opposite granularity, the Structure–Activity Landscape Index</w:t>
      </w:r>
      <w:r>
        <w:rPr>
          <w:rFonts w:ascii="Times New Roman" w:cs="Times New Roman" w:eastAsia="Times New Roman" w:hAnsi="Times New Roman"/>
          <w:b w:val="false"/>
          <w:bCs w:val="false"/>
          <w:i w:val="false"/>
          <w:iCs w:val="false"/>
          <w:sz w:val="24"/>
          <w:szCs w:val="24"/>
          <w:vertAlign w:val="superscript"/>
        </w:rPr>
        <w:t xml:space="preserve">13</w:t>
      </w:r>
      <w:r>
        <w:rPr>
          <w:rFonts w:ascii="Times New Roman" w:cs="Times New Roman" w:eastAsia="Times New Roman" w:hAnsi="Times New Roman"/>
          <w:b w:val="false"/>
          <w:bCs w:val="false"/>
          <w:i w:val="false"/>
          <w:iCs w:val="false"/>
          <w:sz w:val="24"/>
          <w:szCs w:val="24"/>
        </w:rPr>
        <w:t xml:space="preserve"> quantifies the steepness of an individual pair of molecules. Neither resolves the question we pose, which specific compounds a model will mispredict, because one aggregates over the whole landscape and the other describes edges rather than compounds. Methods designed for per-compound reliability, namely applicability-domain analyses</w:t>
      </w:r>
      <w:r>
        <w:rPr>
          <w:rFonts w:ascii="Times New Roman" w:cs="Times New Roman" w:eastAsia="Times New Roman" w:hAnsi="Times New Roman"/>
          <w:b w:val="false"/>
          <w:bCs w:val="false"/>
          <w:i w:val="false"/>
          <w:iCs w:val="false"/>
          <w:sz w:val="24"/>
          <w:szCs w:val="24"/>
          <w:vertAlign w:val="superscript"/>
        </w:rPr>
        <w:t xml:space="preserve">14,15</w:t>
      </w:r>
      <w:r>
        <w:rPr>
          <w:rFonts w:ascii="Times New Roman" w:cs="Times New Roman" w:eastAsia="Times New Roman" w:hAnsi="Times New Roman"/>
          <w:b w:val="false"/>
          <w:bCs w:val="false"/>
          <w:i w:val="false"/>
          <w:iCs w:val="false"/>
          <w:sz w:val="24"/>
          <w:szCs w:val="24"/>
        </w:rPr>
        <w:t xml:space="preserve"> and uncertainty estimators such as ensemble variance and conformal prediction</w:t>
      </w:r>
      <w:r>
        <w:rPr>
          <w:rFonts w:ascii="Times New Roman" w:cs="Times New Roman" w:eastAsia="Times New Roman" w:hAnsi="Times New Roman"/>
          <w:b w:val="false"/>
          <w:bCs w:val="false"/>
          <w:i w:val="false"/>
          <w:iCs w:val="false"/>
          <w:sz w:val="24"/>
          <w:szCs w:val="24"/>
          <w:vertAlign w:val="superscript"/>
        </w:rPr>
        <w:t xml:space="preserve">16,17</w:t>
      </w:r>
      <w:r>
        <w:rPr>
          <w:rFonts w:ascii="Times New Roman" w:cs="Times New Roman" w:eastAsia="Times New Roman" w:hAnsi="Times New Roman"/>
          <w:b w:val="false"/>
          <w:bCs w:val="false"/>
          <w:i w:val="false"/>
          <w:iCs w:val="false"/>
          <w:sz w:val="24"/>
          <w:szCs w:val="24"/>
        </w:rPr>
        <w:t xml:space="preserve">, target a different failure mode: they measure how far a query lies from the training data and thereby flag extrapolation into sparsely sampled chemical space. Activity cliffs, however, occur in densely sampled regions, among close analogs, where applicability-domain methods report high confidence. To our knowledge, no per-compound, activity-free measure of local landscape roughness has been shown to predict QSAR error while being demonstrably distinct from the applicability domain.</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Here we close that gap. We define a small family of local roughness functionals computed from a compound's nearest training neighbors: a similarity-weighted local Dirichlet energy and a Lipschitz aggregate that use the compound's own activity, and three activity-free measures (neighborhood activity dispersion, the pairwise-SALI density of the neighborhood, and a local Hölder regularity exponent) that do not. Using the 30-target MoleculeACE benchmark and its fixed splits, we evaluate whether these quantities predict the per-compound out-of-sample error of a random-forest model, and we test the result against applicability-domain and uncertainty baselines, a data-set-level roughness index, and a graph-convolutional model, across a range of neighborhood sizes and three distance metrics.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Our principal contributions are as follows. (i) We show that local landscape roughness predicts per-compound QSAR error consistently across all 30 targets. (ii) We demonstrate that this signal survives control for the applicability domain in both partial-correlation and mixed-effects analyses, establishing roughness as a distinct axis of predictability rather than a proxy for data sparsity. (iii) We introduce an activity-free descriptor, the pairwise-SALI density, that flags benchmark-labeled activity cliffs with useful accuracy, and we show that applicability-domain similarity is oriented in the opposite direction because cliffs concentrate among close analogs. (iv) We verify that these relationships are robust to neighborhood size and distance metric. (v) We provide evidence that the familiar advantage of descriptor models over graph-convolutional networks on these data is concentrated in smooth regions rather than at cliffs, where both fail comparably. Together these results yield a model-agnostic, structure-only estimate of where a QSAR model's predictions should and should not be trusted.</w:t>
      </w:r>
    </w:p>
    <w:p>
      <w:pPr>
        <w:pStyle w:val="Heading1"/>
      </w:pPr>
      <w:r>
        <w:rPr>
          <w:rFonts w:ascii="Times New Roman" w:cs="Times New Roman" w:eastAsia="Times New Roman" w:hAnsi="Times New Roman"/>
          <w:b w:val="false"/>
          <w:bCs w:val="false"/>
          <w:i w:val="false"/>
          <w:iCs w:val="false"/>
          <w:sz w:val="24"/>
          <w:szCs w:val="24"/>
        </w:rPr>
        <w:t xml:space="preserve">Computational Methods</w:t>
      </w:r>
    </w:p>
    <w:p>
      <w:pPr>
        <w:pStyle w:val="Heading2"/>
      </w:pPr>
      <w:r>
        <w:rPr>
          <w:rFonts w:ascii="Times New Roman" w:cs="Times New Roman" w:eastAsia="Times New Roman" w:hAnsi="Times New Roman"/>
          <w:b w:val="false"/>
          <w:bCs w:val="false"/>
          <w:i w:val="false"/>
          <w:iCs w:val="false"/>
          <w:sz w:val="24"/>
          <w:szCs w:val="24"/>
        </w:rPr>
        <w:t xml:space="preserve">Benchmark data sets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All analyses used the MoleculeACE benchmark</w:t>
      </w:r>
      <w:r>
        <w:rPr>
          <w:rFonts w:ascii="Times New Roman" w:cs="Times New Roman" w:eastAsia="Times New Roman" w:hAnsi="Times New Roman"/>
          <w:b w:val="false"/>
          <w:bCs w:val="false"/>
          <w:i w:val="false"/>
          <w:iCs w:val="false"/>
          <w:sz w:val="24"/>
          <w:szCs w:val="24"/>
          <w:vertAlign w:val="superscript"/>
        </w:rPr>
        <w:t xml:space="preserve">7</w:t>
      </w:r>
      <w:r>
        <w:rPr>
          <w:rFonts w:ascii="Times New Roman" w:cs="Times New Roman" w:eastAsia="Times New Roman" w:hAnsi="Times New Roman"/>
          <w:b w:val="false"/>
          <w:bCs w:val="false"/>
          <w:i w:val="false"/>
          <w:iCs w:val="false"/>
          <w:sz w:val="24"/>
          <w:szCs w:val="24"/>
        </w:rPr>
        <w:t xml:space="preserve">, a curated collection of bioactivity data for 30 macromolecular targets drawn from ChEMBL v29</w:t>
      </w:r>
      <w:r>
        <w:rPr>
          <w:rFonts w:ascii="Times New Roman" w:cs="Times New Roman" w:eastAsia="Times New Roman" w:hAnsi="Times New Roman"/>
          <w:b w:val="false"/>
          <w:bCs w:val="false"/>
          <w:i w:val="false"/>
          <w:iCs w:val="false"/>
          <w:sz w:val="24"/>
          <w:szCs w:val="24"/>
          <w:vertAlign w:val="superscript"/>
        </w:rPr>
        <w:t xml:space="preserve">18</w:t>
      </w:r>
      <w:r>
        <w:rPr>
          <w:rFonts w:ascii="Times New Roman" w:cs="Times New Roman" w:eastAsia="Times New Roman" w:hAnsi="Times New Roman"/>
          <w:b w:val="false"/>
          <w:bCs w:val="false"/>
          <w:i w:val="false"/>
          <w:iCs w:val="false"/>
          <w:sz w:val="24"/>
          <w:szCs w:val="24"/>
        </w:rPr>
        <w:t xml:space="preserve">, comprising 48.7K measurements (35.6K unique structures) across 23 inhibition-constant (Ki) and 7 half-maximal effective concentration (EC50) end points. For each target the regression target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 is the base-10 logarithm of potency (−log₁₀ of the activity in nM; equivalently pKi or pEC50 up to an additive constant), so that one unit corresponds to one order of magnitude in potency. Across the test compounds analyzed here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 spanned −5.0 to 2.0 (mean −1.8).</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Activity-cliff annotations and train/test partitions were taken unchanged from the benchmark to ensure that our per-compound error estimates are directly comparable to the published results. Following van Tilborg et al.</w:t>
      </w:r>
      <w:r>
        <w:rPr>
          <w:rFonts w:ascii="Times New Roman" w:cs="Times New Roman" w:eastAsia="Times New Roman" w:hAnsi="Times New Roman"/>
          <w:b w:val="false"/>
          <w:bCs w:val="false"/>
          <w:i w:val="false"/>
          <w:iCs w:val="false"/>
          <w:sz w:val="24"/>
          <w:szCs w:val="24"/>
          <w:vertAlign w:val="superscript"/>
        </w:rPr>
        <w:t xml:space="preserve">7</w:t>
      </w:r>
      <w:r>
        <w:rPr>
          <w:rFonts w:ascii="Times New Roman" w:cs="Times New Roman" w:eastAsia="Times New Roman" w:hAnsi="Times New Roman"/>
          <w:b w:val="false"/>
          <w:bCs w:val="false"/>
          <w:i w:val="false"/>
          <w:iCs w:val="false"/>
          <w:sz w:val="24"/>
          <w:szCs w:val="24"/>
        </w:rPr>
        <w:t xml:space="preserve">, a pair of compounds was labeled an activity cliff when the two molecules differed by more than 10-fold in potency (Δ</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 &gt; 1) and were structurally similar by at least one of three complementary measures: substructure similarity (Tanimoto coefficient on extended-connectivity fingerprints), scaffold similarity (Tanimoto coefficient on Bemis–Murcko scaffold fingerprints), or SMILES similarity (scaled Levenshtein distance), with any of the three exceeding 0.9. A molecule was designated a cliff compound if it participated in at least one such pair. Train/test splits were those distributed with the benchmark, obtained by spectral clustering of each data set on extended-connectivity fingerprints followed by stratified 80/20 partitioning within clusters. The resulting test sets contained 126–733 compounds per target (9,802 in total); the fraction of cliff compounds ranged from 9% to 54% across targets (38.7% overall). For external validation beyond bioactivity, two MoleculeNet physicochemical regression benchmarks were additionally analyzed: aqueous solubility (ESOL; 1,128 compounds with measured log solubility</w:t>
      </w:r>
      <w:r>
        <w:rPr>
          <w:rFonts w:ascii="Times New Roman" w:cs="Times New Roman" w:eastAsia="Times New Roman" w:hAnsi="Times New Roman"/>
          <w:b w:val="false"/>
          <w:bCs w:val="false"/>
          <w:i w:val="false"/>
          <w:iCs w:val="false"/>
          <w:sz w:val="24"/>
          <w:szCs w:val="24"/>
          <w:vertAlign w:val="superscript"/>
        </w:rPr>
        <w:t xml:space="preserve">19</w:t>
      </w:r>
      <w:r>
        <w:rPr>
          <w:rFonts w:ascii="Times New Roman" w:cs="Times New Roman" w:eastAsia="Times New Roman" w:hAnsi="Times New Roman"/>
          <w:b w:val="false"/>
          <w:bCs w:val="false"/>
          <w:i w:val="false"/>
          <w:iCs w:val="false"/>
          <w:sz w:val="24"/>
          <w:szCs w:val="24"/>
        </w:rPr>
        <w:t xml:space="preserve">) and lipophilicity (4,200 compounds with experimental log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perscript"/>
        </w:rPr>
        <w:t xml:space="preserve">20</w:t>
      </w:r>
      <w:r>
        <w:rPr>
          <w:rFonts w:ascii="Times New Roman" w:cs="Times New Roman" w:eastAsia="Times New Roman" w:hAnsi="Times New Roman"/>
          <w:b w:val="false"/>
          <w:bCs w:val="false"/>
          <w:i w:val="false"/>
          <w:iCs w:val="false"/>
          <w:sz w:val="24"/>
          <w:szCs w:val="24"/>
        </w:rPr>
        <w:t xml:space="preserve">). Lacking a distributed split, these were partitioned 80/20 by a Bemis–Murcko scaffold split</w:t>
      </w:r>
      <w:r>
        <w:rPr>
          <w:rFonts w:ascii="Times New Roman" w:cs="Times New Roman" w:eastAsia="Times New Roman" w:hAnsi="Times New Roman"/>
          <w:b w:val="false"/>
          <w:bCs w:val="false"/>
          <w:i w:val="false"/>
          <w:iCs w:val="false"/>
          <w:sz w:val="24"/>
          <w:szCs w:val="24"/>
          <w:vertAlign w:val="superscript"/>
        </w:rPr>
        <w:t xml:space="preserve">21</w:t>
      </w:r>
      <w:r>
        <w:rPr>
          <w:rFonts w:ascii="Times New Roman" w:cs="Times New Roman" w:eastAsia="Times New Roman" w:hAnsi="Times New Roman"/>
          <w:b w:val="false"/>
          <w:bCs w:val="false"/>
          <w:i w:val="false"/>
          <w:iCs w:val="false"/>
          <w:sz w:val="24"/>
          <w:szCs w:val="24"/>
        </w:rPr>
        <w:t xml:space="preserve">, assigning whole scaffold groups to the training set in order of decreasing frequency.</w:t>
      </w:r>
    </w:p>
    <w:p>
      <w:pPr>
        <w:pStyle w:val="Heading2"/>
      </w:pPr>
      <w:r>
        <w:rPr>
          <w:rFonts w:ascii="Times New Roman" w:cs="Times New Roman" w:eastAsia="Times New Roman" w:hAnsi="Times New Roman"/>
          <w:b w:val="false"/>
          <w:bCs w:val="false"/>
          <w:i w:val="false"/>
          <w:iCs w:val="false"/>
          <w:sz w:val="24"/>
          <w:szCs w:val="24"/>
        </w:rPr>
        <w:t xml:space="preserve">Molecular representations and distance metrics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Unless stated otherwise, molecules were represented by 2,048-bit extended-connectivity fingerprints of radius 2 (ECFP4</w:t>
      </w:r>
      <w:r>
        <w:rPr>
          <w:rFonts w:ascii="Times New Roman" w:cs="Times New Roman" w:eastAsia="Times New Roman" w:hAnsi="Times New Roman"/>
          <w:b w:val="false"/>
          <w:bCs w:val="false"/>
          <w:i w:val="false"/>
          <w:iCs w:val="false"/>
          <w:sz w:val="24"/>
          <w:szCs w:val="24"/>
          <w:vertAlign w:val="superscript"/>
        </w:rPr>
        <w:t xml:space="preserve">22</w:t>
      </w:r>
      <w:r>
        <w:rPr>
          <w:rFonts w:ascii="Times New Roman" w:cs="Times New Roman" w:eastAsia="Times New Roman" w:hAnsi="Times New Roman"/>
          <w:b w:val="false"/>
          <w:bCs w:val="false"/>
          <w:i w:val="false"/>
          <w:iCs w:val="false"/>
          <w:sz w:val="24"/>
          <w:szCs w:val="24"/>
        </w:rPr>
        <w:t xml:space="preserve">) computed with RDKit, and the distance between two molecules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j</w:t>
      </w:r>
      <w:r>
        <w:rPr>
          <w:rFonts w:ascii="Times New Roman" w:cs="Times New Roman" w:eastAsia="Times New Roman" w:hAnsi="Times New Roman"/>
          <w:b w:val="false"/>
          <w:bCs w:val="false"/>
          <w:i w:val="false"/>
          <w:iCs w:val="false"/>
          <w:sz w:val="24"/>
          <w:szCs w:val="24"/>
        </w:rPr>
        <w:t xml:space="preserve"> was defined as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ᵢⱼ = 1 −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ᵢⱼ, where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ᵢⱼ is the Tanimoto coefficient; the corresponding similarity is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rPr>
        <w:t xml:space="preserve">ᵢⱼ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ᵢⱼ. For robustness analyses two further representations were used: 2,048-bit ECFP6 fingerprints (radius 3) under the same Tanimoto distance, and a standardized 12-descriptor physicochemical vector (molecular weight, calculated logP, topological polar surface area, hydrogen-bond donor and acceptor counts, rotatable-bond count, aromatic-ring count, fraction of sp³ carbons, heavy-atom count, ring count, heteroatom count, and molar refractivity) under Euclidean distance, with each descriptor standardized to zero mean and unit variance using training-set statistics.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For every test molecule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its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nearest neighbors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rPr>
        <w:t xml:space="preserve">ₖ(</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were identified among the </w:t>
      </w:r>
      <w:r>
        <w:rPr>
          <w:rFonts w:ascii="Times New Roman" w:cs="Times New Roman" w:eastAsia="Times New Roman" w:hAnsi="Times New Roman"/>
          <w:b/>
          <w:bCs/>
          <w:i w:val="false"/>
          <w:iCs w:val="false"/>
          <w:sz w:val="24"/>
          <w:szCs w:val="24"/>
        </w:rPr>
        <w:t xml:space="preserve">training</w:t>
      </w:r>
      <w:r>
        <w:rPr>
          <w:rFonts w:ascii="Times New Roman" w:cs="Times New Roman" w:eastAsia="Times New Roman" w:hAnsi="Times New Roman"/>
          <w:b w:val="false"/>
          <w:bCs w:val="false"/>
          <w:i w:val="false"/>
          <w:iCs w:val="false"/>
          <w:sz w:val="24"/>
          <w:szCs w:val="24"/>
        </w:rPr>
        <w:t xml:space="preserve"> compounds under the chosen distance, so that all neighbor-derived quantities for a held-out molecule depend only on the training data and, where indicated, on that molecule's own activity. The default neighborhood size was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 10.</w:t>
      </w:r>
    </w:p>
    <w:p>
      <w:pPr>
        <w:pStyle w:val="Heading2"/>
      </w:pPr>
      <w:r>
        <w:rPr>
          <w:rFonts w:ascii="Times New Roman" w:cs="Times New Roman" w:eastAsia="Times New Roman" w:hAnsi="Times New Roman"/>
          <w:b w:val="false"/>
          <w:bCs w:val="false"/>
          <w:i w:val="false"/>
          <w:iCs w:val="false"/>
          <w:sz w:val="24"/>
          <w:szCs w:val="24"/>
        </w:rPr>
        <w:t xml:space="preserve">Local landscape-roughness descriptors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Two descriptors quantify the steepness of the structure–activity landscape in the immediate vicinity of a molecule and use the molecule's own activity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ᵢ; we refer to these as </w:t>
      </w:r>
      <w:r>
        <w:rPr>
          <w:rFonts w:ascii="Times New Roman" w:cs="Times New Roman" w:eastAsia="Times New Roman" w:hAnsi="Times New Roman"/>
          <w:b w:val="false"/>
          <w:bCs w:val="false"/>
          <w:i/>
          <w:iCs/>
          <w:sz w:val="24"/>
          <w:szCs w:val="24"/>
        </w:rPr>
        <w:t xml:space="preserve">landscape</w:t>
      </w:r>
      <w:r>
        <w:rPr>
          <w:rFonts w:ascii="Times New Roman" w:cs="Times New Roman" w:eastAsia="Times New Roman" w:hAnsi="Times New Roman"/>
          <w:b w:val="false"/>
          <w:bCs w:val="false"/>
          <w:i w:val="false"/>
          <w:iCs w:val="false"/>
          <w:sz w:val="24"/>
          <w:szCs w:val="24"/>
        </w:rPr>
        <w:t xml:space="preserve"> descriptors. The first is a similarity-weighted local Dirichlet energy, defined as</w:t>
      </w:r>
    </w:p>
    <w:p>
      <w:pPr>
        <w:spacing w:after="120" w:before="120" w:line="240" w:lineRule="auto"/>
        <w:jc w:val="center"/>
      </w:pP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 [ Σ</w:t>
      </w:r>
      <w:r>
        <w:rPr>
          <w:rFonts w:ascii="Times New Roman" w:cs="Times New Roman" w:eastAsia="Times New Roman" w:hAnsi="Times New Roman"/>
          <w:b w:val="false"/>
          <w:bCs w:val="false"/>
          <w:i w:val="false"/>
          <w:iCs w:val="false"/>
          <w:sz w:val="24"/>
          <w:szCs w:val="24"/>
          <w:vertAlign w:val="subscript"/>
        </w:rPr>
        <w:t xml:space="preserve">j ∈ Nₖ(i)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rPr>
        <w:t xml:space="preserve">ᵢⱼ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ᵢ −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ⱼ)² ] / [ Σ</w:t>
      </w:r>
      <w:r>
        <w:rPr>
          <w:rFonts w:ascii="Times New Roman" w:cs="Times New Roman" w:eastAsia="Times New Roman" w:hAnsi="Times New Roman"/>
          <w:b w:val="false"/>
          <w:bCs w:val="false"/>
          <w:i w:val="false"/>
          <w:iCs w:val="false"/>
          <w:sz w:val="24"/>
          <w:szCs w:val="24"/>
          <w:vertAlign w:val="subscript"/>
        </w:rPr>
        <w:t xml:space="preserve">j ∈ Nₖ(i)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rPr>
        <w:t xml:space="preserve">ᵢⱼ ],</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i.e., the similarity-weighted mean squared activity gap between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and its neighbors; it is the discrete analogue of the squared gradient of the activity function evaluated at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The second is a local Lipschitz constant, an aggregation of the pairwise Structure–Activity Landscape Index (SALI</w:t>
      </w:r>
      <w:r>
        <w:rPr>
          <w:rFonts w:ascii="Times New Roman" w:cs="Times New Roman" w:eastAsia="Times New Roman" w:hAnsi="Times New Roman"/>
          <w:b w:val="false"/>
          <w:bCs w:val="false"/>
          <w:i w:val="false"/>
          <w:iCs w:val="false"/>
          <w:sz w:val="24"/>
          <w:szCs w:val="24"/>
          <w:vertAlign w:val="superscript"/>
        </w:rPr>
        <w:t xml:space="preserve">13</w:t>
      </w:r>
      <w:r>
        <w:rPr>
          <w:rFonts w:ascii="Times New Roman" w:cs="Times New Roman" w:eastAsia="Times New Roman" w:hAnsi="Times New Roman"/>
          <w:b w:val="false"/>
          <w:bCs w:val="false"/>
          <w:i w:val="false"/>
          <w:iCs w:val="false"/>
          <w:sz w:val="24"/>
          <w:szCs w:val="24"/>
        </w:rPr>
        <w:t xml:space="preserve">),</w:t>
      </w:r>
    </w:p>
    <w:p>
      <w:pPr>
        <w:spacing w:after="120" w:before="120" w:line="240" w:lineRule="auto"/>
        <w:jc w:val="center"/>
      </w:pP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vertAlign w:val="subscript"/>
        </w:rPr>
        <w:t xml:space="preserve">L</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 max</w:t>
      </w:r>
      <w:r>
        <w:rPr>
          <w:rFonts w:ascii="Times New Roman" w:cs="Times New Roman" w:eastAsia="Times New Roman" w:hAnsi="Times New Roman"/>
          <w:b w:val="false"/>
          <w:bCs w:val="false"/>
          <w:i w:val="false"/>
          <w:iCs w:val="false"/>
          <w:sz w:val="24"/>
          <w:szCs w:val="24"/>
          <w:vertAlign w:val="subscript"/>
        </w:rPr>
        <w:t xml:space="preserve">j ∈ Nₖ(i)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ᵢ −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ⱼ| / max(1 −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rPr>
        <w:t xml:space="preserve">ᵢⱼ, ε),</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with ε = 10⁻³ to bound the denominator for near-identical pairs.</w:t>
      </w:r>
    </w:p>
    <w:p>
      <w:pPr>
        <w:pStyle w:val="Heading2"/>
      </w:pPr>
      <w:r>
        <w:rPr>
          <w:rFonts w:ascii="Times New Roman" w:cs="Times New Roman" w:eastAsia="Times New Roman" w:hAnsi="Times New Roman"/>
          <w:b w:val="false"/>
          <w:bCs w:val="false"/>
          <w:i w:val="false"/>
          <w:iCs w:val="false"/>
          <w:sz w:val="24"/>
          <w:szCs w:val="24"/>
        </w:rPr>
        <w:t xml:space="preserve">Activity-free (a priori) roughness descriptors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Three descriptors estimate local roughness </w:t>
      </w:r>
      <w:r>
        <w:rPr>
          <w:rFonts w:ascii="Times New Roman" w:cs="Times New Roman" w:eastAsia="Times New Roman" w:hAnsi="Times New Roman"/>
          <w:b/>
          <w:bCs/>
          <w:i w:val="false"/>
          <w:iCs w:val="false"/>
          <w:sz w:val="24"/>
          <w:szCs w:val="24"/>
        </w:rPr>
        <w:t xml:space="preserve">without</w:t>
      </w:r>
      <w:r>
        <w:rPr>
          <w:rFonts w:ascii="Times New Roman" w:cs="Times New Roman" w:eastAsia="Times New Roman" w:hAnsi="Times New Roman"/>
          <w:b w:val="false"/>
          <w:bCs w:val="false"/>
          <w:i w:val="false"/>
          <w:iCs w:val="false"/>
          <w:sz w:val="24"/>
          <w:szCs w:val="24"/>
        </w:rPr>
        <w:t xml:space="preserve"> reference to the query molecule's activity, and are therefore computable before any potency is known; we refer to these as </w:t>
      </w:r>
      <w:r>
        <w:rPr>
          <w:rFonts w:ascii="Times New Roman" w:cs="Times New Roman" w:eastAsia="Times New Roman" w:hAnsi="Times New Roman"/>
          <w:b w:val="false"/>
          <w:bCs w:val="false"/>
          <w:i/>
          <w:iCs/>
          <w:sz w:val="24"/>
          <w:szCs w:val="24"/>
        </w:rPr>
        <w:t xml:space="preserve">a priori</w:t>
      </w:r>
      <w:r>
        <w:rPr>
          <w:rFonts w:ascii="Times New Roman" w:cs="Times New Roman" w:eastAsia="Times New Roman" w:hAnsi="Times New Roman"/>
          <w:b w:val="false"/>
          <w:bCs w:val="false"/>
          <w:i w:val="false"/>
          <w:iCs w:val="false"/>
          <w:sz w:val="24"/>
          <w:szCs w:val="24"/>
        </w:rPr>
        <w:t xml:space="preserve"> descriptors. The neighborhood activity dispersion,</w:t>
      </w:r>
    </w:p>
    <w:p>
      <w:pPr>
        <w:spacing w:after="120" w:before="120" w:line="240" w:lineRule="auto"/>
        <w:jc w:val="center"/>
      </w:pP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 std{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ⱼ : </w:t>
      </w:r>
      <w:r>
        <w:rPr>
          <w:rFonts w:ascii="Times New Roman" w:cs="Times New Roman" w:eastAsia="Times New Roman" w:hAnsi="Times New Roman"/>
          <w:b w:val="false"/>
          <w:bCs w:val="false"/>
          <w:i/>
          <w:iCs/>
          <w:sz w:val="24"/>
          <w:szCs w:val="24"/>
        </w:rPr>
        <w:t xml:space="preserve">j</w:t>
      </w:r>
      <w:r>
        <w:rPr>
          <w:rFonts w:ascii="Times New Roman" w:cs="Times New Roman" w:eastAsia="Times New Roman" w:hAnsi="Times New Roman"/>
          <w:b w:val="false"/>
          <w:bCs w:val="false"/>
          <w:i w:val="false"/>
          <w:iCs w:val="false"/>
          <w:sz w:val="24"/>
          <w:szCs w:val="24"/>
        </w:rPr>
        <w:t xml:space="preserve"> ∈ Nₖ(</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measures the spread of activities among the query's training neighbors. The pairwise-SALI density summarizes the steepness of the landscape </w:t>
      </w:r>
      <w:r>
        <w:rPr>
          <w:rFonts w:ascii="Times New Roman" w:cs="Times New Roman" w:eastAsia="Times New Roman" w:hAnsi="Times New Roman"/>
          <w:b w:val="false"/>
          <w:bCs w:val="false"/>
          <w:i/>
          <w:iCs/>
          <w:sz w:val="24"/>
          <w:szCs w:val="24"/>
        </w:rPr>
        <w:t xml:space="preserve">within</w:t>
      </w:r>
      <w:r>
        <w:rPr>
          <w:rFonts w:ascii="Times New Roman" w:cs="Times New Roman" w:eastAsia="Times New Roman" w:hAnsi="Times New Roman"/>
          <w:b w:val="false"/>
          <w:bCs w:val="false"/>
          <w:i w:val="false"/>
          <w:iCs w:val="false"/>
          <w:sz w:val="24"/>
          <w:szCs w:val="24"/>
        </w:rPr>
        <w:t xml:space="preserve"> the neighbor set,</w:t>
      </w:r>
    </w:p>
    <w:p>
      <w:pPr>
        <w:spacing w:after="120" w:before="120" w:line="240" w:lineRule="auto"/>
        <w:jc w:val="center"/>
      </w:pP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vertAlign w:val="subscript"/>
        </w:rPr>
        <w:t xml:space="preserve">m</w:t>
      </w:r>
      <w:r>
        <w:rPr>
          <w:rFonts w:ascii="Times New Roman" w:cs="Times New Roman" w:eastAsia="Times New Roman" w:hAnsi="Times New Roman"/>
          <w:b w:val="false"/>
          <w:bCs w:val="false"/>
          <w:i w:val="false"/>
          <w:iCs w:val="false"/>
          <w:sz w:val="24"/>
          <w:szCs w:val="24"/>
        </w:rPr>
        <w:t xml:space="preserve">ax(</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 max</w:t>
      </w:r>
      <w:r>
        <w:rPr>
          <w:rFonts w:ascii="Times New Roman" w:cs="Times New Roman" w:eastAsia="Times New Roman" w:hAnsi="Times New Roman"/>
          <w:b w:val="false"/>
          <w:bCs w:val="false"/>
          <w:i w:val="false"/>
          <w:iCs w:val="false"/>
          <w:sz w:val="24"/>
          <w:szCs w:val="24"/>
          <w:vertAlign w:val="subscript"/>
        </w:rPr>
        <w:t xml:space="preserve">a,b ∈ Nₖ(i)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vertAlign w:val="subscript"/>
        </w:rPr>
        <w:t xml:space="preserve">b</w:t>
      </w:r>
      <w:r>
        <w:rPr>
          <w:rFonts w:ascii="Times New Roman" w:cs="Times New Roman" w:eastAsia="Times New Roman" w:hAnsi="Times New Roman"/>
          <w:b w:val="false"/>
          <w:bCs w:val="false"/>
          <w:i w:val="false"/>
          <w:iCs w:val="false"/>
          <w:sz w:val="24"/>
          <w:szCs w:val="24"/>
        </w:rPr>
        <w:t xml:space="preserve">| / max(1 −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vertAlign w:val="subscript"/>
        </w:rPr>
        <w:t xml:space="preserve">ab</w:t>
      </w:r>
      <w:r>
        <w:rPr>
          <w:rFonts w:ascii="Times New Roman" w:cs="Times New Roman" w:eastAsia="Times New Roman" w:hAnsi="Times New Roman"/>
          <w:b w:val="false"/>
          <w:bCs w:val="false"/>
          <w:i w:val="false"/>
          <w:iCs w:val="false"/>
          <w:sz w:val="24"/>
          <w:szCs w:val="24"/>
        </w:rPr>
        <w:t xml:space="preserve">, ε),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vertAlign w:val="subscript"/>
        </w:rPr>
        <w:t xml:space="preserve">m</w:t>
      </w:r>
      <w:r>
        <w:rPr>
          <w:rFonts w:ascii="Times New Roman" w:cs="Times New Roman" w:eastAsia="Times New Roman" w:hAnsi="Times New Roman"/>
          <w:b w:val="false"/>
          <w:bCs w:val="false"/>
          <w:i w:val="false"/>
          <w:iCs w:val="false"/>
          <w:sz w:val="24"/>
          <w:szCs w:val="24"/>
        </w:rPr>
        <w:t xml:space="preserve">ean(</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 mean over the same pairs,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using only neighbor activities and neighbor-to-neighbor similarities. Finally, a local Hölder (regularity) exponent was estimated over the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25 nearest training neighbors by ordinary-least-squares fitting of log|</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vertAlign w:val="subscript"/>
        </w:rPr>
        <w:t xml:space="preserve">b</w:t>
      </w:r>
      <w:r>
        <w:rPr>
          <w:rFonts w:ascii="Times New Roman" w:cs="Times New Roman" w:eastAsia="Times New Roman" w:hAnsi="Times New Roman"/>
          <w:b w:val="false"/>
          <w:bCs w:val="false"/>
          <w:i w:val="false"/>
          <w:iCs w:val="false"/>
          <w:sz w:val="24"/>
          <w:szCs w:val="24"/>
        </w:rPr>
        <w:t xml:space="preserve">| = α log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ab</w:t>
      </w:r>
      <w:r>
        <w:rPr>
          <w:rFonts w:ascii="Times New Roman" w:cs="Times New Roman" w:eastAsia="Times New Roman" w:hAnsi="Times New Roman"/>
          <w:b w:val="false"/>
          <w:bCs w:val="false"/>
          <w:i w:val="false"/>
          <w:iCs w:val="false"/>
          <w:sz w:val="24"/>
          <w:szCs w:val="24"/>
        </w:rPr>
        <w:t xml:space="preserve"> + c across all neighbor pairs (a, b); the slope α is a local estimate of the activity function's Hölder regularity, with smaller α indicating rougher behavior.</w:t>
      </w:r>
    </w:p>
    <w:p>
      <w:pPr>
        <w:pStyle w:val="Heading2"/>
      </w:pPr>
      <w:r>
        <w:rPr>
          <w:rFonts w:ascii="Times New Roman" w:cs="Times New Roman" w:eastAsia="Times New Roman" w:hAnsi="Times New Roman"/>
          <w:b w:val="false"/>
          <w:bCs w:val="false"/>
          <w:i w:val="false"/>
          <w:iCs w:val="false"/>
          <w:sz w:val="24"/>
          <w:szCs w:val="24"/>
        </w:rPr>
        <w:t xml:space="preserve">Baseline measures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Three families of established measures were computed for comparison. </w:t>
      </w:r>
      <w:r>
        <w:rPr>
          <w:rFonts w:ascii="Times New Roman" w:cs="Times New Roman" w:eastAsia="Times New Roman" w:hAnsi="Times New Roman"/>
          <w:b w:val="false"/>
          <w:bCs w:val="false"/>
          <w:i/>
          <w:iCs/>
          <w:sz w:val="24"/>
          <w:szCs w:val="24"/>
        </w:rPr>
        <w:t xml:space="preserve">Applicability-domain</w:t>
      </w:r>
      <w:r>
        <w:rPr>
          <w:rFonts w:ascii="Times New Roman" w:cs="Times New Roman" w:eastAsia="Times New Roman" w:hAnsi="Times New Roman"/>
          <w:b w:val="false"/>
          <w:bCs w:val="false"/>
          <w:i w:val="false"/>
          <w:iCs w:val="false"/>
          <w:sz w:val="24"/>
          <w:szCs w:val="24"/>
        </w:rPr>
        <w:t xml:space="preserve"> measures characterize a molecule's proximity to the training data: the nearest-neighbor similarity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vertAlign w:val="subscript"/>
        </w:rPr>
        <w:t xml:space="preserve">N</w:t>
      </w:r>
      <w:r>
        <w:rPr>
          <w:rFonts w:ascii="Times New Roman" w:cs="Times New Roman" w:eastAsia="Times New Roman" w:hAnsi="Times New Roman"/>
          <w:b w:val="false"/>
          <w:bCs w:val="false"/>
          <w:i w:val="false"/>
          <w:iCs w:val="false"/>
          <w:sz w:val="24"/>
          <w:szCs w:val="24"/>
        </w:rPr>
        <w:t xml:space="preserve">N(</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 max</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rPr>
        <w:t xml:space="preserve">ᵢⱼ over the training set, and the local density, the mean similarity over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rPr>
        <w:t xml:space="preserve">ₖ(</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An </w:t>
      </w:r>
      <w:r>
        <w:rPr>
          <w:rFonts w:ascii="Times New Roman" w:cs="Times New Roman" w:eastAsia="Times New Roman" w:hAnsi="Times New Roman"/>
          <w:b w:val="false"/>
          <w:bCs w:val="false"/>
          <w:i/>
          <w:iCs/>
          <w:sz w:val="24"/>
          <w:szCs w:val="24"/>
        </w:rPr>
        <w:t xml:space="preserve">uncertainty</w:t>
      </w:r>
      <w:r>
        <w:rPr>
          <w:rFonts w:ascii="Times New Roman" w:cs="Times New Roman" w:eastAsia="Times New Roman" w:hAnsi="Times New Roman"/>
          <w:b w:val="false"/>
          <w:bCs w:val="false"/>
          <w:i w:val="false"/>
          <w:iCs w:val="false"/>
          <w:sz w:val="24"/>
          <w:szCs w:val="24"/>
        </w:rPr>
        <w:t xml:space="preserve"> baseline was obtained from the random-forest predictor as the variance of the individual tree predictions for each test molecule. A </w:t>
      </w:r>
      <w:r>
        <w:rPr>
          <w:rFonts w:ascii="Times New Roman" w:cs="Times New Roman" w:eastAsia="Times New Roman" w:hAnsi="Times New Roman"/>
          <w:b w:val="false"/>
          <w:bCs w:val="false"/>
          <w:i/>
          <w:iCs/>
          <w:sz w:val="24"/>
          <w:szCs w:val="24"/>
        </w:rPr>
        <w:t xml:space="preserve">global-roughness</w:t>
      </w:r>
      <w:r>
        <w:rPr>
          <w:rFonts w:ascii="Times New Roman" w:cs="Times New Roman" w:eastAsia="Times New Roman" w:hAnsi="Times New Roman"/>
          <w:b w:val="false"/>
          <w:bCs w:val="false"/>
          <w:i w:val="false"/>
          <w:iCs w:val="false"/>
          <w:sz w:val="24"/>
          <w:szCs w:val="24"/>
        </w:rPr>
        <w:t xml:space="preserve"> baseline was obtained with the ROGI index</w:t>
      </w:r>
      <w:r>
        <w:rPr>
          <w:rFonts w:ascii="Times New Roman" w:cs="Times New Roman" w:eastAsia="Times New Roman" w:hAnsi="Times New Roman"/>
          <w:b w:val="false"/>
          <w:bCs w:val="false"/>
          <w:i w:val="false"/>
          <w:iCs w:val="false"/>
          <w:sz w:val="24"/>
          <w:szCs w:val="24"/>
          <w:vertAlign w:val="superscript"/>
        </w:rPr>
        <w:t xml:space="preserve">9</w:t>
      </w:r>
      <w:r>
        <w:rPr>
          <w:rFonts w:ascii="Times New Roman" w:cs="Times New Roman" w:eastAsia="Times New Roman" w:hAnsi="Times New Roman"/>
          <w:b w:val="false"/>
          <w:bCs w:val="false"/>
          <w:i w:val="false"/>
          <w:iCs w:val="false"/>
          <w:sz w:val="24"/>
          <w:szCs w:val="24"/>
        </w:rPr>
        <w:t xml:space="preserve">, a single dataset-level scalar that quantifies structure–property surface roughness through the loss of property dispersion under progressive coarse-graining; ROGI was computed per data set on the full activity distribution using the reference implementation, which also provides the SARI and (R)MODI modelability indices.</w:t>
      </w:r>
    </w:p>
    <w:p>
      <w:pPr>
        <w:pStyle w:val="Heading2"/>
      </w:pPr>
      <w:r>
        <w:rPr>
          <w:rFonts w:ascii="Times New Roman" w:cs="Times New Roman" w:eastAsia="Times New Roman" w:hAnsi="Times New Roman"/>
          <w:b w:val="false"/>
          <w:bCs w:val="false"/>
          <w:i w:val="false"/>
          <w:iCs w:val="false"/>
          <w:sz w:val="24"/>
          <w:szCs w:val="24"/>
        </w:rPr>
        <w:t xml:space="preserve">Predictive models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A descriptor-based and a graph-based regressor were trained per target on the official training split and evaluated on the official test split; the per-compound out-of-sample error was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rPr>
        <w:t xml:space="preserve">ᵢ = |ŷᵢ −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ᵢ|.</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The descriptor model was a random forest</w:t>
      </w:r>
      <w:r>
        <w:rPr>
          <w:rFonts w:ascii="Times New Roman" w:cs="Times New Roman" w:eastAsia="Times New Roman" w:hAnsi="Times New Roman"/>
          <w:b w:val="false"/>
          <w:bCs w:val="false"/>
          <w:i w:val="false"/>
          <w:iCs w:val="false"/>
          <w:sz w:val="24"/>
          <w:szCs w:val="24"/>
          <w:vertAlign w:val="superscript"/>
        </w:rPr>
        <w:t xml:space="preserve">23</w:t>
      </w:r>
      <w:r>
        <w:rPr>
          <w:rFonts w:ascii="Times New Roman" w:cs="Times New Roman" w:eastAsia="Times New Roman" w:hAnsi="Times New Roman"/>
          <w:b w:val="false"/>
          <w:bCs w:val="false"/>
          <w:i w:val="false"/>
          <w:iCs w:val="false"/>
          <w:sz w:val="24"/>
          <w:szCs w:val="24"/>
        </w:rPr>
        <w:t xml:space="preserve"> as implemented in scikit-learn, with 200 trees and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features considered per split, fit on 2,048-bit ECFP4 features. Per-compound predictive variance was taken as the variance across the 200 tree predictions.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The graph model was a Graph Isomorphism Network (GIN</w:t>
      </w:r>
      <w:r>
        <w:rPr>
          <w:rFonts w:ascii="Times New Roman" w:cs="Times New Roman" w:eastAsia="Times New Roman" w:hAnsi="Times New Roman"/>
          <w:b w:val="false"/>
          <w:bCs w:val="false"/>
          <w:i w:val="false"/>
          <w:iCs w:val="false"/>
          <w:sz w:val="24"/>
          <w:szCs w:val="24"/>
          <w:vertAlign w:val="superscript"/>
        </w:rPr>
        <w:t xml:space="preserve">24</w:t>
      </w:r>
      <w:r>
        <w:rPr>
          <w:rFonts w:ascii="Times New Roman" w:cs="Times New Roman" w:eastAsia="Times New Roman" w:hAnsi="Times New Roman"/>
          <w:b w:val="false"/>
          <w:bCs w:val="false"/>
          <w:i w:val="false"/>
          <w:iCs w:val="false"/>
          <w:sz w:val="24"/>
          <w:szCs w:val="24"/>
        </w:rPr>
        <w:t xml:space="preserve">) implemented in PyTorch. Each atom was described by a 16-dimensional feature vector (one-hot atomic number over {C, N, O, F, P, S, Cl, Br, I, other}, degree, formal charge, aromaticity flag, total hydrogen count, and ring-membership flag). Three GIN-0 layers with hidden width 64 propagated information according to </w:t>
      </w:r>
      <w:r>
        <w:rPr>
          <w:rFonts w:ascii="Times New Roman" w:cs="Times New Roman" w:eastAsia="Times New Roman" w:hAnsi="Times New Roman"/>
          <w:b/>
          <w:bCs/>
          <w:i w:val="false"/>
          <w:iCs w:val="false"/>
          <w:sz w:val="24"/>
          <w:szCs w:val="24"/>
        </w:rPr>
        <w:t xml:space="preserve">H</w:t>
      </w:r>
      <w:r>
        <w:rPr>
          <w:rFonts w:ascii="Times New Roman" w:cs="Times New Roman" w:eastAsia="Times New Roman" w:hAnsi="Times New Roman"/>
          <w:b w:val="false"/>
          <w:bCs w:val="false"/>
          <w:i w:val="false"/>
          <w:iCs w:val="false"/>
          <w:sz w:val="24"/>
          <w:szCs w:val="24"/>
          <w:vertAlign w:val="superscript"/>
        </w:rPr>
        <w:t xml:space="preserve">(l+1)</w:t>
      </w:r>
      <w:r>
        <w:rPr>
          <w:rFonts w:ascii="Times New Roman" w:cs="Times New Roman" w:eastAsia="Times New Roman" w:hAnsi="Times New Roman"/>
          <w:b w:val="false"/>
          <w:bCs w:val="false"/>
          <w:i w:val="false"/>
          <w:iCs w:val="false"/>
          <w:sz w:val="24"/>
          <w:szCs w:val="24"/>
        </w:rPr>
        <w:t xml:space="preserve"> = MLP</w:t>
      </w:r>
      <w:r>
        <w:rPr>
          <w:rFonts w:ascii="Times New Roman" w:cs="Times New Roman" w:eastAsia="Times New Roman" w:hAnsi="Times New Roman"/>
          <w:b w:val="false"/>
          <w:bCs w:val="false"/>
          <w:i w:val="false"/>
          <w:iCs w:val="false"/>
          <w:sz w:val="24"/>
          <w:szCs w:val="24"/>
          <w:vertAlign w:val="superscript"/>
        </w:rPr>
        <w:t xml:space="preserve">(l)</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bCs/>
          <w:i w:val="false"/>
          <w:iCs w:val="false"/>
          <w:sz w:val="24"/>
          <w:szCs w:val="24"/>
        </w:rPr>
        <w:t xml:space="preserve">H</w:t>
      </w:r>
      <w:r>
        <w:rPr>
          <w:rFonts w:ascii="Times New Roman" w:cs="Times New Roman" w:eastAsia="Times New Roman" w:hAnsi="Times New Roman"/>
          <w:b w:val="false"/>
          <w:bCs w:val="false"/>
          <w:i w:val="false"/>
          <w:iCs w:val="false"/>
          <w:sz w:val="24"/>
          <w:szCs w:val="24"/>
          <w:vertAlign w:val="superscript"/>
        </w:rPr>
        <w:t xml:space="preserve">(l)</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bCs/>
          <w:i w:val="false"/>
          <w:iCs w:val="false"/>
          <w:sz w:val="24"/>
          <w:szCs w:val="24"/>
        </w:rPr>
        <w:t xml:space="preserve">A H</w:t>
      </w:r>
      <w:r>
        <w:rPr>
          <w:rFonts w:ascii="Times New Roman" w:cs="Times New Roman" w:eastAsia="Times New Roman" w:hAnsi="Times New Roman"/>
          <w:b w:val="false"/>
          <w:bCs w:val="false"/>
          <w:i w:val="false"/>
          <w:iCs w:val="false"/>
          <w:sz w:val="24"/>
          <w:szCs w:val="24"/>
          <w:vertAlign w:val="superscript"/>
        </w:rPr>
        <w:t xml:space="preserve">(l)</w:t>
      </w:r>
      <w:r>
        <w:rPr>
          <w:rFonts w:ascii="Times New Roman" w:cs="Times New Roman" w:eastAsia="Times New Roman" w:hAnsi="Times New Roman"/>
          <w:b w:val="false"/>
          <w:bCs w:val="false"/>
          <w:i w:val="false"/>
          <w:iCs w:val="false"/>
          <w:sz w:val="24"/>
          <w:szCs w:val="24"/>
        </w:rPr>
        <w:t xml:space="preserve">), where </w:t>
      </w:r>
      <w:r>
        <w:rPr>
          <w:rFonts w:ascii="Times New Roman" w:cs="Times New Roman" w:eastAsia="Times New Roman" w:hAnsi="Times New Roman"/>
          <w:b/>
          <w:bCs/>
          <w:i w:val="false"/>
          <w:iCs w:val="false"/>
          <w:sz w:val="24"/>
          <w:szCs w:val="24"/>
        </w:rPr>
        <w:t xml:space="preserve">A</w:t>
      </w:r>
      <w:r>
        <w:rPr>
          <w:rFonts w:ascii="Times New Roman" w:cs="Times New Roman" w:eastAsia="Times New Roman" w:hAnsi="Times New Roman"/>
          <w:b w:val="false"/>
          <w:bCs w:val="false"/>
          <w:i w:val="false"/>
          <w:iCs w:val="false"/>
          <w:sz w:val="24"/>
          <w:szCs w:val="24"/>
        </w:rPr>
        <w:t xml:space="preserve"> is the bond adjacency matrix; the graph embedding was the sum over layers of the mean of the node embeddings, followed by a two-layer multilayer-perceptron head. Models were trained with Adam (learning rate 10⁻³) to minimize the mean squared error on standardized targets. Two training regimens were compared. The first used a fixed schedule of 60 epochs. The second ("tuned") held out 10% of the training set for validation, trained for up to 150 epochs with learning-rate reduction on plateau and best-checkpoint early stopping (patience 20), and used size-bucketed mini-batches of 128 to minimize padding. Per-compound test errors were computed as for the random forest. For the model-class generality analysis, two additional regressors were trained on the same ECFP4 features and splits (a histogram gradient-boosting regressor and a support-vector regressor with a radial-basis-function kernel, C = 10), each yielding per-compound test errors in the same way.</w:t>
      </w:r>
    </w:p>
    <w:p>
      <w:pPr>
        <w:pStyle w:val="Heading2"/>
      </w:pPr>
      <w:r>
        <w:rPr>
          <w:rFonts w:ascii="Times New Roman" w:cs="Times New Roman" w:eastAsia="Times New Roman" w:hAnsi="Times New Roman"/>
          <w:b w:val="false"/>
          <w:bCs w:val="false"/>
          <w:i w:val="false"/>
          <w:iCs w:val="false"/>
          <w:sz w:val="24"/>
          <w:szCs w:val="24"/>
        </w:rPr>
        <w:t xml:space="preserve">Statistical analysis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The primary analysis quantified, for each target, the Spearman rank correlation between a descriptor and the per-compound random-forest error, then aggregated the 30 coefficients as the median and interquartile range, reporting the fraction of targets with the expected sign and a two-sided Wilcoxon signed-rank test of the coefficients against zero;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values across descriptors were adjusted by the Benjamini–Hochberg false-discovery-rate procedure</w:t>
      </w:r>
      <w:r>
        <w:rPr>
          <w:rFonts w:ascii="Times New Roman" w:cs="Times New Roman" w:eastAsia="Times New Roman" w:hAnsi="Times New Roman"/>
          <w:b w:val="false"/>
          <w:bCs w:val="false"/>
          <w:i w:val="false"/>
          <w:iCs w:val="false"/>
          <w:sz w:val="24"/>
          <w:szCs w:val="24"/>
          <w:vertAlign w:val="superscript"/>
        </w:rPr>
        <w:t xml:space="preserve">25</w:t>
      </w:r>
      <w:r>
        <w:rPr>
          <w:rFonts w:ascii="Times New Roman" w:cs="Times New Roman" w:eastAsia="Times New Roman" w:hAnsi="Times New Roman"/>
          <w:b w:val="false"/>
          <w:bCs w:val="false"/>
          <w:i w:val="false"/>
          <w:iCs w:val="false"/>
          <w:sz w:val="24"/>
          <w:szCs w:val="24"/>
        </w:rPr>
        <w:t xml:space="preserve">. To test whether roughness is distinguishable from the applicability domain, partial Spearman correlations were computed per target by rank-transforming the descriptor, the error, and the control variables (nearest-neighbor similarity and local density), residualizing the descriptor and the error on the controls by ordinary least squares, and correlating the residuals; the resulting coefficients were aggregated as above. As a confound-controlled confirmation, a linear mixed-effects model (statsmodels) regressed within-target standardized error on within-target standardized roughness, with nearest-neighbor similarity, local density, and heavy-atom count as fixed-effect covariates and a per-target random intercept. The ability of the a priori descriptors to flag benchmark-labeled cliffs was assessed by the per-target area under the receiver-operating-characteristic curve, aggregated as the median and range. All correlation and classification analyses were repeated for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 {5, 10, 15, 20, 30} and for the three distance metrics described above to assess robustness. Operational utility was assessed by an enrichment analysis: within each target, compounds were ranked by a risk score (local roughness; the negative nearest-neighbor similarity, representing the applicability domain in its standard orientation; or the random-forest tree variance, representing uncertainty), and the fraction of positives captured within the top </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rPr>
        <w:t xml:space="preserve">% was computed and averaged across targets, with positives defined either as top-quartile-error compounds or as labeled activity cliffs.</w:t>
      </w:r>
    </w:p>
    <w:p>
      <w:pPr>
        <w:pStyle w:val="Heading2"/>
      </w:pPr>
      <w:r>
        <w:rPr>
          <w:rFonts w:ascii="Times New Roman" w:cs="Times New Roman" w:eastAsia="Times New Roman" w:hAnsi="Times New Roman"/>
          <w:b w:val="false"/>
          <w:bCs w:val="false"/>
          <w:i w:val="false"/>
          <w:iCs w:val="false"/>
          <w:sz w:val="24"/>
          <w:szCs w:val="24"/>
        </w:rPr>
        <w:t xml:space="preserve">Software and data availability</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Analyses used Python 3.12 with RDKit (2026.03), scikit-learn (1.8), PyTorch (2.12), statsmodels, SciPy, the rogi package, NumPy, and pandas. The MoleculeACE benchmark data, activity-cliff labels, and train/test splits were obtained from the MoleculeACE Python package. All code required to reproduce the descriptors, models, statistics, and figures is available at [repository URL].</w:t>
      </w:r>
    </w:p>
    <w:p>
      <w:pPr>
        <w:pStyle w:val="Heading1"/>
      </w:pPr>
      <w:r>
        <w:rPr>
          <w:rFonts w:ascii="Times New Roman" w:cs="Times New Roman" w:eastAsia="Times New Roman" w:hAnsi="Times New Roman"/>
          <w:b w:val="false"/>
          <w:bCs w:val="false"/>
          <w:i w:val="false"/>
          <w:iCs w:val="false"/>
          <w:sz w:val="24"/>
          <w:szCs w:val="24"/>
        </w:rPr>
        <w:t xml:space="preserve">Results and Discussion</w:t>
      </w:r>
    </w:p>
    <w:p>
      <w:pPr>
        <w:pStyle w:val="Heading2"/>
      </w:pPr>
      <w:r>
        <w:rPr>
          <w:rFonts w:ascii="Times New Roman" w:cs="Times New Roman" w:eastAsia="Times New Roman" w:hAnsi="Times New Roman"/>
          <w:b w:val="false"/>
          <w:bCs w:val="false"/>
          <w:i w:val="false"/>
          <w:iCs w:val="false"/>
          <w:sz w:val="24"/>
          <w:szCs w:val="24"/>
        </w:rPr>
        <w:t xml:space="preserve">Activity cliffs concentrate prediction error</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Across the 30 benchmarks, activity-cliff compounds were predicted markedly less accurately than non-cliff compounds by the random forest, reproducing on our pipeline the observation that motivates the benchmark. The mean absolute test error was 0.62 log units for cliff compounds versus 0.46 for non-cliff compounds, a median per-target ratio of 1.35, and cliff error exceeded non-cliff error in 29 of the 30 targets (Wilcoxon signed-rank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3.7 × 10⁻⁹). Cliffs are thus a generic and reproducible failure mode rather than an artifact of any single data set, and the remainder of this work asks whether that failure can be anticipated from the geometry of the local landscape.</w:t>
      </w:r>
    </w:p>
    <w:p>
      <w:pPr>
        <w:pStyle w:val="Heading2"/>
      </w:pPr>
      <w:r>
        <w:rPr>
          <w:rFonts w:ascii="Times New Roman" w:cs="Times New Roman" w:eastAsia="Times New Roman" w:hAnsi="Times New Roman"/>
          <w:b w:val="false"/>
          <w:bCs w:val="false"/>
          <w:i w:val="false"/>
          <w:iCs w:val="false"/>
          <w:sz w:val="24"/>
          <w:szCs w:val="24"/>
        </w:rPr>
        <w:t xml:space="preserve">Local landscape roughness predicts per-compound error</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We first asked whether a local geometric measure of landscape roughness predicts per-compound error, treating each target as an independent replicate and reporting the distribution of per-target Spearman correlations across the 30 data sets (Figure 1A). The similarity-weighted local Dirichlet energy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was strongly and uniformly predictive of error, with a median Spearman ρ of 0.65 (interquartile range 0.59–0.68) that was positive in all 30 targets (false-discovery-rate–adjusted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2.7 × 10⁻⁹); the Lipschitz/SALI aggregate behaved similarly (median ρ = 0.45). Because these two descriptors incorporate the query compound's own activity, their predictive strength is in part mechanistic: a tree ensemble interpolates the activities of nearby training molecules, so a compound whose activity departs sharply from its neighbors' is necessarily mispredicted. This is precisely the mechanism by which cliffs break QSAR, and quantifying it is informative, but it does not by itself constitute a usable signal.</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We therefore turned to descriptors that do not see the query's activity. The activity-free neighborhood dispersion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was a weaker but entirely consistent predictor (median ρ = 0.28, positive in all 30 targets, FDR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2.7 × 10⁻⁹), exceeding both applicability-domain baselines, nearest-neighbor similarity and local density (median ρ ≈ 0.18–0.19), though falling short of the random-forest tree-variance uncertainty estimate (median ρ = 0.36). That an a priori structural quantity tracks error at all, on every target, is the first indication that cliff-prone regions are identifiable before any activity is measured.</w:t>
      </w:r>
    </w:p>
    <w:p>
      <w:pPr>
        <w:pStyle w:val="Heading2"/>
      </w:pPr>
      <w:r>
        <w:rPr>
          <w:rFonts w:ascii="Times New Roman" w:cs="Times New Roman" w:eastAsia="Times New Roman" w:hAnsi="Times New Roman"/>
          <w:b w:val="false"/>
          <w:bCs w:val="false"/>
          <w:i w:val="false"/>
          <w:iCs w:val="false"/>
          <w:sz w:val="24"/>
          <w:szCs w:val="24"/>
        </w:rPr>
        <w:t xml:space="preserve">Roughness is distinct from the applicability domain</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The neighborhood-dispersion result could in principle reflect nothing more than data sparsity: compounds in poorly sampled regions are both harder to predict and more likely to have heterogeneous neighbors. The decisive test is therefore whether roughness predicts error </w:t>
      </w:r>
      <w:r>
        <w:rPr>
          <w:rFonts w:ascii="Times New Roman" w:cs="Times New Roman" w:eastAsia="Times New Roman" w:hAnsi="Times New Roman"/>
          <w:b w:val="false"/>
          <w:bCs w:val="false"/>
          <w:i/>
          <w:iCs/>
          <w:sz w:val="24"/>
          <w:szCs w:val="24"/>
        </w:rPr>
        <w:t xml:space="preserve">after</w:t>
      </w:r>
      <w:r>
        <w:rPr>
          <w:rFonts w:ascii="Times New Roman" w:cs="Times New Roman" w:eastAsia="Times New Roman" w:hAnsi="Times New Roman"/>
          <w:b w:val="false"/>
          <w:bCs w:val="false"/>
          <w:i w:val="false"/>
          <w:iCs w:val="false"/>
          <w:sz w:val="24"/>
          <w:szCs w:val="24"/>
        </w:rPr>
        <w:t xml:space="preserve"> the applicability domain is controlled. Partial Spearman correlations, removing the rank contribution of nearest-neighbor similarity and local density, left the roughness signal intact (Figure 1B). The landscape Dirichlet energy retained essentially all of its association (0.65 → 0.64), and the activity-free descriptors held or strengthened: neighborhood dispersion fell only modestly (0.28 → 0.23) and the pairwise-SALI density rose (0.16 → 0.23). The strengthening of several partial correlations indicates that the applicability-domain variables act as mild suppressors rather than as the underlying cause. A linear mixed-effects model reached the same conclusion under simultaneous control of nearest-neighbor similarity, local density, molecular size, and a per-target random intercept: standardized neighborhood dispersion carried a coefficient of +0.26 (standard deviations of error per standard deviation of dispersion;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5 × 10⁻¹⁴³), the pairwise-SALI density +0.13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1 × 10⁻⁴¹), and the landscape Dirichlet energy +0.73. Local landscape roughness is thus a distinct axis of predictability, not a re-expression of distance to the training set; this is the central claim of this work.</w:t>
      </w:r>
    </w:p>
    <w:p>
      <w:pPr>
        <w:pStyle w:val="Heading2"/>
      </w:pPr>
      <w:r>
        <w:rPr>
          <w:rFonts w:ascii="Times New Roman" w:cs="Times New Roman" w:eastAsia="Times New Roman" w:hAnsi="Times New Roman"/>
          <w:b w:val="false"/>
          <w:bCs w:val="false"/>
          <w:i w:val="false"/>
          <w:iCs w:val="false"/>
          <w:sz w:val="24"/>
          <w:szCs w:val="24"/>
        </w:rPr>
        <w:t xml:space="preserve">Generality across model classes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Because per-compound error was measured primarily with a random forest, we asked whether the relationship is a property of the landscape or of that particular algorithm. Repeating the analysis with two further model classes trained on the same fingerprints and splits (gradient-boosted trees and a radial-basis-function support-vector regressor) gave the same picture (Table 1). The landscape Dirichlet energy correlated with per-compound error at a median Spearman ρ of 0.65, 0.58, and 0.55 for the random forest, gradient boosting, and support-vector regressor, respectively; the activity-free neighborhood dispersion at 0.28, 0.25, and 0.24; and the partial correlation, after controlling for the applicability domain, at 0.23, 0.21, and 0.18. The signal is therefore model-agnostic: it tracks where the structure–activity landscape is locally rough, not an idiosyncrasy of a single learner.</w:t>
      </w:r>
    </w:p>
    <w:p>
      <w:pPr>
        <w:spacing w:after="0" w:line="480" w:lineRule="auto"/>
        <w:jc w:val="both"/>
      </w:pPr>
      <w:r>
        <w:rPr>
          <w:rFonts w:ascii="Times New Roman" w:cs="Times New Roman" w:eastAsia="Times New Roman" w:hAnsi="Times New Roman"/>
          <w:b/>
          <w:bCs/>
          <w:i w:val="false"/>
          <w:iCs w:val="false"/>
          <w:sz w:val="24"/>
          <w:szCs w:val="24"/>
        </w:rPr>
        <w:t xml:space="preserve">Table 1.</w:t>
      </w:r>
      <w:r>
        <w:rPr>
          <w:rFonts w:ascii="Times New Roman" w:cs="Times New Roman" w:eastAsia="Times New Roman" w:hAnsi="Times New Roman"/>
          <w:b w:val="false"/>
          <w:bCs w:val="false"/>
          <w:i w:val="false"/>
          <w:iCs w:val="false"/>
          <w:sz w:val="24"/>
          <w:szCs w:val="24"/>
        </w:rPr>
        <w:t xml:space="preserve"> Median Spearman correlation (across 30 targets) between local roughness and per-compound error for three model classes. The final column is the neighborhood-dispersion correlation after controlling for the applicability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2"/>
                <w:szCs w:val="22"/>
              </w:rPr>
              <w:t xml:space="preserve">Model</w:t>
            </w:r>
          </w:p>
        </w:tc>
        <w:tc>
          <w:tcPr>
            <w:tcW w:type="dxa" w:w="234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Dirichlet (landscape)</w:t>
            </w:r>
          </w:p>
        </w:tc>
        <w:tc>
          <w:tcPr>
            <w:tcW w:type="dxa" w:w="234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nbr dispersion (y-free)</w:t>
            </w:r>
          </w:p>
        </w:tc>
        <w:tc>
          <w:tcPr>
            <w:tcW w:type="dxa" w:w="2340"/>
            <w:tcBorders>
              <w:top w:val="single" w:color="999999" w:sz="2"/>
              <w:left w:val="single" w:color="999999" w:sz="2"/>
              <w:bottom w:val="single" w:color="999999" w:sz="2"/>
              <w:right w:val="single" w:color="999999" w:sz="2"/>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2"/>
                <w:szCs w:val="22"/>
              </w:rPr>
              <w:t xml:space="preserve">nbr dispersion | AD</w:t>
            </w:r>
          </w:p>
        </w:tc>
      </w:tr>
      <w:tr>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2"/>
                <w:szCs w:val="22"/>
              </w:rPr>
              <w:t xml:space="preserve">Random forest</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0.65</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0.28</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0.23</w:t>
            </w:r>
          </w:p>
        </w:tc>
      </w:tr>
      <w:tr>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2"/>
                <w:szCs w:val="22"/>
              </w:rPr>
              <w:t xml:space="preserve">Gradient boosting</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0.58</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0.25</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0.21</w:t>
            </w:r>
          </w:p>
        </w:tc>
      </w:tr>
      <w:tr>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2"/>
                <w:szCs w:val="22"/>
              </w:rPr>
              <w:t xml:space="preserve">SVR (RBF)</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0.55</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0.24</w:t>
            </w:r>
          </w:p>
        </w:tc>
        <w:tc>
          <w:tcPr>
            <w:tcW w:type="dxa" w:w="234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2"/>
                <w:szCs w:val="22"/>
              </w:rPr>
              <w:t xml:space="preserve">0.18</w:t>
            </w:r>
          </w:p>
        </w:tc>
      </w:tr>
    </w:tbl>
    <w:p>
      <w:pPr>
        <w:spacing w:after="120"/>
      </w:pPr>
    </w:p>
    <w:p>
      <w:pPr>
        <w:pStyle w:val="Heading2"/>
      </w:pPr>
      <w:r>
        <w:rPr>
          <w:rFonts w:ascii="Times New Roman" w:cs="Times New Roman" w:eastAsia="Times New Roman" w:hAnsi="Times New Roman"/>
          <w:b w:val="false"/>
          <w:bCs w:val="false"/>
          <w:i w:val="false"/>
          <w:iCs w:val="false"/>
          <w:sz w:val="24"/>
          <w:szCs w:val="24"/>
        </w:rPr>
        <w:t xml:space="preserve">Activity-free flagging of cliff-prone compounds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If roughness anticipates error independently of the applicability domain, the activity-free descriptors should also flag the benchmark's labeled activity cliffs, and they do, with the caveat that the simplest descriptor is the weakest (Figure 1C). The pairwise-SALI density identified cliff compounds with a median per-target ROC-AUC of 0.69 (max-pooled variant 0.67), substantially above the neighborhood dispersion (0.58) and the random-forest uncertainty (0.52, indistinguishable from chance). The advantage of the SALI-density descriptors is interpretable: a query embedded among training analogs that themselves form a steep micro-landscape is far more likely to lie on a cliff than one whose neighbors merely span a wide activity range.</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A complementary and initially counterintuitive observation concerns the applicability domain itself. Nearest-neighbor similarity, used directly, identified cliff compounds with a median AUC of 0.65, because cliffs occur preferentially among compounds with very close training analogs, as their definition (high similarity, large potency difference) requires. The implication is pointed: classical applicability-domain reasoning, which flags low-similarity extrapolation compounds as unreliable, is oriented exactly backward for cliffs, reassuring the modeler about the dense, high-similarity regions where cliffs in fact concentrate (the same variable, oriented toward extrapolation risk, gives an AUC of 0.35). Roughness and applicability domain are therefore not merely statistically separable but conceptually opposed for this failure mode.</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Not every roughness construct succeeded. The local Hölder regularity exponent, estimated from the log–log scaling of activity differences with distance over each neighborhood, showed no association with error (median ρ = 0.01; FDR-adjusted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0.61) and no useful cliff-flagging ability (AUC 0.55). We attribute this to the instability of a two-parameter scaling fit over the small, discretely sampled neighborhoods available per compound, and report it as a negative result; the practical signal resides in the dispersion- and SALI-based descriptors.</w:t>
      </w:r>
    </w:p>
    <w:p>
      <w:pPr>
        <w:spacing w:after="40" w:before="240"/>
        <w:jc w:val="center"/>
      </w:pPr>
      <w:r>
        <w:drawing>
          <wp:inline distT="0" distB="0" distL="0" distR="0">
            <wp:extent cx="5715000" cy="15906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590675"/>
                    </a:xfrm>
                    <a:prstGeom prst="rect">
                      <a:avLst/>
                    </a:prstGeom>
                  </pic:spPr>
                </pic:pic>
              </a:graphicData>
            </a:graphic>
          </wp:inline>
        </w:drawing>
      </w:r>
    </w:p>
    <w:p>
      <w:pPr>
        <w:spacing w:after="240" w:before="80"/>
        <w:jc w:val="both"/>
      </w:pPr>
      <w:r>
        <w:rPr>
          <w:rFonts w:ascii="Times New Roman" w:cs="Times New Roman" w:eastAsia="Times New Roman" w:hAnsi="Times New Roman"/>
          <w:sz w:val="20"/>
          <w:szCs w:val="20"/>
        </w:rPr>
        <w:t xml:space="preserve">Figure 1. Local structure–activity landscape roughness predicts per-compound QSAR error across 30 bioactivity targets. (A) Median Spearman correlation between each descriptor and per-compound random-forest error (median ± interquartile range over 30 targets); landscape descriptors (red) use the query compound’s own activity, the activity-free descriptors (blue) do not, and applicability-domain (gray) and uncertainty (green) baselines are shown for reference. (B) Zero-order versus applicability-domain-controlled partial correlations; the relationship is retained or strengthened under control. (C) Area under the ROC curve for flagging benchmark-labeled activity cliffs from activity-free descriptors; nearest-neighbor similarity (gray) falls below 0.5 in the extrapolation orientation because cliffs cluster among close analogs.</w:t>
      </w:r>
    </w:p>
    <w:p>
      <w:pPr>
        <w:pStyle w:val="Heading2"/>
      </w:pPr>
      <w:r>
        <w:rPr>
          <w:rFonts w:ascii="Times New Roman" w:cs="Times New Roman" w:eastAsia="Times New Roman" w:hAnsi="Times New Roman"/>
          <w:b w:val="false"/>
          <w:bCs w:val="false"/>
          <w:i w:val="false"/>
          <w:iCs w:val="false"/>
          <w:sz w:val="24"/>
          <w:szCs w:val="24"/>
        </w:rPr>
        <w:t xml:space="preserve">Operational value: triaging unreliable predictions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The correlations above translate into a concrete triage benefit, and clarify where roughness is and is not the right signal (Figure 2). When the goal is to recover the highest-error predictions in general, the model's own ensemble uncertainty is the strongest single flag: flagging the top 20% of compounds by random-forest tree variance recovers 38% of the top-quartile-error compounds (a 1.9-fold enrichment over random), versus 33% for roughness and 32% for the applicability domain (Figure 2A). The picture inverts for activity cliffs specifically (Figure 2B). Flagging the top 20% by roughness (pairwise-SALI density) recovers 33% of labeled cliffs, a 1.6-fold enrichment, whereas ensemble uncertainty performs no better than random (1.0-fold) and the applicability domain is actively counterproductive (0.45-fold, worse than random, again because cliffs cluster among close analogs that the applicability domain deems safe). Roughness is therefore not a universal replacement for uncertainty estimation; its distinct value is that it captures the cliff failure mode that the standard reliability signals miss or invert.</w:t>
      </w:r>
    </w:p>
    <w:p>
      <w:pPr>
        <w:spacing w:after="40" w:before="240"/>
        <w:jc w:val="center"/>
      </w:pPr>
      <w:r>
        <w:drawing>
          <wp:inline distT="0" distB="0" distL="0" distR="0">
            <wp:extent cx="5715000" cy="21812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81225"/>
                    </a:xfrm>
                    <a:prstGeom prst="rect">
                      <a:avLst/>
                    </a:prstGeom>
                  </pic:spPr>
                </pic:pic>
              </a:graphicData>
            </a:graphic>
          </wp:inline>
        </w:drawing>
      </w:r>
    </w:p>
    <w:p>
      <w:pPr>
        <w:spacing w:after="240" w:before="80"/>
        <w:jc w:val="both"/>
      </w:pPr>
      <w:r>
        <w:rPr>
          <w:rFonts w:ascii="Times New Roman" w:cs="Times New Roman" w:eastAsia="Times New Roman" w:hAnsi="Times New Roman"/>
          <w:sz w:val="20"/>
          <w:szCs w:val="20"/>
        </w:rPr>
        <w:t xml:space="preserve">Figure 2. Operational triage value of a structure-only roughness flag. Fraction of (A) high-error predictions (top-quartile per-compound error) and (B) labeled activity cliffs recovered as a function of the percentage of compounds flagged as low-confidence, averaged over 30 targets, ranking by roughness (blue), the applicability domain in its standard orientation (gray), random-forest tree variance (green), or at random (dotted).</w:t>
      </w:r>
    </w:p>
    <w:p>
      <w:pPr>
        <w:pStyle w:val="Heading2"/>
      </w:pPr>
      <w:r>
        <w:rPr>
          <w:rFonts w:ascii="Times New Roman" w:cs="Times New Roman" w:eastAsia="Times New Roman" w:hAnsi="Times New Roman"/>
          <w:b w:val="false"/>
          <w:bCs w:val="false"/>
          <w:i w:val="false"/>
          <w:iCs w:val="false"/>
          <w:sz w:val="24"/>
          <w:szCs w:val="24"/>
        </w:rPr>
        <w:t xml:space="preserve">Robustness to neighborhood size and distance metric</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To establish that these relationships do not depend on arbitrary modeling choices, the per-target and partial correlations were recomputed across five neighborhood sizes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 5–30) and three distance definitions: Tanimoto similarity over ECFP4 and ECFP6 fingerprints and Euclidean distance in a standardized twelve-descriptor physicochemical space (Figure 3). The relationship was stable throughout. Under ECFP4, a uniform-weight variant of the landscape roughness correlated with error at a median ρ of 0.64 at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 5, declining gently to 0.59 at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 30, while neighborhood dispersion ranged from 0.27 to 0.22; ECFP6 yielded nearly identical values, indicating no dependence on fingerprint radius. In the lower-dimensional descriptor space the correlations attenuated (ρ ≈ 0.46 and 0.15, respectively) but remained positive on all 30 targets, as expected for a representation that resolves structural neighborhoods more coarsely. Critically, the partial correlation controlling for nearest-neighbor distance and local density remained positive in all fifteen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–metric combinations. The signal is therefore not an artifact of any single similarity definition or neighborhood radius, and small neighborhoods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 5–10) are preferable.</w:t>
      </w:r>
    </w:p>
    <w:p>
      <w:pPr>
        <w:spacing w:after="40" w:before="240"/>
        <w:jc w:val="center"/>
      </w:pPr>
      <w:r>
        <w:drawing>
          <wp:inline distT="0" distB="0" distL="0" distR="0">
            <wp:extent cx="5715000" cy="16668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66875"/>
                    </a:xfrm>
                    <a:prstGeom prst="rect">
                      <a:avLst/>
                    </a:prstGeom>
                  </pic:spPr>
                </pic:pic>
              </a:graphicData>
            </a:graphic>
          </wp:inline>
        </w:drawing>
      </w:r>
    </w:p>
    <w:p>
      <w:pPr>
        <w:spacing w:after="240" w:before="80"/>
        <w:jc w:val="both"/>
      </w:pPr>
      <w:r>
        <w:rPr>
          <w:rFonts w:ascii="Times New Roman" w:cs="Times New Roman" w:eastAsia="Times New Roman" w:hAnsi="Times New Roman"/>
          <w:sz w:val="20"/>
          <w:szCs w:val="20"/>
        </w:rPr>
        <w:t xml:space="preserve">Figure 3. Stability of the roughness–error relationship across neighborhood size k and molecular distance metric. Median Spearman correlation over 30 targets between per-compound random-forest error and (left) a landscape roughness measure, (center) the activity-free neighborhood dispersion, and (right) the neighborhood dispersion after controlling for the applicability domain, for ECFP4/Tanimoto, ECFP6/Tanimoto, and a 12-descriptor Euclidean representation.</w:t>
      </w:r>
    </w:p>
    <w:p>
      <w:pPr>
        <w:pStyle w:val="Heading2"/>
      </w:pPr>
      <w:r>
        <w:rPr>
          <w:rFonts w:ascii="Times New Roman" w:cs="Times New Roman" w:eastAsia="Times New Roman" w:hAnsi="Times New Roman"/>
          <w:b w:val="false"/>
          <w:bCs w:val="false"/>
          <w:i w:val="false"/>
          <w:iCs w:val="false"/>
          <w:sz w:val="24"/>
          <w:szCs w:val="24"/>
        </w:rPr>
        <w:t xml:space="preserve">External validation beyond bioactivity</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To test whether the relationship generalizes beyond the bioactivity setting in which it was developed, we applied the identical pipeline to two MoleculeNet physicochemical regression benchmarks, aqueous solubility (ESOL</w:t>
      </w:r>
      <w:r>
        <w:rPr>
          <w:rFonts w:ascii="Times New Roman" w:cs="Times New Roman" w:eastAsia="Times New Roman" w:hAnsi="Times New Roman"/>
          <w:b w:val="false"/>
          <w:bCs w:val="false"/>
          <w:i w:val="false"/>
          <w:iCs w:val="false"/>
          <w:sz w:val="24"/>
          <w:szCs w:val="24"/>
          <w:vertAlign w:val="superscript"/>
        </w:rPr>
        <w:t xml:space="preserve">19</w:t>
      </w:r>
      <w:r>
        <w:rPr>
          <w:rFonts w:ascii="Times New Roman" w:cs="Times New Roman" w:eastAsia="Times New Roman" w:hAnsi="Times New Roman"/>
          <w:b w:val="false"/>
          <w:bCs w:val="false"/>
          <w:i w:val="false"/>
          <w:iCs w:val="false"/>
          <w:sz w:val="24"/>
          <w:szCs w:val="24"/>
        </w:rPr>
        <w:t xml:space="preserve">) and lipophilicity (log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perscript"/>
        </w:rPr>
        <w:t xml:space="preserve">20</w:t>
      </w:r>
      <w:r>
        <w:rPr>
          <w:rFonts w:ascii="Times New Roman" w:cs="Times New Roman" w:eastAsia="Times New Roman" w:hAnsi="Times New Roman"/>
          <w:b w:val="false"/>
          <w:bCs w:val="false"/>
          <w:i w:val="false"/>
          <w:iCs w:val="false"/>
          <w:sz w:val="24"/>
          <w:szCs w:val="24"/>
        </w:rPr>
        <w:t xml:space="preserve">), using scaffold splits</w:t>
      </w:r>
      <w:r>
        <w:rPr>
          <w:rFonts w:ascii="Times New Roman" w:cs="Times New Roman" w:eastAsia="Times New Roman" w:hAnsi="Times New Roman"/>
          <w:b w:val="false"/>
          <w:bCs w:val="false"/>
          <w:i w:val="false"/>
          <w:iCs w:val="false"/>
          <w:sz w:val="24"/>
          <w:szCs w:val="24"/>
          <w:vertAlign w:val="superscript"/>
        </w:rPr>
        <w:t xml:space="preserve">21</w:t>
      </w:r>
      <w:r>
        <w:rPr>
          <w:rFonts w:ascii="Times New Roman" w:cs="Times New Roman" w:eastAsia="Times New Roman" w:hAnsi="Times New Roman"/>
          <w:b w:val="false"/>
          <w:bCs w:val="false"/>
          <w:i w:val="false"/>
          <w:iCs w:val="false"/>
          <w:sz w:val="24"/>
          <w:szCs w:val="24"/>
        </w:rPr>
        <w:t xml:space="preserve"> rather than the bioactivity-specific partitions (Figure 4). The central result reproduced. Landscape roughness predicted the per-compound random-forest error on both tasks (Spearman ρ = 0.60 for solubility and 0.67 for lipophilicity) and retained essentially all of that association after the applicability domain was controlled (partial ρ = 0.60 and 0.64), closely matching the bioactivity value (0.65). The activity-free neighborhood dispersion also transferred, predicting error on both tasks (ρ = 0.17 and 0.20) and surviving the applicability-domain control on solubility (partial ρ = 0.19) though only weakly on lipophilicity (0.07), consistent with the modest and somewhat target-dependent magnitude of the activity-free signal observed throughout. Local landscape roughness therefore reflects a property of structure–activity and structure–property landscapes in general, rather than an idiosyncrasy of protein-binding data.</w:t>
      </w:r>
    </w:p>
    <w:p>
      <w:pPr>
        <w:spacing w:after="40" w:before="240"/>
        <w:jc w:val="center"/>
      </w:pPr>
      <w:r>
        <w:drawing>
          <wp:inline distT="0" distB="0" distL="0" distR="0">
            <wp:extent cx="5715000" cy="20859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85975"/>
                    </a:xfrm>
                    <a:prstGeom prst="rect">
                      <a:avLst/>
                    </a:prstGeom>
                  </pic:spPr>
                </pic:pic>
              </a:graphicData>
            </a:graphic>
          </wp:inline>
        </w:drawing>
      </w:r>
    </w:p>
    <w:p>
      <w:pPr>
        <w:spacing w:after="240" w:before="80"/>
        <w:jc w:val="both"/>
      </w:pPr>
      <w:r>
        <w:rPr>
          <w:rFonts w:ascii="Times New Roman" w:cs="Times New Roman" w:eastAsia="Times New Roman" w:hAnsi="Times New Roman"/>
          <w:sz w:val="20"/>
          <w:szCs w:val="20"/>
        </w:rPr>
        <w:t xml:space="preserve">Figure 4. External validation on physicochemical regression benchmarks. Zero-order and applicability-domain-controlled (partial) Spearman correlations between roughness and per-compound error for (A) the landscape Dirichlet energy and (B) the activity-free neighborhood dispersion, for the 30-target bioactivity median and for aqueous solubility (ESOL) and lipophilicity (logD).</w:t>
      </w:r>
    </w:p>
    <w:p>
      <w:pPr>
        <w:pStyle w:val="Heading2"/>
      </w:pPr>
      <w:r>
        <w:rPr>
          <w:rFonts w:ascii="Times New Roman" w:cs="Times New Roman" w:eastAsia="Times New Roman" w:hAnsi="Times New Roman"/>
          <w:b w:val="false"/>
          <w:bCs w:val="false"/>
          <w:i w:val="false"/>
          <w:iCs w:val="false"/>
          <w:sz w:val="24"/>
          <w:szCs w:val="24"/>
        </w:rPr>
        <w:t xml:space="preserve">Where a graph-convolutional model underperforms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Consistent with prior benchmarking, the message-passing network produced higher mean absolute error than the random forest on all 30 targets (0.71 versus 0.52 log units overall). Resolving this gap by local roughness revealed a counterintuitive pattern (Figure 5): the network's disadvantage was largest in the smoothest quartile of chemical space (mean error excess 0.25 log units) and smallest in the roughest quartile (0.13), and the per-compound error excess correlated negatively with roughness across targets (median Spearman ρ = −0.07,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&lt; 10⁻⁴); equivalently, the network's deficit on labeled cliffs (0.16) was smaller than on non-cliff compounds (0.21). Retraining the network with a held-out validation set, learning-rate scheduling, and best-checkpoint early stopping did not systematically reduce error (mean MAE 0.74; lower than the fixed-schedule model on only 10 of 30 targets), and both regimens reproduced the same roughness ordering. We therefore read the familiar "descriptors outperform graph networks" result on these data as reflecting an advantage concentrated in smooth, well-sampled regions rather than superior treatment of activity cliffs, where both model classes failed comparably. As a limitation, neither network was competitive with the descriptor model in absolute terms and architecture optimization was outside the scope of this study; this comparison characterizes standard graph-convolutional baselines rather than the deep-learning ceiling, and we present it as a supporting observation only.</w:t>
      </w:r>
    </w:p>
    <w:p>
      <w:pPr>
        <w:spacing w:after="40" w:before="240"/>
        <w:jc w:val="center"/>
      </w:pPr>
      <w:r>
        <w:drawing>
          <wp:inline distT="0" distB="0" distL="0" distR="0">
            <wp:extent cx="5715000" cy="22383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38375"/>
                    </a:xfrm>
                    <a:prstGeom prst="rect">
                      <a:avLst/>
                    </a:prstGeom>
                  </pic:spPr>
                </pic:pic>
              </a:graphicData>
            </a:graphic>
          </wp:inline>
        </w:drawing>
      </w:r>
    </w:p>
    <w:p>
      <w:pPr>
        <w:spacing w:after="240" w:before="80"/>
        <w:jc w:val="both"/>
      </w:pPr>
      <w:r>
        <w:rPr>
          <w:rFonts w:ascii="Times New Roman" w:cs="Times New Roman" w:eastAsia="Times New Roman" w:hAnsi="Times New Roman"/>
          <w:sz w:val="20"/>
          <w:szCs w:val="20"/>
        </w:rPr>
        <w:t xml:space="preserve">Figure 5. Comparison with a graph-convolutional baseline. (A) Per-target test mean absolute error of the graph isomorphism network under a fixed 60-epoch schedule versus validated early stopping; both regimens exceed the random-forest error on all 30 targets. (B) Mean (network − random forest) per-compound error by within-target roughness quartile (Q1 smoothest to Q4 roughest) for both regimens; the deficit is largest where the landscape is smooth.</w:t>
      </w:r>
    </w:p>
    <w:p>
      <w:pPr>
        <w:pStyle w:val="Heading2"/>
      </w:pPr>
      <w:r>
        <w:rPr>
          <w:rFonts w:ascii="Times New Roman" w:cs="Times New Roman" w:eastAsia="Times New Roman" w:hAnsi="Times New Roman"/>
          <w:b w:val="false"/>
          <w:bCs w:val="false"/>
          <w:i w:val="false"/>
          <w:iCs w:val="false"/>
          <w:sz w:val="24"/>
          <w:szCs w:val="24"/>
        </w:rPr>
        <w:t xml:space="preserve">Local versus global descriptions of landscape roughness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Finally, we contrasted the per-compound descriptors with a data-set-level description of roughness. The global ROGI index, a single scalar per target, correlated with the fraction of cliff compounds across the 30 benchmarks (Spearman ρ = 0.60) but not with the mean random-forest error (ρ = −0.12,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0.54). Two factors plausibly contribute: the benchmarks were curated to be cliff-rich and therefore occupy a narrow band of global roughness (ROGI 0.04–0.11), limiting the variance available to a single scalar, and mean error is additionally governed by data-set size and chemical diversity. Whatever the cause, a global value cannot by construction resolve which compounds within a data set will be mispredicted. The per-compound descriptors developed here address a different and complementary question: not whether a landscape is rough on average, but where on that landscape predictions should be trusted.</w:t>
      </w:r>
    </w:p>
    <w:p>
      <w:pPr>
        <w:pStyle w:val="Heading1"/>
      </w:pPr>
      <w:r>
        <w:rPr>
          <w:rFonts w:ascii="Times New Roman" w:cs="Times New Roman" w:eastAsia="Times New Roman" w:hAnsi="Times New Roman"/>
          <w:b w:val="false"/>
          <w:bCs w:val="false"/>
          <w:i w:val="false"/>
          <w:iCs w:val="false"/>
          <w:sz w:val="24"/>
          <w:szCs w:val="24"/>
        </w:rPr>
        <w:t xml:space="preserve">Conclusion</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The error a QSAR model makes on an individual compound is governed substantially by the local roughness of the structure–activity landscape surrounding it, and that roughness can be estimated from chemical structure alone. Across thirty bioactivity benchmarks the relationship was consistent, and it persisted after the applicability domain was controlled, establishing local roughness as a distinct axis of predictability rather than a restatement of distance to the training data. For activity cliffs the two notions are opposed: cliffs concentrate among close structural analogs, the very region in which applicability-domain analysis reports high confidence.</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The practical outcome is a per-compound, activity-free reliability estimate. The pairwise-SALI density of a compound's training neighbors flags cliff-prone molecules before any measurement and complements the two reliability signals already in common use, namely distance-based applicability-domain checks (which address extrapolation into sparse chemical space) and ensemble or conformal uncertainty (which address predictive variance), by targeting the dense-region discontinuities that both systematically miss. In a triage setting this distinction is concrete: ranking predictions by roughness preferentially recovers activity cliffs, which ensemble uncertainty flags no better than chance and the applicability domain ranks worse than random.</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These conclusions are bounded by several limitations. The activity-free effect sizes, although highly consistent across targets, are modest, and the study is confined to bioactivity regression on a single curated benchmark. The graph-convolutional model used to interpret the descriptor-versus-deep-learning gap was not competitive with the descriptor model in absolute terms and was not architecture-optimized, so that comparison is offered only as a supporting observation; and one construct, the local Hölder exponent, did not predict error.</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Several directions follow. We found the framework to transfer to physicochemical regression, namely aqueous solubility and lipophilicity (Figure 4), and it should extend further to the quantum-mechanical end points for which large computed data sets exist, where the locality of each property could itself be probed. Embedding local roughness in the nonconformity score of a conformal predictor would yield calibrated, cliff-aware prediction intervals. Stronger activity-free constructs and prospective validation on active discovery campaigns would, finally, test whether structure-only roughness can guide compound triage in practice.</w:t>
      </w:r>
    </w:p>
    <w:p>
      <w:pPr>
        <w:pStyle w:val="Heading1"/>
      </w:pPr>
      <w:r>
        <w:t xml:space="preserve">References</w:t>
      </w:r>
    </w:p>
    <w:p>
      <w:pPr>
        <w:spacing w:after="80" w:line="276" w:lineRule="auto"/>
        <w:ind w:left="360" w:hanging="36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Vamathevan, J.; Clark, D.; Czodrowski, P.; Dunham, I.; Ferran, E.; Lee, G.; et al. Applications of Machine Learning in Drug Discovery and Development. </w:t>
      </w:r>
      <w:r>
        <w:rPr>
          <w:rFonts w:ascii="Times New Roman" w:cs="Times New Roman" w:eastAsia="Times New Roman" w:hAnsi="Times New Roman"/>
          <w:i/>
          <w:iCs/>
          <w:sz w:val="22"/>
          <w:szCs w:val="22"/>
        </w:rPr>
        <w:t xml:space="preserve">Nat. Rev. Drug Discov.</w:t>
      </w:r>
      <w:r>
        <w:rPr>
          <w:rFonts w:ascii="Times New Roman" w:cs="Times New Roman" w:eastAsia="Times New Roman" w:hAnsi="Times New Roman"/>
          <w:sz w:val="22"/>
          <w:szCs w:val="22"/>
        </w:rPr>
        <w:t xml:space="preserve"> 2019, 18 (6), 463–477.</w:t>
      </w:r>
    </w:p>
    <w:p>
      <w:pPr>
        <w:spacing w:after="80" w:line="276" w:lineRule="auto"/>
        <w:ind w:left="360" w:hanging="36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Walters, W. P.; Barzilay, R. Critical Assessment of AI in Drug Discovery. </w:t>
      </w:r>
      <w:r>
        <w:rPr>
          <w:rFonts w:ascii="Times New Roman" w:cs="Times New Roman" w:eastAsia="Times New Roman" w:hAnsi="Times New Roman"/>
          <w:i/>
          <w:iCs/>
          <w:sz w:val="22"/>
          <w:szCs w:val="22"/>
        </w:rPr>
        <w:t xml:space="preserve">Expert Opin. Drug Discov.</w:t>
      </w:r>
      <w:r>
        <w:rPr>
          <w:rFonts w:ascii="Times New Roman" w:cs="Times New Roman" w:eastAsia="Times New Roman" w:hAnsi="Times New Roman"/>
          <w:sz w:val="22"/>
          <w:szCs w:val="22"/>
        </w:rPr>
        <w:t xml:space="preserve"> 2021, 16 (9), 937–947.</w:t>
      </w:r>
    </w:p>
    <w:p>
      <w:pPr>
        <w:spacing w:after="80" w:line="276" w:lineRule="auto"/>
        <w:ind w:left="360" w:hanging="36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Johnson, M. A.; Maggiora, G. M. </w:t>
      </w:r>
      <w:r>
        <w:rPr>
          <w:rFonts w:ascii="Times New Roman" w:cs="Times New Roman" w:eastAsia="Times New Roman" w:hAnsi="Times New Roman"/>
          <w:i/>
          <w:iCs/>
          <w:sz w:val="22"/>
          <w:szCs w:val="22"/>
        </w:rPr>
        <w:t xml:space="preserve">Concepts and Applications of Molecular Similarity</w:t>
      </w:r>
      <w:r>
        <w:rPr>
          <w:rFonts w:ascii="Times New Roman" w:cs="Times New Roman" w:eastAsia="Times New Roman" w:hAnsi="Times New Roman"/>
          <w:sz w:val="22"/>
          <w:szCs w:val="22"/>
        </w:rPr>
        <w:t xml:space="preserve">; Wiley: New York, 1990.</w:t>
      </w:r>
    </w:p>
    <w:p>
      <w:pPr>
        <w:spacing w:after="80" w:line="276" w:lineRule="auto"/>
        <w:ind w:left="360" w:hanging="36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Maggiora, G. M. On Outliers and Activity Cliffs—Why QSAR Often Disappoints.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2006, 46 (4), 1535.</w:t>
      </w:r>
    </w:p>
    <w:p>
      <w:pPr>
        <w:spacing w:after="80" w:line="276" w:lineRule="auto"/>
        <w:ind w:left="360" w:hanging="36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Stumpfe, D.; Bajorath, J. Exploring Activity Cliffs in Medicinal Chemistry. </w:t>
      </w:r>
      <w:r>
        <w:rPr>
          <w:rFonts w:ascii="Times New Roman" w:cs="Times New Roman" w:eastAsia="Times New Roman" w:hAnsi="Times New Roman"/>
          <w:i/>
          <w:iCs/>
          <w:sz w:val="22"/>
          <w:szCs w:val="22"/>
        </w:rPr>
        <w:t xml:space="preserve">J. Med. Chem.</w:t>
      </w:r>
      <w:r>
        <w:rPr>
          <w:rFonts w:ascii="Times New Roman" w:cs="Times New Roman" w:eastAsia="Times New Roman" w:hAnsi="Times New Roman"/>
          <w:sz w:val="22"/>
          <w:szCs w:val="22"/>
        </w:rPr>
        <w:t xml:space="preserve"> 2012, 55 (7), 2932–2942.</w:t>
      </w:r>
    </w:p>
    <w:p>
      <w:pPr>
        <w:spacing w:after="80" w:line="276" w:lineRule="auto"/>
        <w:ind w:left="360" w:hanging="36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Cruz-Monteagudo, M.; Medina-Franco, J. L.; Pérez-Castillo, Y.; Nicolotti, O.; Cordeiro, M. N. D. S.; Borges, F. Activity Cliffs in Drug Discovery: Dr Jekyll or Mr Hyde? </w:t>
      </w:r>
      <w:r>
        <w:rPr>
          <w:rFonts w:ascii="Times New Roman" w:cs="Times New Roman" w:eastAsia="Times New Roman" w:hAnsi="Times New Roman"/>
          <w:i/>
          <w:iCs/>
          <w:sz w:val="22"/>
          <w:szCs w:val="22"/>
        </w:rPr>
        <w:t xml:space="preserve">Drug Discov. Today</w:t>
      </w:r>
      <w:r>
        <w:rPr>
          <w:rFonts w:ascii="Times New Roman" w:cs="Times New Roman" w:eastAsia="Times New Roman" w:hAnsi="Times New Roman"/>
          <w:sz w:val="22"/>
          <w:szCs w:val="22"/>
        </w:rPr>
        <w:t xml:space="preserve"> 2014, 19 (8), 1069–1080.</w:t>
      </w:r>
    </w:p>
    <w:p>
      <w:pPr>
        <w:spacing w:after="80" w:line="276" w:lineRule="auto"/>
        <w:ind w:left="360" w:hanging="36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van Tilborg, D.; Alenicheva, A.; Grisoni, F. Exposing the Limitations of Molecular Machine Learning with Activity Cliffs.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2022, 62 (23), 5938–5951.</w:t>
      </w:r>
    </w:p>
    <w:p>
      <w:pPr>
        <w:spacing w:after="80" w:line="276" w:lineRule="auto"/>
        <w:ind w:left="360" w:hanging="36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Dablander, M.; Hanser, T.; Lambiotte, R.; Morris, G. M. Exploring QSAR Models for Activity-Cliff Prediction. </w:t>
      </w:r>
      <w:r>
        <w:rPr>
          <w:rFonts w:ascii="Times New Roman" w:cs="Times New Roman" w:eastAsia="Times New Roman" w:hAnsi="Times New Roman"/>
          <w:i/>
          <w:iCs/>
          <w:sz w:val="22"/>
          <w:szCs w:val="22"/>
        </w:rPr>
        <w:t xml:space="preserve">J. Cheminform.</w:t>
      </w:r>
      <w:r>
        <w:rPr>
          <w:rFonts w:ascii="Times New Roman" w:cs="Times New Roman" w:eastAsia="Times New Roman" w:hAnsi="Times New Roman"/>
          <w:sz w:val="22"/>
          <w:szCs w:val="22"/>
        </w:rPr>
        <w:t xml:space="preserve"> 2023, 15, 47.</w:t>
      </w:r>
    </w:p>
    <w:p>
      <w:pPr>
        <w:spacing w:after="80" w:line="276" w:lineRule="auto"/>
        <w:ind w:left="360" w:hanging="36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Aldeghi, M.; Graff, D. E.; Frey, N.; Morrone, J. A.; Pyzer-Knapp, E. O.; Jordan, K. E.; Coley, C. W. Roughness of Molecular Property Landscapes and Its Impact on Modellability.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2022, 62 (19), 4660–4671.</w:t>
      </w:r>
    </w:p>
    <w:p>
      <w:pPr>
        <w:spacing w:after="80" w:line="276" w:lineRule="auto"/>
        <w:ind w:left="360" w:hanging="36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Graff, D. E.; Pyzer-Knapp, E. O.; Jordan, K. E.; Shakhnovich, E. I.; Coley, C. W. Evaluating the Roughness of Structure–Property Relationships Using Pretrained Molecular Representations. </w:t>
      </w:r>
      <w:r>
        <w:rPr>
          <w:rFonts w:ascii="Times New Roman" w:cs="Times New Roman" w:eastAsia="Times New Roman" w:hAnsi="Times New Roman"/>
          <w:i/>
          <w:iCs/>
          <w:sz w:val="22"/>
          <w:szCs w:val="22"/>
        </w:rPr>
        <w:t xml:space="preserve">Digital Discovery</w:t>
      </w:r>
      <w:r>
        <w:rPr>
          <w:rFonts w:ascii="Times New Roman" w:cs="Times New Roman" w:eastAsia="Times New Roman" w:hAnsi="Times New Roman"/>
          <w:sz w:val="22"/>
          <w:szCs w:val="22"/>
        </w:rPr>
        <w:t xml:space="preserve"> 2023, 2 (5), 1452–1460.</w:t>
      </w:r>
    </w:p>
    <w:p>
      <w:pPr>
        <w:spacing w:after="80" w:line="276" w:lineRule="auto"/>
        <w:ind w:left="360" w:hanging="36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Golbraikh, A.; Muratov, E.; Fourches, D.; Tropsha, A. Data Set Modelability by QSAR.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2014, 54 (1), 1–4.</w:t>
      </w:r>
    </w:p>
    <w:p>
      <w:pPr>
        <w:spacing w:after="80" w:line="276" w:lineRule="auto"/>
        <w:ind w:left="360" w:hanging="36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Peltason, L.; Bajorath, J. SAR Index: Quantifying the Nature of Structure–Activity Relationships. </w:t>
      </w:r>
      <w:r>
        <w:rPr>
          <w:rFonts w:ascii="Times New Roman" w:cs="Times New Roman" w:eastAsia="Times New Roman" w:hAnsi="Times New Roman"/>
          <w:i/>
          <w:iCs/>
          <w:sz w:val="22"/>
          <w:szCs w:val="22"/>
        </w:rPr>
        <w:t xml:space="preserve">J. Med. Chem.</w:t>
      </w:r>
      <w:r>
        <w:rPr>
          <w:rFonts w:ascii="Times New Roman" w:cs="Times New Roman" w:eastAsia="Times New Roman" w:hAnsi="Times New Roman"/>
          <w:sz w:val="22"/>
          <w:szCs w:val="22"/>
        </w:rPr>
        <w:t xml:space="preserve"> 2007, 50 (23), 5571–5578.</w:t>
      </w:r>
    </w:p>
    <w:p>
      <w:pPr>
        <w:spacing w:after="80" w:line="276" w:lineRule="auto"/>
        <w:ind w:left="360" w:hanging="36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Guha, R.; Van Drie, J. H. Structure–Activity Landscape Index: Identifying and Quantifying Activity Cliffs.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2008, 48 (3), 646–658.</w:t>
      </w:r>
    </w:p>
    <w:p>
      <w:pPr>
        <w:spacing w:after="80" w:line="276" w:lineRule="auto"/>
        <w:ind w:left="360" w:hanging="36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Netzeva, T. I.; Worth, A. P.; Aldenberg, T.; Benigni, R.; Cronin, M. T. D.; Gramatica, P.; et al. Current Status of Methods for Defining the Applicability Domain of (Quantitative) Structure–Activity Relationships. </w:t>
      </w:r>
      <w:r>
        <w:rPr>
          <w:rFonts w:ascii="Times New Roman" w:cs="Times New Roman" w:eastAsia="Times New Roman" w:hAnsi="Times New Roman"/>
          <w:i/>
          <w:iCs/>
          <w:sz w:val="22"/>
          <w:szCs w:val="22"/>
        </w:rPr>
        <w:t xml:space="preserve">ATLA, Altern. Lab. Anim.</w:t>
      </w:r>
      <w:r>
        <w:rPr>
          <w:rFonts w:ascii="Times New Roman" w:cs="Times New Roman" w:eastAsia="Times New Roman" w:hAnsi="Times New Roman"/>
          <w:sz w:val="22"/>
          <w:szCs w:val="22"/>
        </w:rPr>
        <w:t xml:space="preserve"> 2005, 33 (2), 155–173.</w:t>
      </w:r>
    </w:p>
    <w:p>
      <w:pPr>
        <w:spacing w:after="80" w:line="276" w:lineRule="auto"/>
        <w:ind w:left="360" w:hanging="36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Sahigara, F.; Mansouri, K.; Ballabio, D.; Mauri, A.; Consonni, V.; Todeschini, R. Comparison of Different Approaches to Define the Applicability Domain of QSAR Models. </w:t>
      </w:r>
      <w:r>
        <w:rPr>
          <w:rFonts w:ascii="Times New Roman" w:cs="Times New Roman" w:eastAsia="Times New Roman" w:hAnsi="Times New Roman"/>
          <w:i/>
          <w:iCs/>
          <w:sz w:val="22"/>
          <w:szCs w:val="22"/>
        </w:rPr>
        <w:t xml:space="preserve">Molecules</w:t>
      </w:r>
      <w:r>
        <w:rPr>
          <w:rFonts w:ascii="Times New Roman" w:cs="Times New Roman" w:eastAsia="Times New Roman" w:hAnsi="Times New Roman"/>
          <w:sz w:val="22"/>
          <w:szCs w:val="22"/>
        </w:rPr>
        <w:t xml:space="preserve"> 2012, 17 (5), 4791–4810.</w:t>
      </w:r>
    </w:p>
    <w:p>
      <w:pPr>
        <w:spacing w:after="80" w:line="276" w:lineRule="auto"/>
        <w:ind w:left="360" w:hanging="360"/>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Norinder, U.; Carlsson, L.; Boyer, S.; Eklund, M. Introducing Conformal Prediction in Predictive Modeling. A Transparent and Flexible Alternative to Applicability Domain Determination.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2014, 54 (6), 1596–1603.</w:t>
      </w:r>
    </w:p>
    <w:p>
      <w:pPr>
        <w:spacing w:after="80" w:line="276" w:lineRule="auto"/>
        <w:ind w:left="360" w:hanging="360"/>
        <w:jc w:val="both"/>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Hirschfeld, L.; Swanson, K.; Yang, K.; Barzilay, R.; Coley, C. W. Uncertainty Quantification Using Neural Networks for Molecular Property Prediction.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2020, 60 (8), 3770–3780.</w:t>
      </w:r>
    </w:p>
    <w:p>
      <w:pPr>
        <w:spacing w:after="80" w:line="276" w:lineRule="auto"/>
        <w:ind w:left="360" w:hanging="360"/>
        <w:jc w:val="both"/>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Gaulton, A.; Bellis, L. J.; Bento, A. P.; Chambers, J.; Davies, M.; Hersey, A.; et al. ChEMBL: A Large-Scale Bioactivity Database for Drug Discovery. </w:t>
      </w:r>
      <w:r>
        <w:rPr>
          <w:rFonts w:ascii="Times New Roman" w:cs="Times New Roman" w:eastAsia="Times New Roman" w:hAnsi="Times New Roman"/>
          <w:i/>
          <w:iCs/>
          <w:sz w:val="22"/>
          <w:szCs w:val="22"/>
        </w:rPr>
        <w:t xml:space="preserve">Nucleic Acids Res.</w:t>
      </w:r>
      <w:r>
        <w:rPr>
          <w:rFonts w:ascii="Times New Roman" w:cs="Times New Roman" w:eastAsia="Times New Roman" w:hAnsi="Times New Roman"/>
          <w:sz w:val="22"/>
          <w:szCs w:val="22"/>
        </w:rPr>
        <w:t xml:space="preserve"> 2012, 40 (D1), D1100–D1107.</w:t>
      </w:r>
    </w:p>
    <w:p>
      <w:pPr>
        <w:spacing w:after="80" w:line="276" w:lineRule="auto"/>
        <w:ind w:left="360" w:hanging="360"/>
        <w:jc w:val="both"/>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Delaney, J. S. ESOL: Estimating Aqueous Solubility Directly from Molecular Structure. </w:t>
      </w:r>
      <w:r>
        <w:rPr>
          <w:rFonts w:ascii="Times New Roman" w:cs="Times New Roman" w:eastAsia="Times New Roman" w:hAnsi="Times New Roman"/>
          <w:i/>
          <w:iCs/>
          <w:sz w:val="22"/>
          <w:szCs w:val="22"/>
        </w:rPr>
        <w:t xml:space="preserve">J. Chem. Inf. Comput. Sci.</w:t>
      </w:r>
      <w:r>
        <w:rPr>
          <w:rFonts w:ascii="Times New Roman" w:cs="Times New Roman" w:eastAsia="Times New Roman" w:hAnsi="Times New Roman"/>
          <w:sz w:val="22"/>
          <w:szCs w:val="22"/>
        </w:rPr>
        <w:t xml:space="preserve"> 2004, 44 (3), 1000–1005.</w:t>
      </w:r>
    </w:p>
    <w:p>
      <w:pPr>
        <w:spacing w:after="80" w:line="276" w:lineRule="auto"/>
        <w:ind w:left="360" w:hanging="360"/>
        <w:jc w:val="both"/>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Wu, Z.; Ramsundar, B.; Feinberg, E. N.; Gomes, J.; Geniesse, C.; Pappu, A. S.; Leswing, K.; Pande, V. MoleculeNet: A Benchmark for Molecular Machine Learning. </w:t>
      </w:r>
      <w:r>
        <w:rPr>
          <w:rFonts w:ascii="Times New Roman" w:cs="Times New Roman" w:eastAsia="Times New Roman" w:hAnsi="Times New Roman"/>
          <w:i/>
          <w:iCs/>
          <w:sz w:val="22"/>
          <w:szCs w:val="22"/>
        </w:rPr>
        <w:t xml:space="preserve">Chem. Sci.</w:t>
      </w:r>
      <w:r>
        <w:rPr>
          <w:rFonts w:ascii="Times New Roman" w:cs="Times New Roman" w:eastAsia="Times New Roman" w:hAnsi="Times New Roman"/>
          <w:sz w:val="22"/>
          <w:szCs w:val="22"/>
        </w:rPr>
        <w:t xml:space="preserve"> 2018, 9 (2), 513–530.</w:t>
      </w:r>
    </w:p>
    <w:p>
      <w:pPr>
        <w:spacing w:after="80" w:line="276" w:lineRule="auto"/>
        <w:ind w:left="360" w:hanging="360"/>
        <w:jc w:val="both"/>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Bemis, G. W.; Murcko, M. A. The Properties of Known Drugs. 1. Molecular Frameworks. </w:t>
      </w:r>
      <w:r>
        <w:rPr>
          <w:rFonts w:ascii="Times New Roman" w:cs="Times New Roman" w:eastAsia="Times New Roman" w:hAnsi="Times New Roman"/>
          <w:i/>
          <w:iCs/>
          <w:sz w:val="22"/>
          <w:szCs w:val="22"/>
        </w:rPr>
        <w:t xml:space="preserve">J. Med. Chem.</w:t>
      </w:r>
      <w:r>
        <w:rPr>
          <w:rFonts w:ascii="Times New Roman" w:cs="Times New Roman" w:eastAsia="Times New Roman" w:hAnsi="Times New Roman"/>
          <w:sz w:val="22"/>
          <w:szCs w:val="22"/>
        </w:rPr>
        <w:t xml:space="preserve"> 1996, 39 (15), 2887–2893.</w:t>
      </w:r>
    </w:p>
    <w:p>
      <w:pPr>
        <w:spacing w:after="80" w:line="276" w:lineRule="auto"/>
        <w:ind w:left="360" w:hanging="360"/>
        <w:jc w:val="both"/>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Rogers, D.; Hahn, M. Extended-Connectivity Fingerprints.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2010, 50 (5), 742–754.</w:t>
      </w:r>
    </w:p>
    <w:p>
      <w:pPr>
        <w:spacing w:after="80" w:line="276" w:lineRule="auto"/>
        <w:ind w:left="360" w:hanging="360"/>
        <w:jc w:val="both"/>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Breiman, L. Random Forests. </w:t>
      </w:r>
      <w:r>
        <w:rPr>
          <w:rFonts w:ascii="Times New Roman" w:cs="Times New Roman" w:eastAsia="Times New Roman" w:hAnsi="Times New Roman"/>
          <w:i/>
          <w:iCs/>
          <w:sz w:val="22"/>
          <w:szCs w:val="22"/>
        </w:rPr>
        <w:t xml:space="preserve">Mach. Learn.</w:t>
      </w:r>
      <w:r>
        <w:rPr>
          <w:rFonts w:ascii="Times New Roman" w:cs="Times New Roman" w:eastAsia="Times New Roman" w:hAnsi="Times New Roman"/>
          <w:sz w:val="22"/>
          <w:szCs w:val="22"/>
        </w:rPr>
        <w:t xml:space="preserve"> 2001, 45 (1), 5–32.</w:t>
      </w:r>
    </w:p>
    <w:p>
      <w:pPr>
        <w:spacing w:after="80" w:line="276" w:lineRule="auto"/>
        <w:ind w:left="360" w:hanging="360"/>
        <w:jc w:val="both"/>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Xu, K.; Hu, W.; Leskovec, J.; Jegelka, S. How Powerful Are Graph Neural Networks? In </w:t>
      </w:r>
      <w:r>
        <w:rPr>
          <w:rFonts w:ascii="Times New Roman" w:cs="Times New Roman" w:eastAsia="Times New Roman" w:hAnsi="Times New Roman"/>
          <w:i/>
          <w:iCs/>
          <w:sz w:val="22"/>
          <w:szCs w:val="22"/>
        </w:rPr>
        <w:t xml:space="preserve">International Conference on Learning Representations (ICLR)</w:t>
      </w:r>
      <w:r>
        <w:rPr>
          <w:rFonts w:ascii="Times New Roman" w:cs="Times New Roman" w:eastAsia="Times New Roman" w:hAnsi="Times New Roman"/>
          <w:sz w:val="22"/>
          <w:szCs w:val="22"/>
        </w:rPr>
        <w:t xml:space="preserve">, 2019.</w:t>
      </w:r>
    </w:p>
    <w:p>
      <w:pPr>
        <w:spacing w:after="80" w:line="276" w:lineRule="auto"/>
        <w:ind w:left="360" w:hanging="360"/>
        <w:jc w:val="both"/>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Benjamini, Y.; Hochberg, Y. Controlling the False Discovery Rate: A Practical and Powerful Approach to Multiple Testing. </w:t>
      </w:r>
      <w:r>
        <w:rPr>
          <w:rFonts w:ascii="Times New Roman" w:cs="Times New Roman" w:eastAsia="Times New Roman" w:hAnsi="Times New Roman"/>
          <w:i/>
          <w:iCs/>
          <w:sz w:val="22"/>
          <w:szCs w:val="22"/>
        </w:rPr>
        <w:t xml:space="preserve">J. R. Stat. Soc. B</w:t>
      </w:r>
      <w:r>
        <w:rPr>
          <w:rFonts w:ascii="Times New Roman" w:cs="Times New Roman" w:eastAsia="Times New Roman" w:hAnsi="Times New Roman"/>
          <w:sz w:val="22"/>
          <w:szCs w:val="22"/>
        </w:rPr>
        <w:t xml:space="preserve"> 1995, 57 (1), 289–300.</w:t>
      </w:r>
    </w:p>
    <w:p>
      <w:r>
        <w:br w:type="page"/>
      </w:r>
    </w:p>
    <w:p>
      <w:pPr>
        <w:spacing w:after="240" w:before="240"/>
        <w:jc w:val="center"/>
      </w:pPr>
      <w:r>
        <w:rPr>
          <w:rFonts w:ascii="Times New Roman" w:cs="Times New Roman" w:eastAsia="Times New Roman" w:hAnsi="Times New Roman"/>
          <w:b/>
          <w:bCs/>
          <w:sz w:val="24"/>
          <w:szCs w:val="24"/>
        </w:rPr>
        <w:t xml:space="preserve">For Table of Contents Use Only</w:t>
      </w:r>
    </w:p>
    <w:p>
      <w:pPr>
        <w:spacing w:after="120"/>
        <w:jc w:val="center"/>
      </w:pPr>
      <w:r>
        <w:rPr>
          <w:rFonts w:ascii="Times New Roman" w:cs="Times New Roman" w:eastAsia="Times New Roman" w:hAnsi="Times New Roman"/>
          <w:b/>
          <w:bCs/>
          <w:sz w:val="22"/>
          <w:szCs w:val="22"/>
        </w:rPr>
        <w:t xml:space="preserve">Local Structure–Activity Landscape Roughness Predicts Per-Compound QSAR Error Independently of the Applicability Domain</w:t>
      </w:r>
    </w:p>
    <w:p>
      <w:pPr>
        <w:spacing w:after="240"/>
        <w:jc w:val="center"/>
      </w:pPr>
      <w:r>
        <w:rPr>
          <w:rFonts w:ascii="Times New Roman" w:cs="Times New Roman" w:eastAsia="Times New Roman" w:hAnsi="Times New Roman"/>
          <w:sz w:val="22"/>
          <w:szCs w:val="22"/>
        </w:rPr>
        <w:t xml:space="preserve">Krishna Harish</w:t>
      </w:r>
    </w:p>
    <w:p>
      <w:pPr>
        <w:jc w:val="center"/>
      </w:pPr>
      <w:r>
        <w:drawing>
          <wp:inline distT="0" distB="0" distL="0" distR="0">
            <wp:extent cx="2971800" cy="1600200"/>
            <wp:effectExtent t="0" r="0" b="0" l="0"/>
            <wp:docPr id="1" name="TOC" descr="Table of contents graphic" title="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71800" cy="1600200"/>
                    </a:xfrm>
                    <a:prstGeom prst="rect">
                      <a:avLst/>
                    </a:prstGeom>
                  </pic:spPr>
                </pic:pic>
              </a:graphicData>
            </a:graphic>
          </wp:inline>
        </w:drawing>
      </w:r>
    </w:p>
    <w:sectPr>
      <w:pgSz w:w="12240" w:h="15840" w:orient="portrait"/>
      <w:pgMar w:top="1440" w:right="1440" w:bottom="1440" w:left="1440" w:header="708" w:footer="708" w:gutter="0"/>
      <w:lnNumType w:countBy="1" w:start="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000b8bbc1748f6a2ff589ae3342c29d6988857.png"/><Relationship Id="rId8" Type="http://schemas.openxmlformats.org/officeDocument/2006/relationships/image" Target="media/815dca57e787b1d26cdd0914aede182dde7c86c7.png"/><Relationship Id="rId9" Type="http://schemas.openxmlformats.org/officeDocument/2006/relationships/image" Target="media/8991d08243966d2d3890f176658a00f858f292ac.png"/><Relationship Id="rId10" Type="http://schemas.openxmlformats.org/officeDocument/2006/relationships/image" Target="media/67153e0d22b5b6f6d4b88d5693f6f99d0d267428.png"/><Relationship Id="rId11" Type="http://schemas.openxmlformats.org/officeDocument/2006/relationships/image" Target="media/871b086789b3d27545a5dc3eb000d4f0b5ddfd35.png"/><Relationship Id="rId12" Type="http://schemas.openxmlformats.org/officeDocument/2006/relationships/image" Target="media/c98464a7e7797fc1251473e3e3a49fce84412e0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2026-06-08T02:03:47.131Z</dcterms:created>
  <dcterms:modified xsi:type="dcterms:W3CDTF">2026-06-08T02:03:47.132Z</dcterms:modified>
</cp:coreProperties>
</file>

<file path=docProps/custom.xml><?xml version="1.0" encoding="utf-8"?>
<Properties xmlns="http://schemas.openxmlformats.org/officeDocument/2006/custom-properties" xmlns:vt="http://schemas.openxmlformats.org/officeDocument/2006/docPropsVTypes"/>
</file>