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RISKFERA AI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Subtitle: M&amp;A Target Intelligence for InnovaTech Systems Bottom: Two Sigmas | AI acquisition |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fi7xpmh77hxx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— The Problem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"Why does InnovaTech need an AI tool? Can't they just hire a banker?"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Three things to show: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traditional methods fail: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Banker networks only surface 10–15 companies, not 500+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Manual research takes weeks, not hours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Gut feel decisions miss hidden financial risks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2 unanswered questions InnovaTech has: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"Which company in the entire market fits our financial profile?"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"Which deal can we actually close within ₹180 Cr and 6 months?"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cost of getting it wrong: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Bad acquisition = years of integration pain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Overpaying = EPS dilution = angry shareholders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Wrong sector = zero synergies realized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— InnovaTech Profile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"Who is InnovaTech and what constraints are they working with?"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FY2023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FY2025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₹420Cr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₹610Cr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Net 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₹46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₹78 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ROCE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18.2%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22.1%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Market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₹1,911 Cr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— 4 Strategic Goals: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Strengthen AI and software product portfolio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Increase recurring revenue share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Expand into adjacent tech sectors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Accelerate revenue growth beyond 20% CAGR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— RISKFERA Framework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Risk Engine — </w:t>
      </w:r>
      <w:r w:rsidDel="00000000" w:rsidR="00000000" w:rsidRPr="00000000">
        <w:rPr>
          <w:sz w:val="30"/>
          <w:szCs w:val="30"/>
          <w:rtl w:val="0"/>
        </w:rPr>
        <w:t xml:space="preserve">How risky is this company's earnings? (0-100, lower = safer)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Synergy Engine — </w:t>
      </w:r>
      <w:r w:rsidDel="00000000" w:rsidR="00000000" w:rsidRPr="00000000">
        <w:rPr>
          <w:sz w:val="30"/>
          <w:szCs w:val="30"/>
          <w:rtl w:val="0"/>
        </w:rPr>
        <w:t xml:space="preserve">How well does it fit InnovaTech? (0-100, higher = better fit)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Feasibility Engine — </w:t>
      </w:r>
      <w:r w:rsidDel="00000000" w:rsidR="00000000" w:rsidRPr="00000000">
        <w:rPr>
          <w:sz w:val="30"/>
          <w:szCs w:val="30"/>
          <w:rtl w:val="0"/>
        </w:rPr>
        <w:t xml:space="preserve">Can InnovaTech actually afford and close this deal? (0-100, higher = more doable)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