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Calibri" w:cs="Calibri" w:eastAsia="Calibri" w:hAnsi="Calibri"/>
          <w:b/>
          <w:bCs/>
          <w:sz w:val="28"/>
          <w:szCs w:val="28"/>
        </w:rPr>
        <w:t xml:space="preserve">Ideation Phase</w:t>
      </w:r>
    </w:p>
    <w:p>
      <w:pPr>
        <w:spacing w:after="200"/>
        <w:jc w:val="center"/>
      </w:pPr>
      <w:r>
        <w:rPr>
          <w:rFonts w:ascii="Calibri" w:cs="Calibri" w:eastAsia="Calibri" w:hAnsi="Calibri"/>
          <w:b/>
          <w:bCs/>
          <w:sz w:val="28"/>
          <w:szCs w:val="28"/>
        </w:rPr>
        <w:t xml:space="preserve">Customer Journey Map</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00"/>
        <w:gridCol w:w="11040"/>
      </w:tblGrid>
      <w:tr>
        <w:tc>
          <w:tcPr>
            <w:tcW w:type="dxa" w:w="30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bCs/>
                <w:sz w:val="19"/>
                <w:szCs w:val="19"/>
              </w:rPr>
              <w:t xml:space="preserve">Date</w:t>
            </w:r>
          </w:p>
        </w:tc>
        <w:tc>
          <w:tcPr>
            <w:tcW w:type="dxa" w:w="1104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13 July 2026</w:t>
            </w:r>
          </w:p>
        </w:tc>
      </w:tr>
      <w:tr>
        <w:tc>
          <w:tcPr>
            <w:tcW w:type="dxa" w:w="30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bCs/>
                <w:sz w:val="19"/>
                <w:szCs w:val="19"/>
              </w:rPr>
              <w:t xml:space="preserve">Team ID</w:t>
            </w:r>
          </w:p>
        </w:tc>
        <w:tc>
          <w:tcPr>
            <w:tcW w:type="dxa" w:w="1104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
            </w:r>
          </w:p>
        </w:tc>
      </w:tr>
      <w:tr>
        <w:tc>
          <w:tcPr>
            <w:tcW w:type="dxa" w:w="30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bCs/>
                <w:sz w:val="19"/>
                <w:szCs w:val="19"/>
              </w:rPr>
              <w:t xml:space="preserve">Project Name</w:t>
            </w:r>
          </w:p>
        </w:tc>
        <w:tc>
          <w:tcPr>
            <w:tcW w:type="dxa" w:w="1104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Voice-Based Concept Understanding Analyzer (VBCUA)</w:t>
            </w:r>
          </w:p>
        </w:tc>
      </w:tr>
      <w:tr>
        <w:tc>
          <w:tcPr>
            <w:tcW w:type="dxa" w:w="300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bCs/>
                <w:sz w:val="19"/>
                <w:szCs w:val="19"/>
              </w:rPr>
              <w:t xml:space="preserve">Maximum Marks</w:t>
            </w:r>
          </w:p>
        </w:tc>
        <w:tc>
          <w:tcPr>
            <w:tcW w:type="dxa" w:w="11040"/>
            <w:tcBorders>
              <w:top w:val="single" w:color="000000" w:sz="4"/>
              <w:left w:val="single" w:color="000000" w:sz="4"/>
              <w:bottom w:val="single" w:color="000000" w:sz="4"/>
              <w:right w:val="single" w:color="000000" w:sz="4"/>
            </w:tcBorders>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4 Marks</w:t>
            </w:r>
          </w:p>
        </w:tc>
      </w:tr>
    </w:tbl>
    <w:p>
      <w:pPr>
        <w:spacing w:after="100" w:before="220"/>
      </w:pPr>
      <w:r>
        <w:rPr>
          <w:rFonts w:ascii="Calibri" w:cs="Calibri" w:eastAsia="Calibri" w:hAnsi="Calibri"/>
          <w:b/>
          <w:bCs/>
          <w:sz w:val="24"/>
          <w:szCs w:val="24"/>
        </w:rPr>
        <w:t xml:space="preserve">Customer Journey Map: VBCUA — Student Perspective</w:t>
      </w:r>
    </w:p>
    <w:p>
      <w:pPr>
        <w:spacing w:after="140"/>
      </w:pPr>
      <w:r>
        <w:rPr>
          <w:rFonts w:ascii="Calibri" w:cs="Calibri" w:eastAsia="Calibri" w:hAnsi="Calibri"/>
          <w:sz w:val="20"/>
          <w:szCs w:val="20"/>
        </w:rPr>
        <w:t xml:space="preserve">A customer journey map visualises the end-to-end experience a user has with a product, from initial awareness through to after the core experience is complete. It captures the steps, interactions, goals, positive and negative moments, and opportunities for improvement at each stage, helping the team understand the student's experience of the Voice-Based Concept Understanding Analyzer (VBCUA) as a whole rather than as isolated features.</w:t>
      </w:r>
    </w:p>
    <w:tbl>
      <w:tblPr>
        <w:tblW w:type="dxa" w:w="3400"/>
        <w:tblBorders>
          <w:top w:val="single" w:color="auto" w:sz="4"/>
          <w:left w:val="single" w:color="auto" w:sz="4"/>
          <w:bottom w:val="single" w:color="auto" w:sz="4"/>
          <w:right w:val="single" w:color="auto" w:sz="4"/>
          <w:insideH w:val="single" w:color="auto" w:sz="4"/>
          <w:insideV w:val="single" w:color="auto" w:sz="4"/>
        </w:tblBorders>
      </w:tblPr>
      <w:tblGrid>
        <w:gridCol w:w="3400"/>
      </w:tblGrid>
      <w:tr>
        <w:tc>
          <w:tcPr>
            <w:tcW w:type="dxa" w:w="3400"/>
            <w:tcBorders>
              <w:top w:val="single" w:color="000000" w:sz="4"/>
              <w:left w:val="single" w:color="000000" w:sz="4"/>
              <w:bottom w:val="single" w:color="000000" w:sz="4"/>
              <w:right w:val="single" w:color="000000" w:sz="4"/>
            </w:tcBorders>
            <w:shd w:fill="F1F5F9" w:color="auto" w:val="clear"/>
            <w:tcMar>
              <w:top w:type="dxa" w:w="160"/>
              <w:left w:type="dxa" w:w="180"/>
              <w:bottom w:type="dxa" w:w="160"/>
              <w:right w:type="dxa" w:w="180"/>
            </w:tcMar>
          </w:tcPr>
          <w:p>
            <w:pPr>
              <w:spacing w:after="60"/>
              <w:jc w:val="center"/>
            </w:pPr>
            <w:r>
              <w:rPr>
                <w:rFonts w:ascii="Calibri" w:cs="Calibri" w:eastAsia="Calibri" w:hAnsi="Calibri"/>
                <w:b/>
                <w:bCs/>
                <w:color w:val="2563EB"/>
                <w:sz w:val="15"/>
                <w:szCs w:val="15"/>
              </w:rPr>
              <w:t xml:space="preserve">SCENARIO</w:t>
            </w:r>
          </w:p>
          <w:p>
            <w:pPr>
              <w:jc w:val="center"/>
            </w:pPr>
            <w:r>
              <w:rPr>
                <w:rFonts w:ascii="Calibri" w:cs="Calibri" w:eastAsia="Calibri" w:hAnsi="Calibri"/>
                <w:b/>
                <w:bCs/>
                <w:sz w:val="19"/>
                <w:szCs w:val="19"/>
              </w:rPr>
              <w:t xml:space="preserve">Discovering VBCUA, recording and uploading a spoken concept explanation, receiving an automated assessment, and reviewing the results.</w:t>
            </w:r>
          </w:p>
        </w:tc>
      </w:tr>
    </w:tbl>
    <w:p>
      <w:pPr>
        <w:spacing w:before="240"/>
      </w:pP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550"/>
        <w:gridCol w:w="2498"/>
        <w:gridCol w:w="2498"/>
        <w:gridCol w:w="2498"/>
        <w:gridCol w:w="2498"/>
        <w:gridCol w:w="2498"/>
      </w:tblGrid>
      <w:tr>
        <w:trPr>
          <w:tblHeader/>
        </w:trPr>
        <w:tc>
          <w:tcPr>
            <w:tcW w:type="dxa" w:w="1550"/>
            <w:tcBorders>
              <w:top w:val="single" w:color="000000" w:sz="4"/>
              <w:left w:val="single" w:color="000000" w:sz="4"/>
              <w:bottom w:val="single" w:color="000000" w:sz="4"/>
              <w:right w:val="single" w:color="000000" w:sz="4"/>
            </w:tcBorders>
            <w:shd w:fill="D9E4F5" w:color="auto" w:val="clear"/>
            <w:tcMar>
              <w:top w:type="dxa" w:w="90"/>
              <w:left w:type="dxa" w:w="110"/>
              <w:bottom w:type="dxa" w:w="90"/>
              <w:right w:type="dxa" w:w="110"/>
            </w:tcMar>
            <w:vAlign w:val="center"/>
          </w:tcPr>
          <w:p>
            <w:pPr>
              <w:jc w:val="left"/>
            </w:pPr>
            <w:r>
              <w:rPr>
                <w:rFonts w:ascii="Calibri" w:cs="Calibri" w:eastAsia="Calibri" w:hAnsi="Calibri"/>
                <w:b w:val="false"/>
                <w:bCs w:val="false"/>
                <w:sz w:val="19"/>
                <w:szCs w:val="19"/>
              </w:rPr>
              <w:t xml:space="preserve"/>
            </w:r>
          </w:p>
        </w:tc>
        <w:tc>
          <w:tcPr>
            <w:tcW w:type="dxa" w:w="2498"/>
            <w:tcBorders>
              <w:top w:val="single" w:color="000000" w:sz="4"/>
              <w:left w:val="single" w:color="000000" w:sz="4"/>
              <w:bottom w:val="single" w:color="000000" w:sz="4"/>
              <w:right w:val="single" w:color="000000" w:sz="4"/>
            </w:tcBorders>
            <w:shd w:fill="D9E4F5" w:color="auto" w:val="clear"/>
            <w:tcMar>
              <w:top w:type="dxa" w:w="90"/>
              <w:left w:type="dxa" w:w="90"/>
              <w:bottom w:type="dxa" w:w="90"/>
              <w:right w:type="dxa" w:w="90"/>
            </w:tcMar>
          </w:tcPr>
          <w:p>
            <w:pPr>
              <w:spacing w:after="40"/>
              <w:jc w:val="center"/>
            </w:pPr>
            <w:r>
              <w:rPr>
                <w:rFonts w:ascii="Calibri" w:cs="Calibri" w:eastAsia="Calibri" w:hAnsi="Calibri"/>
                <w:b/>
                <w:bCs/>
                <w:sz w:val="21"/>
                <w:szCs w:val="21"/>
              </w:rPr>
              <w:t xml:space="preserve">Entice</w:t>
            </w:r>
          </w:p>
          <w:p>
            <w:pPr>
              <w:jc w:val="center"/>
            </w:pPr>
            <w:r>
              <w:rPr>
                <w:rFonts w:ascii="Calibri" w:cs="Calibri" w:eastAsia="Calibri" w:hAnsi="Calibri"/>
                <w:i/>
                <w:iCs/>
                <w:sz w:val="14"/>
                <w:szCs w:val="14"/>
              </w:rPr>
              <w:t xml:space="preserve">How does someone initially become aware of this process?</w:t>
            </w:r>
          </w:p>
        </w:tc>
        <w:tc>
          <w:tcPr>
            <w:tcW w:type="dxa" w:w="2498"/>
            <w:tcBorders>
              <w:top w:val="single" w:color="000000" w:sz="4"/>
              <w:left w:val="single" w:color="000000" w:sz="4"/>
              <w:bottom w:val="single" w:color="000000" w:sz="4"/>
              <w:right w:val="single" w:color="000000" w:sz="4"/>
            </w:tcBorders>
            <w:shd w:fill="D9E4F5" w:color="auto" w:val="clear"/>
            <w:tcMar>
              <w:top w:type="dxa" w:w="90"/>
              <w:left w:type="dxa" w:w="90"/>
              <w:bottom w:type="dxa" w:w="90"/>
              <w:right w:type="dxa" w:w="90"/>
            </w:tcMar>
          </w:tcPr>
          <w:p>
            <w:pPr>
              <w:spacing w:after="40"/>
              <w:jc w:val="center"/>
            </w:pPr>
            <w:r>
              <w:rPr>
                <w:rFonts w:ascii="Calibri" w:cs="Calibri" w:eastAsia="Calibri" w:hAnsi="Calibri"/>
                <w:b/>
                <w:bCs/>
                <w:sz w:val="21"/>
                <w:szCs w:val="21"/>
              </w:rPr>
              <w:t xml:space="preserve">Enter</w:t>
            </w:r>
          </w:p>
          <w:p>
            <w:pPr>
              <w:jc w:val="center"/>
            </w:pPr>
            <w:r>
              <w:rPr>
                <w:rFonts w:ascii="Calibri" w:cs="Calibri" w:eastAsia="Calibri" w:hAnsi="Calibri"/>
                <w:i/>
                <w:iCs/>
                <w:sz w:val="14"/>
                <w:szCs w:val="14"/>
              </w:rPr>
              <w:t xml:space="preserve">What does the student experience as they begin the process?</w:t>
            </w:r>
          </w:p>
        </w:tc>
        <w:tc>
          <w:tcPr>
            <w:tcW w:type="dxa" w:w="2498"/>
            <w:tcBorders>
              <w:top w:val="single" w:color="000000" w:sz="4"/>
              <w:left w:val="single" w:color="000000" w:sz="4"/>
              <w:bottom w:val="single" w:color="000000" w:sz="4"/>
              <w:right w:val="single" w:color="000000" w:sz="4"/>
            </w:tcBorders>
            <w:shd w:fill="D9E4F5" w:color="auto" w:val="clear"/>
            <w:tcMar>
              <w:top w:type="dxa" w:w="90"/>
              <w:left w:type="dxa" w:w="90"/>
              <w:bottom w:type="dxa" w:w="90"/>
              <w:right w:type="dxa" w:w="90"/>
            </w:tcMar>
          </w:tcPr>
          <w:p>
            <w:pPr>
              <w:spacing w:after="40"/>
              <w:jc w:val="center"/>
            </w:pPr>
            <w:r>
              <w:rPr>
                <w:rFonts w:ascii="Calibri" w:cs="Calibri" w:eastAsia="Calibri" w:hAnsi="Calibri"/>
                <w:b/>
                <w:bCs/>
                <w:sz w:val="21"/>
                <w:szCs w:val="21"/>
              </w:rPr>
              <w:t xml:space="preserve">Engage</w:t>
            </w:r>
          </w:p>
          <w:p>
            <w:pPr>
              <w:jc w:val="center"/>
            </w:pPr>
            <w:r>
              <w:rPr>
                <w:rFonts w:ascii="Calibri" w:cs="Calibri" w:eastAsia="Calibri" w:hAnsi="Calibri"/>
                <w:i/>
                <w:iCs/>
                <w:sz w:val="14"/>
                <w:szCs w:val="14"/>
              </w:rPr>
              <w:t xml:space="preserve">In the core moments of the process, what happens?</w:t>
            </w:r>
          </w:p>
        </w:tc>
        <w:tc>
          <w:tcPr>
            <w:tcW w:type="dxa" w:w="2498"/>
            <w:tcBorders>
              <w:top w:val="single" w:color="000000" w:sz="4"/>
              <w:left w:val="single" w:color="000000" w:sz="4"/>
              <w:bottom w:val="single" w:color="000000" w:sz="4"/>
              <w:right w:val="single" w:color="000000" w:sz="4"/>
            </w:tcBorders>
            <w:shd w:fill="D9E4F5" w:color="auto" w:val="clear"/>
            <w:tcMar>
              <w:top w:type="dxa" w:w="90"/>
              <w:left w:type="dxa" w:w="90"/>
              <w:bottom w:type="dxa" w:w="90"/>
              <w:right w:type="dxa" w:w="90"/>
            </w:tcMar>
          </w:tcPr>
          <w:p>
            <w:pPr>
              <w:spacing w:after="40"/>
              <w:jc w:val="center"/>
            </w:pPr>
            <w:r>
              <w:rPr>
                <w:rFonts w:ascii="Calibri" w:cs="Calibri" w:eastAsia="Calibri" w:hAnsi="Calibri"/>
                <w:b/>
                <w:bCs/>
                <w:sz w:val="21"/>
                <w:szCs w:val="21"/>
              </w:rPr>
              <w:t xml:space="preserve">Exit</w:t>
            </w:r>
          </w:p>
          <w:p>
            <w:pPr>
              <w:jc w:val="center"/>
            </w:pPr>
            <w:r>
              <w:rPr>
                <w:rFonts w:ascii="Calibri" w:cs="Calibri" w:eastAsia="Calibri" w:hAnsi="Calibri"/>
                <w:i/>
                <w:iCs/>
                <w:sz w:val="14"/>
                <w:szCs w:val="14"/>
              </w:rPr>
              <w:t xml:space="preserve">What does the student typically experience as the process finishes?</w:t>
            </w:r>
          </w:p>
        </w:tc>
        <w:tc>
          <w:tcPr>
            <w:tcW w:type="dxa" w:w="2498"/>
            <w:tcBorders>
              <w:top w:val="single" w:color="000000" w:sz="4"/>
              <w:left w:val="single" w:color="000000" w:sz="4"/>
              <w:bottom w:val="single" w:color="000000" w:sz="4"/>
              <w:right w:val="single" w:color="000000" w:sz="4"/>
            </w:tcBorders>
            <w:shd w:fill="D9E4F5" w:color="auto" w:val="clear"/>
            <w:tcMar>
              <w:top w:type="dxa" w:w="90"/>
              <w:left w:type="dxa" w:w="90"/>
              <w:bottom w:type="dxa" w:w="90"/>
              <w:right w:type="dxa" w:w="90"/>
            </w:tcMar>
          </w:tcPr>
          <w:p>
            <w:pPr>
              <w:spacing w:after="40"/>
              <w:jc w:val="center"/>
            </w:pPr>
            <w:r>
              <w:rPr>
                <w:rFonts w:ascii="Calibri" w:cs="Calibri" w:eastAsia="Calibri" w:hAnsi="Calibri"/>
                <w:b/>
                <w:bCs/>
                <w:sz w:val="21"/>
                <w:szCs w:val="21"/>
              </w:rPr>
              <w:t xml:space="preserve">Extend</w:t>
            </w:r>
          </w:p>
          <w:p>
            <w:pPr>
              <w:jc w:val="center"/>
            </w:pPr>
            <w:r>
              <w:rPr>
                <w:rFonts w:ascii="Calibri" w:cs="Calibri" w:eastAsia="Calibri" w:hAnsi="Calibri"/>
                <w:i/>
                <w:iCs/>
                <w:sz w:val="14"/>
                <w:szCs w:val="14"/>
              </w:rPr>
              <w:t xml:space="preserve">What happens after the experience is over?</w:t>
            </w:r>
          </w:p>
        </w:tc>
      </w:tr>
      <w:tr>
        <w:tc>
          <w:tcPr>
            <w:tcW w:type="dxa" w:w="1550"/>
            <w:tcBorders>
              <w:top w:val="single" w:color="000000" w:sz="4"/>
              <w:left w:val="single" w:color="000000" w:sz="4"/>
              <w:bottom w:val="single" w:color="000000" w:sz="4"/>
              <w:right w:val="single" w:color="000000" w:sz="4"/>
            </w:tcBorders>
            <w:shd w:fill="EDE7F6" w:color="auto" w:val="clear"/>
            <w:tcMar>
              <w:top w:type="dxa" w:w="100"/>
              <w:left w:type="dxa" w:w="110"/>
              <w:bottom w:type="dxa" w:w="100"/>
              <w:right w:type="dxa" w:w="110"/>
            </w:tcMar>
            <w:vAlign w:val="top"/>
          </w:tcPr>
          <w:p>
            <w:pPr>
              <w:spacing w:after="40"/>
            </w:pPr>
            <w:r>
              <w:rPr>
                <w:rFonts w:ascii="Calibri" w:cs="Calibri" w:eastAsia="Calibri" w:hAnsi="Calibri"/>
                <w:b/>
                <w:bCs/>
                <w:sz w:val="19"/>
                <w:szCs w:val="19"/>
              </w:rPr>
              <w:t xml:space="preserve">Steps</w:t>
            </w:r>
          </w:p>
          <w:p>
            <w:r>
              <w:rPr>
                <w:rFonts w:ascii="Calibri" w:cs="Calibri" w:eastAsia="Calibri" w:hAnsi="Calibri"/>
                <w:i/>
                <w:iCs/>
                <w:sz w:val="14"/>
                <w:szCs w:val="14"/>
              </w:rPr>
              <w:t xml:space="preserve">What does the student typically experience?</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Hears about VBCUA from an instructor or course material as a tool for assessing spoken explanations.</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Opens the VBCUA web app.</w:t>
            </w:r>
          </w:p>
          <w:p>
            <w:pPr>
              <w:pStyle w:val="ListParagraph"/>
              <w:numPr>
                <w:ilvl w:val="0"/>
                <w:numId w:val="2"/>
              </w:numPr>
              <w:spacing w:after="60"/>
            </w:pPr>
            <w:r>
              <w:rPr>
                <w:rFonts w:ascii="Calibri" w:cs="Calibri" w:eastAsia="Calibri" w:hAnsi="Calibri"/>
                <w:sz w:val="17"/>
                <w:szCs w:val="17"/>
              </w:rPr>
              <w:t xml:space="preserve">Reviews the sidebar (objectives, supported formats).</w:t>
            </w:r>
          </w:p>
          <w:p>
            <w:pPr>
              <w:pStyle w:val="ListParagraph"/>
              <w:numPr>
                <w:ilvl w:val="0"/>
                <w:numId w:val="2"/>
              </w:numPr>
              <w:spacing w:after="60"/>
            </w:pPr>
            <w:r>
              <w:rPr>
                <w:rFonts w:ascii="Calibri" w:cs="Calibri" w:eastAsia="Calibri" w:hAnsi="Calibri"/>
                <w:sz w:val="17"/>
                <w:szCs w:val="17"/>
              </w:rPr>
              <w:t xml:space="preserve">Records a spoken explanation using a separate device or app.</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Uploads the audio file (WAV/MP3/M4A).</w:t>
            </w:r>
          </w:p>
          <w:p>
            <w:pPr>
              <w:pStyle w:val="ListParagraph"/>
              <w:numPr>
                <w:ilvl w:val="0"/>
                <w:numId w:val="2"/>
              </w:numPr>
              <w:spacing w:after="60"/>
            </w:pPr>
            <w:r>
              <w:rPr>
                <w:rFonts w:ascii="Calibri" w:cs="Calibri" w:eastAsia="Calibri" w:hAnsi="Calibri"/>
                <w:sz w:val="17"/>
                <w:szCs w:val="17"/>
              </w:rPr>
              <w:t xml:space="preserve">Waits while the file is transcribed and analysed.</w:t>
            </w:r>
          </w:p>
          <w:p>
            <w:pPr>
              <w:pStyle w:val="ListParagraph"/>
              <w:numPr>
                <w:ilvl w:val="0"/>
                <w:numId w:val="2"/>
              </w:numPr>
              <w:spacing w:after="60"/>
            </w:pPr>
            <w:r>
              <w:rPr>
                <w:rFonts w:ascii="Calibri" w:cs="Calibri" w:eastAsia="Calibri" w:hAnsi="Calibri"/>
                <w:sz w:val="17"/>
                <w:szCs w:val="17"/>
              </w:rPr>
              <w:t xml:space="preserve">Views the transcript, score, grade, and feedback.</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Reads the written feedback.</w:t>
            </w:r>
          </w:p>
          <w:p>
            <w:pPr>
              <w:pStyle w:val="ListParagraph"/>
              <w:numPr>
                <w:ilvl w:val="0"/>
                <w:numId w:val="2"/>
              </w:numPr>
              <w:spacing w:after="60"/>
            </w:pPr>
            <w:r>
              <w:rPr>
                <w:rFonts w:ascii="Calibri" w:cs="Calibri" w:eastAsia="Calibri" w:hAnsi="Calibri"/>
                <w:sz w:val="17"/>
                <w:szCs w:val="17"/>
              </w:rPr>
              <w:t xml:space="preserve">Downloads the PDF assessment report.</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Re-attempts the explanation to try to improve the score.</w:t>
            </w:r>
          </w:p>
          <w:p>
            <w:pPr>
              <w:pStyle w:val="ListParagraph"/>
              <w:numPr>
                <w:ilvl w:val="0"/>
                <w:numId w:val="2"/>
              </w:numPr>
              <w:spacing w:after="60"/>
            </w:pPr>
            <w:r>
              <w:rPr>
                <w:rFonts w:ascii="Calibri" w:cs="Calibri" w:eastAsia="Calibri" w:hAnsi="Calibri"/>
                <w:sz w:val="17"/>
                <w:szCs w:val="17"/>
              </w:rPr>
              <w:t xml:space="preserve">Shares the PDF report with an instructor outside the app.</w:t>
            </w:r>
          </w:p>
        </w:tc>
      </w:tr>
      <w:tr>
        <w:tc>
          <w:tcPr>
            <w:tcW w:type="dxa" w:w="1550"/>
            <w:tcBorders>
              <w:top w:val="single" w:color="000000" w:sz="4"/>
              <w:left w:val="single" w:color="000000" w:sz="4"/>
              <w:bottom w:val="single" w:color="000000" w:sz="4"/>
              <w:right w:val="single" w:color="000000" w:sz="4"/>
            </w:tcBorders>
            <w:shd w:fill="DBEAFE" w:color="auto" w:val="clear"/>
            <w:tcMar>
              <w:top w:type="dxa" w:w="100"/>
              <w:left w:type="dxa" w:w="110"/>
              <w:bottom w:type="dxa" w:w="100"/>
              <w:right w:type="dxa" w:w="110"/>
            </w:tcMar>
            <w:vAlign w:val="top"/>
          </w:tcPr>
          <w:p>
            <w:pPr>
              <w:spacing w:after="40"/>
            </w:pPr>
            <w:r>
              <w:rPr>
                <w:rFonts w:ascii="Calibri" w:cs="Calibri" w:eastAsia="Calibri" w:hAnsi="Calibri"/>
                <w:b/>
                <w:bCs/>
                <w:sz w:val="19"/>
                <w:szCs w:val="19"/>
              </w:rPr>
              <w:t xml:space="preserve">Interactions</w:t>
            </w:r>
          </w:p>
          <w:p>
            <w:r>
              <w:rPr>
                <w:rFonts w:ascii="Calibri" w:cs="Calibri" w:eastAsia="Calibri" w:hAnsi="Calibri"/>
                <w:i/>
                <w:iCs/>
                <w:sz w:val="14"/>
                <w:szCs w:val="14"/>
              </w:rPr>
              <w:t xml:space="preserve">People / Places / Things involved at each step.</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Instructor announcement or course syllabus mention.</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Streamlit web interface (main page and sidebar).</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File uploader widget; Whisper transcription (backend); Sentence Transformer similarity computation (backend); results panel (metric, grade badge, feedback).</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Feedback panel; “Download PDF Report” button.</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Re-upload workflow within the same session; email or LMS used to share the PDF outside the app.</w:t>
            </w:r>
          </w:p>
        </w:tc>
      </w:tr>
      <w:tr>
        <w:tc>
          <w:tcPr>
            <w:tcW w:type="dxa" w:w="1550"/>
            <w:tcBorders>
              <w:top w:val="single" w:color="000000" w:sz="4"/>
              <w:left w:val="single" w:color="000000" w:sz="4"/>
              <w:bottom w:val="single" w:color="000000" w:sz="4"/>
              <w:right w:val="single" w:color="000000" w:sz="4"/>
            </w:tcBorders>
            <w:shd w:fill="FEF3C7" w:color="auto" w:val="clear"/>
            <w:tcMar>
              <w:top w:type="dxa" w:w="100"/>
              <w:left w:type="dxa" w:w="110"/>
              <w:bottom w:type="dxa" w:w="100"/>
              <w:right w:type="dxa" w:w="110"/>
            </w:tcMar>
            <w:vAlign w:val="top"/>
          </w:tcPr>
          <w:p>
            <w:pPr>
              <w:spacing w:after="40"/>
            </w:pPr>
            <w:r>
              <w:rPr>
                <w:rFonts w:ascii="Calibri" w:cs="Calibri" w:eastAsia="Calibri" w:hAnsi="Calibri"/>
                <w:b/>
                <w:bCs/>
                <w:sz w:val="19"/>
                <w:szCs w:val="19"/>
              </w:rPr>
              <w:t xml:space="preserve">Goals &amp; Motivations</w:t>
            </w:r>
          </w:p>
          <w:p>
            <w:r>
              <w:rPr>
                <w:rFonts w:ascii="Calibri" w:cs="Calibri" w:eastAsia="Calibri" w:hAnsi="Calibri"/>
                <w:i/>
                <w:iCs/>
                <w:sz w:val="14"/>
                <w:szCs w:val="14"/>
              </w:rPr>
              <w:t xml:space="preserve">“Help me…” or “Help me avoid…”</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Help me understand what this tool is for and whether it affects my grade.</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Help me know what audio format I need and that I'm using the tool correctly.</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Help me confirm my file uploaded correctly.</w:t>
            </w:r>
          </w:p>
          <w:p>
            <w:pPr>
              <w:pStyle w:val="ListParagraph"/>
              <w:numPr>
                <w:ilvl w:val="0"/>
                <w:numId w:val="2"/>
              </w:numPr>
              <w:spacing w:after="60"/>
            </w:pPr>
            <w:r>
              <w:rPr>
                <w:rFonts w:ascii="Calibri" w:cs="Calibri" w:eastAsia="Calibri" w:hAnsi="Calibri"/>
                <w:sz w:val="17"/>
                <w:szCs w:val="17"/>
              </w:rPr>
              <w:t xml:space="preserve">Help me see clearly what I actually said.</w:t>
            </w:r>
          </w:p>
          <w:p>
            <w:pPr>
              <w:pStyle w:val="ListParagraph"/>
              <w:numPr>
                <w:ilvl w:val="0"/>
                <w:numId w:val="2"/>
              </w:numPr>
              <w:spacing w:after="60"/>
            </w:pPr>
            <w:r>
              <w:rPr>
                <w:rFonts w:ascii="Calibri" w:cs="Calibri" w:eastAsia="Calibri" w:hAnsi="Calibri"/>
                <w:sz w:val="17"/>
                <w:szCs w:val="17"/>
              </w:rPr>
              <w:t xml:space="preserve">Help me understand how well I explained the concept.</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Help me keep a record of this attempt.</w:t>
            </w:r>
          </w:p>
          <w:p>
            <w:pPr>
              <w:pStyle w:val="ListParagraph"/>
              <w:numPr>
                <w:ilvl w:val="0"/>
                <w:numId w:val="2"/>
              </w:numPr>
              <w:spacing w:after="60"/>
            </w:pPr>
            <w:r>
              <w:rPr>
                <w:rFonts w:ascii="Calibri" w:cs="Calibri" w:eastAsia="Calibri" w:hAnsi="Calibri"/>
                <w:sz w:val="17"/>
                <w:szCs w:val="17"/>
              </w:rPr>
              <w:t xml:space="preserve">Help me know what to do next if my score was low.</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Help me improve my understanding before the real assessment.</w:t>
            </w:r>
          </w:p>
          <w:p>
            <w:pPr>
              <w:pStyle w:val="ListParagraph"/>
              <w:numPr>
                <w:ilvl w:val="0"/>
                <w:numId w:val="2"/>
              </w:numPr>
              <w:spacing w:after="60"/>
            </w:pPr>
            <w:r>
              <w:rPr>
                <w:rFonts w:ascii="Calibri" w:cs="Calibri" w:eastAsia="Calibri" w:hAnsi="Calibri"/>
                <w:sz w:val="17"/>
                <w:szCs w:val="17"/>
              </w:rPr>
              <w:t xml:space="preserve">Help me show my instructor my progress.</w:t>
            </w:r>
          </w:p>
        </w:tc>
      </w:tr>
      <w:tr>
        <w:tc>
          <w:tcPr>
            <w:tcW w:type="dxa" w:w="1550"/>
            <w:tcBorders>
              <w:top w:val="single" w:color="000000" w:sz="4"/>
              <w:left w:val="single" w:color="000000" w:sz="4"/>
              <w:bottom w:val="single" w:color="000000" w:sz="4"/>
              <w:right w:val="single" w:color="000000" w:sz="4"/>
            </w:tcBorders>
            <w:shd w:fill="DCFCE7" w:color="auto" w:val="clear"/>
            <w:tcMar>
              <w:top w:type="dxa" w:w="100"/>
              <w:left w:type="dxa" w:w="110"/>
              <w:bottom w:type="dxa" w:w="100"/>
              <w:right w:type="dxa" w:w="110"/>
            </w:tcMar>
            <w:vAlign w:val="top"/>
          </w:tcPr>
          <w:p>
            <w:pPr>
              <w:spacing w:after="40"/>
            </w:pPr>
            <w:r>
              <w:rPr>
                <w:rFonts w:ascii="Calibri" w:cs="Calibri" w:eastAsia="Calibri" w:hAnsi="Calibri"/>
                <w:b/>
                <w:bCs/>
                <w:sz w:val="19"/>
                <w:szCs w:val="19"/>
              </w:rPr>
              <w:t xml:space="preserve">Positive Moments</w:t>
            </w:r>
          </w:p>
          <w:p>
            <w:r>
              <w:rPr>
                <w:rFonts w:ascii="Calibri" w:cs="Calibri" w:eastAsia="Calibri" w:hAnsi="Calibri"/>
                <w:i/>
                <w:iCs/>
                <w:sz w:val="14"/>
                <w:szCs w:val="14"/>
              </w:rPr>
              <w:t xml:space="preserve">What does the student find enjoyable, motivating, or reassuring?</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Curiosity about a new, more active way to demonstrate understanding.</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The upload interface is clean, simple, and clearly labelled.</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An objective percentage score and grade feel concrete and fair.</w:t>
            </w:r>
          </w:p>
          <w:p>
            <w:pPr>
              <w:pStyle w:val="ListParagraph"/>
              <w:numPr>
                <w:ilvl w:val="0"/>
                <w:numId w:val="2"/>
              </w:numPr>
              <w:spacing w:after="60"/>
            </w:pPr>
            <w:r>
              <w:rPr>
                <w:rFonts w:ascii="Calibri" w:cs="Calibri" w:eastAsia="Calibri" w:hAnsi="Calibri"/>
                <w:sz w:val="17"/>
                <w:szCs w:val="17"/>
              </w:rPr>
              <w:t xml:space="preserve">Feedback text explains the grade in plain language.</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A downloadable, well-formatted PDF gives a tangible takeaway.</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Being able to retry immediately builds confidence.</w:t>
            </w:r>
          </w:p>
        </w:tc>
      </w:tr>
      <w:tr>
        <w:tc>
          <w:tcPr>
            <w:tcW w:type="dxa" w:w="1550"/>
            <w:tcBorders>
              <w:top w:val="single" w:color="000000" w:sz="4"/>
              <w:left w:val="single" w:color="000000" w:sz="4"/>
              <w:bottom w:val="single" w:color="000000" w:sz="4"/>
              <w:right w:val="single" w:color="000000" w:sz="4"/>
            </w:tcBorders>
            <w:shd w:fill="FEE2E2" w:color="auto" w:val="clear"/>
            <w:tcMar>
              <w:top w:type="dxa" w:w="100"/>
              <w:left w:type="dxa" w:w="110"/>
              <w:bottom w:type="dxa" w:w="100"/>
              <w:right w:type="dxa" w:w="110"/>
            </w:tcMar>
            <w:vAlign w:val="top"/>
          </w:tcPr>
          <w:p>
            <w:pPr>
              <w:spacing w:after="40"/>
            </w:pPr>
            <w:r>
              <w:rPr>
                <w:rFonts w:ascii="Calibri" w:cs="Calibri" w:eastAsia="Calibri" w:hAnsi="Calibri"/>
                <w:b/>
                <w:bCs/>
                <w:sz w:val="19"/>
                <w:szCs w:val="19"/>
              </w:rPr>
              <w:t xml:space="preserve">Negative Moments</w:t>
            </w:r>
          </w:p>
          <w:p>
            <w:r>
              <w:rPr>
                <w:rFonts w:ascii="Calibri" w:cs="Calibri" w:eastAsia="Calibri" w:hAnsi="Calibri"/>
                <w:i/>
                <w:iCs/>
                <w:sz w:val="14"/>
                <w:szCs w:val="14"/>
              </w:rPr>
              <w:t xml:space="preserve">What does the student find frustrating, confusing, or time-consuming?</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Uncertainty about how the audio evaluation actually works; some anxiety about being assessed by an automated tool.</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No built-in microphone recording, so audio must be recorded separately before uploading.</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No progress indicator during transcription and analysis, so the app can feel stalled.</w:t>
            </w:r>
          </w:p>
          <w:p>
            <w:pPr>
              <w:pStyle w:val="ListParagraph"/>
              <w:numPr>
                <w:ilvl w:val="0"/>
                <w:numId w:val="2"/>
              </w:numPr>
              <w:spacing w:after="60"/>
            </w:pPr>
            <w:r>
              <w:rPr>
                <w:rFonts w:ascii="Calibri" w:cs="Calibri" w:eastAsia="Calibri" w:hAnsi="Calibri"/>
                <w:sz w:val="17"/>
                <w:szCs w:val="17"/>
              </w:rPr>
              <w:t xml:space="preserve">A poor-quality recording can lead to transcription errors.</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Generic feedback text gives little concrete guidance for a low score.</w:t>
            </w:r>
          </w:p>
          <w:p>
            <w:pPr>
              <w:pStyle w:val="ListParagraph"/>
              <w:numPr>
                <w:ilvl w:val="0"/>
                <w:numId w:val="2"/>
              </w:numPr>
              <w:spacing w:after="60"/>
            </w:pPr>
            <w:r>
              <w:rPr>
                <w:rFonts w:ascii="Calibri" w:cs="Calibri" w:eastAsia="Calibri" w:hAnsi="Calibri"/>
                <w:sz w:val="17"/>
                <w:szCs w:val="17"/>
              </w:rPr>
              <w:t xml:space="preserve">No report history; the PDF is only available within the current session.</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No score history or trend view, so the student cannot easily see improvement across attempts.</w:t>
            </w:r>
          </w:p>
        </w:tc>
      </w:tr>
      <w:tr>
        <w:tc>
          <w:tcPr>
            <w:tcW w:type="dxa" w:w="1550"/>
            <w:tcBorders>
              <w:top w:val="single" w:color="000000" w:sz="4"/>
              <w:left w:val="single" w:color="000000" w:sz="4"/>
              <w:bottom w:val="single" w:color="000000" w:sz="4"/>
              <w:right w:val="single" w:color="000000" w:sz="4"/>
            </w:tcBorders>
            <w:shd w:fill="FEF9C3" w:color="auto" w:val="clear"/>
            <w:tcMar>
              <w:top w:type="dxa" w:w="100"/>
              <w:left w:type="dxa" w:w="110"/>
              <w:bottom w:type="dxa" w:w="100"/>
              <w:right w:type="dxa" w:w="110"/>
            </w:tcMar>
            <w:vAlign w:val="top"/>
          </w:tcPr>
          <w:p>
            <w:pPr>
              <w:spacing w:after="40"/>
            </w:pPr>
            <w:r>
              <w:rPr>
                <w:rFonts w:ascii="Calibri" w:cs="Calibri" w:eastAsia="Calibri" w:hAnsi="Calibri"/>
                <w:b/>
                <w:bCs/>
                <w:sz w:val="19"/>
                <w:szCs w:val="19"/>
              </w:rPr>
              <w:t xml:space="preserve">Areas of Opportunity</w:t>
            </w:r>
          </w:p>
          <w:p>
            <w:r>
              <w:rPr>
                <w:rFonts w:ascii="Calibri" w:cs="Calibri" w:eastAsia="Calibri" w:hAnsi="Calibri"/>
                <w:i/>
                <w:iCs/>
                <w:sz w:val="14"/>
                <w:szCs w:val="14"/>
              </w:rPr>
              <w:t xml:space="preserve">How might we make each step better?</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Provide a short in-app walkthrough or sample explanation the first time the app is opened.</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Add real-time, in-browser microphone recording to remove the separate recording step (future scope).</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Add a visible progress indicator during transcription and analysis.</w:t>
            </w:r>
          </w:p>
          <w:p>
            <w:pPr>
              <w:pStyle w:val="ListParagraph"/>
              <w:numPr>
                <w:ilvl w:val="0"/>
                <w:numId w:val="2"/>
              </w:numPr>
              <w:spacing w:after="60"/>
            </w:pPr>
            <w:r>
              <w:rPr>
                <w:rFonts w:ascii="Calibri" w:cs="Calibri" w:eastAsia="Calibri" w:hAnsi="Calibri"/>
                <w:sz w:val="17"/>
                <w:szCs w:val="17"/>
              </w:rPr>
              <w:t xml:space="preserve">Flag low-confidence transcriptions and prompt the student to re-record.</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Provide concrete suggested next actions for each grade tier.</w:t>
            </w:r>
          </w:p>
          <w:p>
            <w:pPr>
              <w:pStyle w:val="ListParagraph"/>
              <w:numPr>
                <w:ilvl w:val="0"/>
                <w:numId w:val="2"/>
              </w:numPr>
              <w:spacing w:after="60"/>
            </w:pPr>
            <w:r>
              <w:rPr>
                <w:rFonts w:ascii="Calibri" w:cs="Calibri" w:eastAsia="Calibri" w:hAnsi="Calibri"/>
                <w:sz w:val="17"/>
                <w:szCs w:val="17"/>
              </w:rPr>
              <w:t xml:space="preserve">Persist report history across sessions.</w:t>
            </w:r>
          </w:p>
        </w:tc>
        <w:tc>
          <w:tcPr>
            <w:tcW w:type="dxa" w:w="2498"/>
            <w:tcBorders>
              <w:top w:val="single" w:color="000000" w:sz="4"/>
              <w:left w:val="single" w:color="000000" w:sz="4"/>
              <w:bottom w:val="single" w:color="000000" w:sz="4"/>
              <w:right w:val="single" w:color="000000" w:sz="4"/>
            </w:tcBorders>
            <w:tcMar>
              <w:top w:type="dxa" w:w="100"/>
              <w:left w:type="dxa" w:w="130"/>
              <w:bottom w:type="dxa" w:w="100"/>
              <w:right w:type="dxa" w:w="110"/>
            </w:tcMar>
            <w:vAlign w:val="top"/>
          </w:tcPr>
          <w:p>
            <w:pPr>
              <w:pStyle w:val="ListParagraph"/>
              <w:numPr>
                <w:ilvl w:val="0"/>
                <w:numId w:val="2"/>
              </w:numPr>
              <w:spacing w:after="60"/>
            </w:pPr>
            <w:r>
              <w:rPr>
                <w:rFonts w:ascii="Calibri" w:cs="Calibri" w:eastAsia="Calibri" w:hAnsi="Calibri"/>
                <w:sz w:val="17"/>
                <w:szCs w:val="17"/>
              </w:rPr>
              <w:t xml:space="preserve">Add a student performance dashboard / score history to visualise improvement across attempts (future scope).</w:t>
            </w:r>
          </w:p>
        </w:tc>
      </w:tr>
    </w:tbl>
    <w:sectPr>
      <w:pgSz w:w="15840" w:h="122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15"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2026-07-13T02:26:37.202Z</dcterms:created>
  <dcterms:modified xsi:type="dcterms:W3CDTF">2026-07-13T02:26:37.202Z</dcterms:modified>
</cp:coreProperties>
</file>

<file path=docProps/custom.xml><?xml version="1.0" encoding="utf-8"?>
<Properties xmlns="http://schemas.openxmlformats.org/officeDocument/2006/custom-properties" xmlns:vt="http://schemas.openxmlformats.org/officeDocument/2006/docPropsVTypes"/>
</file>