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8"/>
          <w:szCs w:val="28"/>
        </w:rPr>
        <w:t xml:space="preserve">Project Design Phase-II</w:t>
      </w:r>
    </w:p>
    <w:p>
      <w:pPr>
        <w:spacing w:after="200"/>
        <w:jc w:val="center"/>
      </w:pPr>
      <w:r>
        <w:rPr>
          <w:rFonts w:ascii="Calibri" w:cs="Calibri" w:eastAsia="Calibri" w:hAnsi="Calibri"/>
          <w:b/>
          <w:bCs/>
          <w:sz w:val="28"/>
          <w:szCs w:val="28"/>
        </w:rPr>
        <w:t xml:space="preserve">Technology Stack (Architecture &amp;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20"/>
                <w:szCs w:val="20"/>
              </w:rPr>
              <w:t xml:space="preserve">Date</w:t>
            </w:r>
          </w:p>
        </w:tc>
        <w:tc>
          <w:tcPr>
            <w:tcW w:type="dxa" w:w="688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20"/>
                <w:szCs w:val="20"/>
              </w:rPr>
              <w:t xml:space="preserve">13 July 2026</w:t>
            </w:r>
          </w:p>
        </w:tc>
      </w:tr>
      <w:tr>
        <w:tc>
          <w:tcPr>
            <w:tcW w:type="dxa" w:w="32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20"/>
                <w:szCs w:val="20"/>
              </w:rPr>
              <w:t xml:space="preserve">Team ID</w:t>
            </w:r>
          </w:p>
        </w:tc>
        <w:tc>
          <w:tcPr>
            <w:tcW w:type="dxa" w:w="688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20"/>
                <w:szCs w:val="20"/>
              </w:rPr>
              <w:t xml:space="preserve"/>
            </w:r>
          </w:p>
        </w:tc>
      </w:tr>
      <w:tr>
        <w:tc>
          <w:tcPr>
            <w:tcW w:type="dxa" w:w="32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20"/>
                <w:szCs w:val="20"/>
              </w:rPr>
              <w:t xml:space="preserve">Project Name</w:t>
            </w:r>
          </w:p>
        </w:tc>
        <w:tc>
          <w:tcPr>
            <w:tcW w:type="dxa" w:w="688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20"/>
                <w:szCs w:val="20"/>
              </w:rPr>
              <w:t xml:space="preserve">Voice-Based Concept Understanding Analyzer (VBCUA)</w:t>
            </w:r>
          </w:p>
        </w:tc>
      </w:tr>
      <w:tr>
        <w:tc>
          <w:tcPr>
            <w:tcW w:type="dxa" w:w="32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20"/>
                <w:szCs w:val="20"/>
              </w:rPr>
              <w:t xml:space="preserve">Maximum Marks</w:t>
            </w:r>
          </w:p>
        </w:tc>
        <w:tc>
          <w:tcPr>
            <w:tcW w:type="dxa" w:w="688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20"/>
                <w:szCs w:val="20"/>
              </w:rPr>
              <w:t xml:space="preserve">4 Marks</w:t>
            </w:r>
          </w:p>
        </w:tc>
      </w:tr>
    </w:tbl>
    <w:p>
      <w:pPr>
        <w:spacing w:after="100" w:before="260"/>
      </w:pPr>
      <w:r>
        <w:rPr>
          <w:rFonts w:ascii="Calibri" w:cs="Calibri" w:eastAsia="Calibri" w:hAnsi="Calibri"/>
          <w:b/>
          <w:bCs/>
          <w:sz w:val="24"/>
          <w:szCs w:val="24"/>
        </w:rPr>
        <w:t xml:space="preserve">Technical Architecture:</w:t>
      </w:r>
    </w:p>
    <w:p>
      <w:pPr>
        <w:spacing w:after="160"/>
      </w:pPr>
      <w:r>
        <w:rPr>
          <w:rFonts w:ascii="Calibri" w:cs="Calibri" w:eastAsia="Calibri" w:hAnsi="Calibri"/>
          <w:b w:val="false"/>
          <w:bCs w:val="false"/>
          <w:sz w:val="21"/>
          <w:szCs w:val="21"/>
        </w:rPr>
        <w:t xml:space="preserve">The deliverable below includes the architectural diagram of the implemented system, followed by the component and characteristic details in Table 1 and Table 2.</w:t>
      </w:r>
    </w:p>
    <w:p>
      <w:pPr>
        <w:spacing w:after="200"/>
      </w:pPr>
      <w:r>
        <w:rPr>
          <w:rFonts w:ascii="Calibri" w:cs="Calibri" w:eastAsia="Calibri" w:hAnsi="Calibri"/>
          <w:b/>
          <w:bCs/>
          <w:sz w:val="21"/>
          <w:szCs w:val="21"/>
        </w:rPr>
        <w:t xml:space="preserve">Application: Voice-Based Concept Understanding Analyzer (VBCUA) — local, single-process deployment.</w:t>
      </w:r>
    </w:p>
    <w:p>
      <w:pPr>
        <w:spacing w:after="80" w:before="120"/>
        <w:jc w:val="center"/>
      </w:pPr>
      <w:r>
        <w:drawing>
          <wp:inline distT="0" distB="0" distL="0" distR="0">
            <wp:extent cx="4800600" cy="29065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00600" cy="2906554"/>
                    </a:xfrm>
                    <a:prstGeom prst="rect">
                      <a:avLst/>
                    </a:prstGeom>
                  </pic:spPr>
                </pic:pic>
              </a:graphicData>
            </a:graphic>
          </wp:inline>
        </w:drawing>
      </w:r>
    </w:p>
    <w:p>
      <w:pPr>
        <w:spacing w:after="220"/>
        <w:jc w:val="center"/>
      </w:pPr>
      <w:r>
        <w:rPr>
          <w:rFonts w:ascii="Calibri" w:cs="Calibri" w:eastAsia="Calibri" w:hAnsi="Calibri"/>
          <w:i/>
          <w:iCs/>
          <w:sz w:val="19"/>
          <w:szCs w:val="19"/>
        </w:rPr>
        <w:t xml:space="preserve">Figure 1: VBCUA Technical Architecture (Local, Single-Process Deployment)</w:t>
      </w:r>
    </w:p>
    <w:p>
      <w:pPr>
        <w:spacing w:after="100" w:before="260"/>
      </w:pPr>
      <w:r>
        <w:rPr>
          <w:rFonts w:ascii="Calibri" w:cs="Calibri" w:eastAsia="Calibri" w:hAnsi="Calibri"/>
          <w:b/>
          <w:bCs/>
          <w:sz w:val="24"/>
          <w:szCs w:val="24"/>
        </w:rPr>
        <w:t xml:space="preserve">Table-1: Components &amp; Technologies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3600"/>
        <w:gridCol w:w="3720"/>
      </w:tblGrid>
      <w:tr>
        <w:trPr>
          <w:tblHeader/>
        </w:trPr>
        <w:tc>
          <w:tcPr>
            <w:tcW w:type="dxa" w:w="560"/>
            <w:tcBorders>
              <w:top w:val="single" w:color="000000" w:sz="4"/>
              <w:left w:val="single" w:color="000000" w:sz="4"/>
              <w:bottom w:val="single" w:color="000000" w:sz="4"/>
              <w:right w:val="single" w:color="000000" w:sz="4"/>
            </w:tcBorders>
            <w:shd w:fill="D9E4F5" w:color="auto" w:val="clear"/>
            <w:tcMar>
              <w:top w:type="dxa" w:w="90"/>
              <w:left w:type="dxa" w:w="100"/>
              <w:bottom w:type="dxa" w:w="90"/>
              <w:right w:type="dxa" w:w="100"/>
            </w:tcMar>
            <w:vAlign w:val="center"/>
          </w:tcPr>
          <w:p>
            <w:pPr>
              <w:jc w:val="center"/>
            </w:pPr>
            <w:r>
              <w:rPr>
                <w:rFonts w:ascii="Calibri" w:cs="Calibri" w:eastAsia="Calibri" w:hAnsi="Calibri"/>
                <w:b/>
                <w:bCs/>
                <w:sz w:val="20"/>
                <w:szCs w:val="20"/>
              </w:rPr>
              <w:t xml:space="preserve">S.No</w:t>
            </w:r>
          </w:p>
        </w:tc>
        <w:tc>
          <w:tcPr>
            <w:tcW w:type="dxa" w:w="2200"/>
            <w:tcBorders>
              <w:top w:val="single" w:color="000000" w:sz="4"/>
              <w:left w:val="single" w:color="000000" w:sz="4"/>
              <w:bottom w:val="single" w:color="000000" w:sz="4"/>
              <w:right w:val="single" w:color="000000" w:sz="4"/>
            </w:tcBorders>
            <w:shd w:fill="D9E4F5" w:color="auto" w:val="clear"/>
            <w:tcMar>
              <w:top w:type="dxa" w:w="90"/>
              <w:left w:type="dxa" w:w="100"/>
              <w:bottom w:type="dxa" w:w="90"/>
              <w:right w:type="dxa" w:w="100"/>
            </w:tcMar>
            <w:vAlign w:val="center"/>
          </w:tcPr>
          <w:p>
            <w:pPr>
              <w:jc w:val="center"/>
            </w:pPr>
            <w:r>
              <w:rPr>
                <w:rFonts w:ascii="Calibri" w:cs="Calibri" w:eastAsia="Calibri" w:hAnsi="Calibri"/>
                <w:b/>
                <w:bCs/>
                <w:sz w:val="20"/>
                <w:szCs w:val="20"/>
              </w:rPr>
              <w:t xml:space="preserve">Component</w:t>
            </w:r>
          </w:p>
        </w:tc>
        <w:tc>
          <w:tcPr>
            <w:tcW w:type="dxa" w:w="3600"/>
            <w:tcBorders>
              <w:top w:val="single" w:color="000000" w:sz="4"/>
              <w:left w:val="single" w:color="000000" w:sz="4"/>
              <w:bottom w:val="single" w:color="000000" w:sz="4"/>
              <w:right w:val="single" w:color="000000" w:sz="4"/>
            </w:tcBorders>
            <w:shd w:fill="D9E4F5" w:color="auto" w:val="clear"/>
            <w:tcMar>
              <w:top w:type="dxa" w:w="90"/>
              <w:left w:type="dxa" w:w="100"/>
              <w:bottom w:type="dxa" w:w="90"/>
              <w:right w:type="dxa" w:w="100"/>
            </w:tcMar>
            <w:vAlign w:val="center"/>
          </w:tcPr>
          <w:p>
            <w:pPr>
              <w:jc w:val="center"/>
            </w:pPr>
            <w:r>
              <w:rPr>
                <w:rFonts w:ascii="Calibri" w:cs="Calibri" w:eastAsia="Calibri" w:hAnsi="Calibri"/>
                <w:b/>
                <w:bCs/>
                <w:sz w:val="20"/>
                <w:szCs w:val="20"/>
              </w:rPr>
              <w:t xml:space="preserve">Description</w:t>
            </w:r>
          </w:p>
        </w:tc>
        <w:tc>
          <w:tcPr>
            <w:tcW w:type="dxa" w:w="3720"/>
            <w:tcBorders>
              <w:top w:val="single" w:color="000000" w:sz="4"/>
              <w:left w:val="single" w:color="000000" w:sz="4"/>
              <w:bottom w:val="single" w:color="000000" w:sz="4"/>
              <w:right w:val="single" w:color="000000" w:sz="4"/>
            </w:tcBorders>
            <w:shd w:fill="D9E4F5" w:color="auto" w:val="clear"/>
            <w:tcMar>
              <w:top w:type="dxa" w:w="90"/>
              <w:left w:type="dxa" w:w="100"/>
              <w:bottom w:type="dxa" w:w="90"/>
              <w:right w:type="dxa" w:w="100"/>
            </w:tcMar>
            <w:vAlign w:val="center"/>
          </w:tcPr>
          <w:p>
            <w:pPr>
              <w:jc w:val="center"/>
            </w:pPr>
            <w:r>
              <w:rPr>
                <w:rFonts w:ascii="Calibri" w:cs="Calibri" w:eastAsia="Calibri" w:hAnsi="Calibri"/>
                <w:b/>
                <w:bCs/>
                <w:sz w:val="20"/>
                <w:szCs w:val="20"/>
              </w:rPr>
              <w:t xml:space="preserve">Technology</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1.</w:t>
            </w:r>
          </w:p>
        </w:tc>
        <w:tc>
          <w:tcPr>
            <w:tcW w:type="dxa" w:w="22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User Interface</w:t>
            </w:r>
          </w:p>
        </w:tc>
        <w:tc>
          <w:tcPr>
            <w:tcW w:type="dxa" w:w="36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How the user interacts with the application: uploading an audio file and viewing the transcript, score, grade, feedback, and report.</w:t>
            </w:r>
          </w:p>
        </w:tc>
        <w:tc>
          <w:tcPr>
            <w:tcW w:type="dxa" w:w="372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Streamlit (Python-based web UI framework)</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2.</w:t>
            </w:r>
          </w:p>
        </w:tc>
        <w:tc>
          <w:tcPr>
            <w:tcW w:type="dxa" w:w="22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Application Logic-1</w:t>
            </w:r>
          </w:p>
        </w:tc>
        <w:tc>
          <w:tcPr>
            <w:tcW w:type="dxa" w:w="36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Converts the uploaded spoken response into text.</w:t>
            </w:r>
          </w:p>
        </w:tc>
        <w:tc>
          <w:tcPr>
            <w:tcW w:type="dxa" w:w="372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OpenAI Whisper (“base” model)</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3.</w:t>
            </w:r>
          </w:p>
        </w:tc>
        <w:tc>
          <w:tcPr>
            <w:tcW w:type="dxa" w:w="22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Application Logic-2</w:t>
            </w:r>
          </w:p>
        </w:tc>
        <w:tc>
          <w:tcPr>
            <w:tcW w:type="dxa" w:w="36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Compares the transcript with the reference answer to compute a semantic similarity score.</w:t>
            </w:r>
          </w:p>
        </w:tc>
        <w:tc>
          <w:tcPr>
            <w:tcW w:type="dxa" w:w="372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Sentence Transformers (all-MiniLM-L6-v2), PyTorch</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4.</w:t>
            </w:r>
          </w:p>
        </w:tc>
        <w:tc>
          <w:tcPr>
            <w:tcW w:type="dxa" w:w="22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Application Logic-3</w:t>
            </w:r>
          </w:p>
        </w:tc>
        <w:tc>
          <w:tcPr>
            <w:tcW w:type="dxa" w:w="36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Converts the similarity score into a percentage, assigns a grade tier, and generates feedback text.</w:t>
            </w:r>
          </w:p>
        </w:tc>
        <w:tc>
          <w:tcPr>
            <w:tcW w:type="dxa" w:w="372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Python (rule-based scoring logic in concept_scorer.py)</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5.</w:t>
            </w:r>
          </w:p>
        </w:tc>
        <w:tc>
          <w:tcPr>
            <w:tcW w:type="dxa" w:w="22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Database</w:t>
            </w:r>
          </w:p>
        </w:tc>
        <w:tc>
          <w:tcPr>
            <w:tcW w:type="dxa" w:w="36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Not implemented in the current version. The application does not use a relational or NoSQL database; only in-memory Streamlit session state is used during a session.</w:t>
            </w:r>
          </w:p>
        </w:tc>
        <w:tc>
          <w:tcPr>
            <w:tcW w:type="dxa" w:w="372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Not Applicable</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6.</w:t>
            </w:r>
          </w:p>
        </w:tc>
        <w:tc>
          <w:tcPr>
            <w:tcW w:type="dxa" w:w="22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Cloud Database</w:t>
            </w:r>
          </w:p>
        </w:tc>
        <w:tc>
          <w:tcPr>
            <w:tcW w:type="dxa" w:w="36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Not implemented in the current version. No cloud-hosted database service is used.</w:t>
            </w:r>
          </w:p>
        </w:tc>
        <w:tc>
          <w:tcPr>
            <w:tcW w:type="dxa" w:w="372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Not Applicable</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7.</w:t>
            </w:r>
          </w:p>
        </w:tc>
        <w:tc>
          <w:tcPr>
            <w:tcW w:type="dxa" w:w="22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File Storage</w:t>
            </w:r>
          </w:p>
        </w:tc>
        <w:tc>
          <w:tcPr>
            <w:tcW w:type="dxa" w:w="36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Storage of uploaded audio files, the reference answer text file, and generated PDF reports.</w:t>
            </w:r>
          </w:p>
        </w:tc>
        <w:tc>
          <w:tcPr>
            <w:tcW w:type="dxa" w:w="372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Local filesystem (data/audio, data/reference_answers, reports/)</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8.</w:t>
            </w:r>
          </w:p>
        </w:tc>
        <w:tc>
          <w:tcPr>
            <w:tcW w:type="dxa" w:w="22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External API-1</w:t>
            </w:r>
          </w:p>
        </w:tc>
        <w:tc>
          <w:tcPr>
            <w:tcW w:type="dxa" w:w="36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Not implemented in the current version. No third-party or cloud AI API is called; Whisper and Sentence Transformers run locally.</w:t>
            </w:r>
          </w:p>
        </w:tc>
        <w:tc>
          <w:tcPr>
            <w:tcW w:type="dxa" w:w="372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Not Applicable</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9.</w:t>
            </w:r>
          </w:p>
        </w:tc>
        <w:tc>
          <w:tcPr>
            <w:tcW w:type="dxa" w:w="22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External API-2</w:t>
            </w:r>
          </w:p>
        </w:tc>
        <w:tc>
          <w:tcPr>
            <w:tcW w:type="dxa" w:w="36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Not implemented in the current version.</w:t>
            </w:r>
          </w:p>
        </w:tc>
        <w:tc>
          <w:tcPr>
            <w:tcW w:type="dxa" w:w="372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Not Applicable</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10.</w:t>
            </w:r>
          </w:p>
        </w:tc>
        <w:tc>
          <w:tcPr>
            <w:tcW w:type="dxa" w:w="22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Machine Learning Model</w:t>
            </w:r>
          </w:p>
        </w:tc>
        <w:tc>
          <w:tcPr>
            <w:tcW w:type="dxa" w:w="36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Automatic speech recognition (audio-to-text) and semantic embedding generation for similarity comparison.</w:t>
            </w:r>
          </w:p>
        </w:tc>
        <w:tc>
          <w:tcPr>
            <w:tcW w:type="dxa" w:w="372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OpenAI Whisper (“base”) and Sentence Transformers (all-MiniLM-L6-v2)</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11.</w:t>
            </w:r>
          </w:p>
        </w:tc>
        <w:tc>
          <w:tcPr>
            <w:tcW w:type="dxa" w:w="22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Infrastructure
(Server / Cloud)</w:t>
            </w:r>
          </w:p>
        </w:tc>
        <w:tc>
          <w:tcPr>
            <w:tcW w:type="dxa" w:w="36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Local Server Configuration: runs as a single local Streamlit process on the developer/user machine (python -m streamlit run app/main.py).
Cloud Server Configuration: not implemented in the current version; cloud deployment is identified as future scope.</w:t>
            </w:r>
          </w:p>
        </w:tc>
        <w:tc>
          <w:tcPr>
            <w:tcW w:type="dxa" w:w="372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Local (Streamlit development server)</w:t>
            </w:r>
          </w:p>
        </w:tc>
      </w:tr>
    </w:tbl>
    <w:p>
      <w:pPr>
        <w:spacing w:after="100" w:before="260"/>
      </w:pPr>
      <w:r>
        <w:rPr>
          <w:rFonts w:ascii="Calibri" w:cs="Calibri" w:eastAsia="Calibri" w:hAnsi="Calibri"/>
          <w:b/>
          <w:bCs/>
          <w:sz w:val="24"/>
          <w:szCs w:val="24"/>
        </w:rPr>
        <w:t xml:space="preserve">Table-2: Application Characteristics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5680"/>
        <w:gridCol w:w="1840"/>
      </w:tblGrid>
      <w:tr>
        <w:trPr>
          <w:tblHeader/>
        </w:trPr>
        <w:tc>
          <w:tcPr>
            <w:tcW w:type="dxa" w:w="560"/>
            <w:tcBorders>
              <w:top w:val="single" w:color="000000" w:sz="4"/>
              <w:left w:val="single" w:color="000000" w:sz="4"/>
              <w:bottom w:val="single" w:color="000000" w:sz="4"/>
              <w:right w:val="single" w:color="000000" w:sz="4"/>
            </w:tcBorders>
            <w:shd w:fill="D9E4F5" w:color="auto" w:val="clear"/>
            <w:tcMar>
              <w:top w:type="dxa" w:w="90"/>
              <w:left w:type="dxa" w:w="100"/>
              <w:bottom w:type="dxa" w:w="90"/>
              <w:right w:type="dxa" w:w="100"/>
            </w:tcMar>
            <w:vAlign w:val="center"/>
          </w:tcPr>
          <w:p>
            <w:pPr>
              <w:jc w:val="center"/>
            </w:pPr>
            <w:r>
              <w:rPr>
                <w:rFonts w:ascii="Calibri" w:cs="Calibri" w:eastAsia="Calibri" w:hAnsi="Calibri"/>
                <w:b/>
                <w:bCs/>
                <w:sz w:val="20"/>
                <w:szCs w:val="20"/>
              </w:rPr>
              <w:t xml:space="preserve">S.No</w:t>
            </w:r>
          </w:p>
        </w:tc>
        <w:tc>
          <w:tcPr>
            <w:tcW w:type="dxa" w:w="2000"/>
            <w:tcBorders>
              <w:top w:val="single" w:color="000000" w:sz="4"/>
              <w:left w:val="single" w:color="000000" w:sz="4"/>
              <w:bottom w:val="single" w:color="000000" w:sz="4"/>
              <w:right w:val="single" w:color="000000" w:sz="4"/>
            </w:tcBorders>
            <w:shd w:fill="D9E4F5" w:color="auto" w:val="clear"/>
            <w:tcMar>
              <w:top w:type="dxa" w:w="90"/>
              <w:left w:type="dxa" w:w="100"/>
              <w:bottom w:type="dxa" w:w="90"/>
              <w:right w:type="dxa" w:w="100"/>
            </w:tcMar>
            <w:vAlign w:val="center"/>
          </w:tcPr>
          <w:p>
            <w:pPr>
              <w:jc w:val="center"/>
            </w:pPr>
            <w:r>
              <w:rPr>
                <w:rFonts w:ascii="Calibri" w:cs="Calibri" w:eastAsia="Calibri" w:hAnsi="Calibri"/>
                <w:b/>
                <w:bCs/>
                <w:sz w:val="20"/>
                <w:szCs w:val="20"/>
              </w:rPr>
              <w:t xml:space="preserve">Characteristics</w:t>
            </w:r>
          </w:p>
        </w:tc>
        <w:tc>
          <w:tcPr>
            <w:tcW w:type="dxa" w:w="5680"/>
            <w:tcBorders>
              <w:top w:val="single" w:color="000000" w:sz="4"/>
              <w:left w:val="single" w:color="000000" w:sz="4"/>
              <w:bottom w:val="single" w:color="000000" w:sz="4"/>
              <w:right w:val="single" w:color="000000" w:sz="4"/>
            </w:tcBorders>
            <w:shd w:fill="D9E4F5" w:color="auto" w:val="clear"/>
            <w:tcMar>
              <w:top w:type="dxa" w:w="90"/>
              <w:left w:type="dxa" w:w="100"/>
              <w:bottom w:type="dxa" w:w="90"/>
              <w:right w:type="dxa" w:w="100"/>
            </w:tcMar>
            <w:vAlign w:val="center"/>
          </w:tcPr>
          <w:p>
            <w:pPr>
              <w:jc w:val="center"/>
            </w:pPr>
            <w:r>
              <w:rPr>
                <w:rFonts w:ascii="Calibri" w:cs="Calibri" w:eastAsia="Calibri" w:hAnsi="Calibri"/>
                <w:b/>
                <w:bCs/>
                <w:sz w:val="20"/>
                <w:szCs w:val="20"/>
              </w:rPr>
              <w:t xml:space="preserve">Description</w:t>
            </w:r>
          </w:p>
        </w:tc>
        <w:tc>
          <w:tcPr>
            <w:tcW w:type="dxa" w:w="1840"/>
            <w:tcBorders>
              <w:top w:val="single" w:color="000000" w:sz="4"/>
              <w:left w:val="single" w:color="000000" w:sz="4"/>
              <w:bottom w:val="single" w:color="000000" w:sz="4"/>
              <w:right w:val="single" w:color="000000" w:sz="4"/>
            </w:tcBorders>
            <w:shd w:fill="D9E4F5" w:color="auto" w:val="clear"/>
            <w:tcMar>
              <w:top w:type="dxa" w:w="90"/>
              <w:left w:type="dxa" w:w="100"/>
              <w:bottom w:type="dxa" w:w="90"/>
              <w:right w:type="dxa" w:w="100"/>
            </w:tcMar>
            <w:vAlign w:val="center"/>
          </w:tcPr>
          <w:p>
            <w:pPr>
              <w:jc w:val="center"/>
            </w:pPr>
            <w:r>
              <w:rPr>
                <w:rFonts w:ascii="Calibri" w:cs="Calibri" w:eastAsia="Calibri" w:hAnsi="Calibri"/>
                <w:b/>
                <w:bCs/>
                <w:sz w:val="20"/>
                <w:szCs w:val="20"/>
              </w:rPr>
              <w:t xml:space="preserve">Technology</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1.</w:t>
            </w:r>
          </w:p>
        </w:tc>
        <w:tc>
          <w:tcPr>
            <w:tcW w:type="dxa" w:w="20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Open-Source Frameworks</w:t>
            </w:r>
          </w:p>
        </w:tc>
        <w:tc>
          <w:tcPr>
            <w:tcW w:type="dxa" w:w="568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The application is built entirely on open-source Python libraries for the web interface, speech recognition, semantic analysis, and report generation.</w:t>
            </w:r>
          </w:p>
        </w:tc>
        <w:tc>
          <w:tcPr>
            <w:tcW w:type="dxa" w:w="184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Streamlit, OpenAI Whisper, Sentence Transformers, PyTorch, ReportLab</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2.</w:t>
            </w:r>
          </w:p>
        </w:tc>
        <w:tc>
          <w:tcPr>
            <w:tcW w:type="dxa" w:w="20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Security Implementations</w:t>
            </w:r>
          </w:p>
        </w:tc>
        <w:tc>
          <w:tcPr>
            <w:tcW w:type="dxa" w:w="568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Uploaded files are restricted to a defined set of audio formats before processing, and inputs are validated at each pipeline stage (e.g., empty transcript, missing reference file). Authentication, encryption, and access control are not implemented in the current version.</w:t>
            </w:r>
          </w:p>
        </w:tc>
        <w:tc>
          <w:tcPr>
            <w:tcW w:type="dxa" w:w="184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Streamlit file-type validation; Python input/exception validation</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3.</w:t>
            </w:r>
          </w:p>
        </w:tc>
        <w:tc>
          <w:tcPr>
            <w:tcW w:type="dxa" w:w="20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Scalable Architecture</w:t>
            </w:r>
          </w:p>
        </w:tc>
        <w:tc>
          <w:tcPr>
            <w:tcW w:type="dxa" w:w="568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The application follows a single-process, modular monolith design (separate modules per pipeline stage) rather than a micro-services or multi-tier architecture. It is designed for single-user, single-session use; concurrent multi-user scaling is identified as future scope.</w:t>
            </w:r>
          </w:p>
        </w:tc>
        <w:tc>
          <w:tcPr>
            <w:tcW w:type="dxa" w:w="184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Modular Python package structure (app/modules, app/ui, app/utils)</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4.</w:t>
            </w:r>
          </w:p>
        </w:tc>
        <w:tc>
          <w:tcPr>
            <w:tcW w:type="dxa" w:w="20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Availability</w:t>
            </w:r>
          </w:p>
        </w:tc>
        <w:tc>
          <w:tcPr>
            <w:tcW w:type="dxa" w:w="568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The application runs as a single local Streamlit server process. Availability depends on the host machine remaining online; no load balancing or distributed deployment is currently implemented.</w:t>
            </w:r>
          </w:p>
        </w:tc>
        <w:tc>
          <w:tcPr>
            <w:tcW w:type="dxa" w:w="184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Single local Streamlit process</w:t>
            </w:r>
          </w:p>
        </w:tc>
      </w:tr>
      <w:tr>
        <w:tc>
          <w:tcPr>
            <w:tcW w:type="dxa" w:w="56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Calibri" w:cs="Calibri" w:eastAsia="Calibri" w:hAnsi="Calibri"/>
                <w:b w:val="false"/>
                <w:bCs w:val="false"/>
                <w:sz w:val="19"/>
                <w:szCs w:val="19"/>
              </w:rPr>
              <w:t xml:space="preserve">5.</w:t>
            </w:r>
          </w:p>
        </w:tc>
        <w:tc>
          <w:tcPr>
            <w:tcW w:type="dxa" w:w="20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bCs/>
                <w:sz w:val="19"/>
                <w:szCs w:val="19"/>
              </w:rPr>
              <w:t xml:space="preserve">Performance</w:t>
            </w:r>
          </w:p>
        </w:tc>
        <w:tc>
          <w:tcPr>
            <w:tcW w:type="dxa" w:w="568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The Whisper and Sentence Transformer models are loaded once and cached in memory (module-level singleton pattern) to avoid repeated model-loading overhead across analyses within the same session.</w:t>
            </w:r>
          </w:p>
        </w:tc>
        <w:tc>
          <w:tcPr>
            <w:tcW w:type="dxa" w:w="184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left"/>
            </w:pPr>
            <w:r>
              <w:rPr>
                <w:rFonts w:ascii="Calibri" w:cs="Calibri" w:eastAsia="Calibri" w:hAnsi="Calibri"/>
                <w:b w:val="false"/>
                <w:bCs w:val="false"/>
                <w:sz w:val="18"/>
                <w:szCs w:val="18"/>
              </w:rPr>
              <w:t xml:space="preserve">In-memory model caching (global variables in transcriber.py and semantic_analyzer.py)</w:t>
            </w:r>
          </w:p>
        </w:tc>
      </w:tr>
    </w:tbl>
    <w:p>
      <w:pPr>
        <w:spacing w:after="100" w:before="260"/>
      </w:pPr>
      <w:r>
        <w:rPr>
          <w:rFonts w:ascii="Calibri" w:cs="Calibri" w:eastAsia="Calibri" w:hAnsi="Calibri"/>
          <w:b/>
          <w:bCs/>
          <w:sz w:val="24"/>
          <w:szCs w:val="24"/>
        </w:rPr>
        <w:t xml:space="preserve">References:</w:t>
      </w:r>
    </w:p>
    <w:p>
      <w:pPr>
        <w:spacing w:after="100"/>
      </w:pPr>
      <w:hyperlink w:history="1" r:id="rIdpovv_fenrkg51zmjphtmn">
        <w:r>
          <w:rPr>
            <w:rStyle w:val="Hyperlink"/>
            <w:rFonts w:ascii="Calibri" w:cs="Calibri" w:eastAsia="Calibri" w:hAnsi="Calibri"/>
            <w:sz w:val="21"/>
            <w:szCs w:val="21"/>
          </w:rPr>
          <w:t xml:space="preserve">https://c4model.com/</w:t>
        </w:r>
      </w:hyperlink>
    </w:p>
    <w:p>
      <w:pPr>
        <w:spacing w:after="100"/>
      </w:pPr>
      <w:hyperlink w:history="1" r:id="rIde7zuzr491eu4xi-wrdgge">
        <w:r>
          <w:rPr>
            <w:rStyle w:val="Hyperlink"/>
            <w:rFonts w:ascii="Calibri" w:cs="Calibri" w:eastAsia="Calibri" w:hAnsi="Calibri"/>
            <w:sz w:val="21"/>
            <w:szCs w:val="21"/>
          </w:rPr>
          <w:t xml:space="preserve">https://www.ibm.com/cloud/architecture</w:t>
        </w:r>
      </w:hyperlink>
    </w:p>
    <w:p>
      <w:pPr>
        <w:spacing w:after="100"/>
      </w:pPr>
      <w:hyperlink w:history="1" r:id="rIdrczf0jxqrglwihrbhxd-z">
        <w:r>
          <w:rPr>
            <w:rStyle w:val="Hyperlink"/>
            <w:rFonts w:ascii="Calibri" w:cs="Calibri" w:eastAsia="Calibri" w:hAnsi="Calibri"/>
            <w:sz w:val="21"/>
            <w:szCs w:val="21"/>
          </w:rPr>
          <w:t xml:space="preserve">https://aws.amazon.com/architecture</w:t>
        </w:r>
      </w:hyperlink>
    </w:p>
    <w:p>
      <w:pPr>
        <w:spacing w:after="100"/>
      </w:pPr>
      <w:hyperlink w:history="1" r:id="rIdociwjzz5iohcoqrxheseh">
        <w:r>
          <w:rPr>
            <w:rStyle w:val="Hyperlink"/>
            <w:rFonts w:ascii="Calibri" w:cs="Calibri" w:eastAsia="Calibri" w:hAnsi="Calibri"/>
            <w:sz w:val="21"/>
            <w:szCs w:val="21"/>
          </w:rPr>
          <w:t xml:space="preserve">https://medium.com/the-internal-startup/how-to-draw-useful-technical-architecture-diagrams-2d20c9fda90d</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ovv_fenrkg51zmjphtmn" Type="http://schemas.openxmlformats.org/officeDocument/2006/relationships/hyperlink" Target="https://c4model.com/" TargetMode="External"/><Relationship Id="rIde7zuzr491eu4xi-wrdgge" Type="http://schemas.openxmlformats.org/officeDocument/2006/relationships/hyperlink" Target="https://www.ibm.com/cloud/architecture" TargetMode="External"/><Relationship Id="rIdrczf0jxqrglwihrbhxd-z" Type="http://schemas.openxmlformats.org/officeDocument/2006/relationships/hyperlink" Target="https://aws.amazon.com/architecture" TargetMode="External"/><Relationship Id="rIdociwjzz5iohcoqrxheseh" Type="http://schemas.openxmlformats.org/officeDocument/2006/relationships/hyperlink" Target="https://medium.com/the-internal-startup/how-to-draw-useful-technical-architecture-diagrams-2d20c9fda90d" TargetMode="External"/><Relationship Id="rId7" Type="http://schemas.openxmlformats.org/officeDocument/2006/relationships/image" Target="media/fc4e7b04d87873709cb18391a9f37d89a350043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2026-07-13T02:22:23.284Z</dcterms:created>
  <dcterms:modified xsi:type="dcterms:W3CDTF">2026-07-13T02:22:23.297Z</dcterms:modified>
</cp:coreProperties>
</file>

<file path=docProps/custom.xml><?xml version="1.0" encoding="utf-8"?>
<Properties xmlns="http://schemas.openxmlformats.org/officeDocument/2006/custom-properties" xmlns:vt="http://schemas.openxmlformats.org/officeDocument/2006/docPropsVTypes"/>
</file>