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8"/>
          <w:szCs w:val="28"/>
        </w:rPr>
        <w:t xml:space="preserve">Project Design Phase</w:t>
      </w:r>
    </w:p>
    <w:p>
      <w:pPr>
        <w:spacing w:after="200"/>
        <w:jc w:val="center"/>
      </w:pPr>
      <w:r>
        <w:rPr>
          <w:rFonts w:ascii="Calibri" w:cs="Calibri" w:eastAsia="Calibri" w:hAnsi="Calibri"/>
          <w:b/>
          <w:bCs/>
          <w:sz w:val="28"/>
          <w:szCs w:val="28"/>
        </w:rPr>
        <w:t xml:space="preserve">Problem – Solution Fit Template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7500"/>
      </w:tblGrid>
      <w:tr>
        <w:tc>
          <w:tcPr>
            <w:tcW w:type="dxa" w:w="3000"/>
            <w:tcBorders>
              <w:top w:val="single" w:color="000000" w:sz="4"/>
              <w:left w:val="single" w:color="000000" w:sz="4"/>
              <w:bottom w:val="single" w:color="000000" w:sz="4"/>
              <w:right w:val="single" w:color="000000" w:sz="4"/>
            </w:tcBorders>
            <w:tcMar>
              <w:top w:type="dxa" w:w="90"/>
              <w:left w:type="dxa" w:w="110"/>
              <w:bottom w:type="dxa" w:w="90"/>
              <w:right w:type="dxa" w:w="110"/>
            </w:tcMar>
            <w:vAlign w:val="center"/>
          </w:tcPr>
          <w:p>
            <w:pPr>
              <w:jc w:val="left"/>
            </w:pPr>
            <w:r>
              <w:rPr>
                <w:rFonts w:ascii="Calibri" w:cs="Calibri" w:eastAsia="Calibri" w:hAnsi="Calibri"/>
                <w:b/>
                <w:bCs/>
                <w:sz w:val="19"/>
                <w:szCs w:val="19"/>
              </w:rPr>
              <w:t xml:space="preserve">Date</w:t>
            </w:r>
          </w:p>
        </w:tc>
        <w:tc>
          <w:tcPr>
            <w:tcW w:type="dxa" w:w="7500"/>
            <w:tcBorders>
              <w:top w:val="single" w:color="000000" w:sz="4"/>
              <w:left w:val="single" w:color="000000" w:sz="4"/>
              <w:bottom w:val="single" w:color="000000" w:sz="4"/>
              <w:right w:val="single" w:color="000000" w:sz="4"/>
            </w:tcBorders>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13 July 2026</w:t>
            </w:r>
          </w:p>
        </w:tc>
      </w:tr>
      <w:tr>
        <w:tc>
          <w:tcPr>
            <w:tcW w:type="dxa" w:w="3000"/>
            <w:tcBorders>
              <w:top w:val="single" w:color="000000" w:sz="4"/>
              <w:left w:val="single" w:color="000000" w:sz="4"/>
              <w:bottom w:val="single" w:color="000000" w:sz="4"/>
              <w:right w:val="single" w:color="000000" w:sz="4"/>
            </w:tcBorders>
            <w:tcMar>
              <w:top w:type="dxa" w:w="90"/>
              <w:left w:type="dxa" w:w="110"/>
              <w:bottom w:type="dxa" w:w="90"/>
              <w:right w:type="dxa" w:w="110"/>
            </w:tcMar>
            <w:vAlign w:val="center"/>
          </w:tcPr>
          <w:p>
            <w:pPr>
              <w:jc w:val="left"/>
            </w:pPr>
            <w:r>
              <w:rPr>
                <w:rFonts w:ascii="Calibri" w:cs="Calibri" w:eastAsia="Calibri" w:hAnsi="Calibri"/>
                <w:b/>
                <w:bCs/>
                <w:sz w:val="19"/>
                <w:szCs w:val="19"/>
              </w:rPr>
              <w:t xml:space="preserve">Team ID</w:t>
            </w:r>
          </w:p>
        </w:tc>
        <w:tc>
          <w:tcPr>
            <w:tcW w:type="dxa" w:w="7500"/>
            <w:tcBorders>
              <w:top w:val="single" w:color="000000" w:sz="4"/>
              <w:left w:val="single" w:color="000000" w:sz="4"/>
              <w:bottom w:val="single" w:color="000000" w:sz="4"/>
              <w:right w:val="single" w:color="000000" w:sz="4"/>
            </w:tcBorders>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
            </w:r>
          </w:p>
        </w:tc>
      </w:tr>
      <w:tr>
        <w:tc>
          <w:tcPr>
            <w:tcW w:type="dxa" w:w="3000"/>
            <w:tcBorders>
              <w:top w:val="single" w:color="000000" w:sz="4"/>
              <w:left w:val="single" w:color="000000" w:sz="4"/>
              <w:bottom w:val="single" w:color="000000" w:sz="4"/>
              <w:right w:val="single" w:color="000000" w:sz="4"/>
            </w:tcBorders>
            <w:tcMar>
              <w:top w:type="dxa" w:w="90"/>
              <w:left w:type="dxa" w:w="110"/>
              <w:bottom w:type="dxa" w:w="90"/>
              <w:right w:type="dxa" w:w="110"/>
            </w:tcMar>
            <w:vAlign w:val="center"/>
          </w:tcPr>
          <w:p>
            <w:pPr>
              <w:jc w:val="left"/>
            </w:pPr>
            <w:r>
              <w:rPr>
                <w:rFonts w:ascii="Calibri" w:cs="Calibri" w:eastAsia="Calibri" w:hAnsi="Calibri"/>
                <w:b/>
                <w:bCs/>
                <w:sz w:val="19"/>
                <w:szCs w:val="19"/>
              </w:rPr>
              <w:t xml:space="preserve">Project Name</w:t>
            </w:r>
          </w:p>
        </w:tc>
        <w:tc>
          <w:tcPr>
            <w:tcW w:type="dxa" w:w="7500"/>
            <w:tcBorders>
              <w:top w:val="single" w:color="000000" w:sz="4"/>
              <w:left w:val="single" w:color="000000" w:sz="4"/>
              <w:bottom w:val="single" w:color="000000" w:sz="4"/>
              <w:right w:val="single" w:color="000000" w:sz="4"/>
            </w:tcBorders>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Voice-Based Concept Understanding Analyzer (VBCUA)</w:t>
            </w:r>
          </w:p>
        </w:tc>
      </w:tr>
      <w:tr>
        <w:tc>
          <w:tcPr>
            <w:tcW w:type="dxa" w:w="3000"/>
            <w:tcBorders>
              <w:top w:val="single" w:color="000000" w:sz="4"/>
              <w:left w:val="single" w:color="000000" w:sz="4"/>
              <w:bottom w:val="single" w:color="000000" w:sz="4"/>
              <w:right w:val="single" w:color="000000" w:sz="4"/>
            </w:tcBorders>
            <w:tcMar>
              <w:top w:type="dxa" w:w="90"/>
              <w:left w:type="dxa" w:w="110"/>
              <w:bottom w:type="dxa" w:w="90"/>
              <w:right w:type="dxa" w:w="110"/>
            </w:tcMar>
            <w:vAlign w:val="center"/>
          </w:tcPr>
          <w:p>
            <w:pPr>
              <w:jc w:val="left"/>
            </w:pPr>
            <w:r>
              <w:rPr>
                <w:rFonts w:ascii="Calibri" w:cs="Calibri" w:eastAsia="Calibri" w:hAnsi="Calibri"/>
                <w:b/>
                <w:bCs/>
                <w:sz w:val="19"/>
                <w:szCs w:val="19"/>
              </w:rPr>
              <w:t xml:space="preserve">Maximum Marks</w:t>
            </w:r>
          </w:p>
        </w:tc>
        <w:tc>
          <w:tcPr>
            <w:tcW w:type="dxa" w:w="7500"/>
            <w:tcBorders>
              <w:top w:val="single" w:color="000000" w:sz="4"/>
              <w:left w:val="single" w:color="000000" w:sz="4"/>
              <w:bottom w:val="single" w:color="000000" w:sz="4"/>
              <w:right w:val="single" w:color="000000" w:sz="4"/>
            </w:tcBorders>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2 Marks</w:t>
            </w:r>
          </w:p>
        </w:tc>
      </w:tr>
    </w:tbl>
    <w:p>
      <w:pPr>
        <w:spacing w:after="100" w:before="220"/>
      </w:pPr>
      <w:r>
        <w:rPr>
          <w:rFonts w:ascii="Calibri" w:cs="Calibri" w:eastAsia="Calibri" w:hAnsi="Calibri"/>
          <w:b/>
          <w:bCs/>
          <w:sz w:val="24"/>
          <w:szCs w:val="24"/>
        </w:rPr>
        <w:t xml:space="preserve">Problem – Solution Fit Template:</w:t>
      </w:r>
    </w:p>
    <w:p>
      <w:pPr>
        <w:spacing w:after="120"/>
      </w:pPr>
      <w:r>
        <w:rPr>
          <w:rFonts w:ascii="Calibri" w:cs="Calibri" w:eastAsia="Calibri" w:hAnsi="Calibri"/>
          <w:sz w:val="20"/>
          <w:szCs w:val="20"/>
        </w:rPr>
        <w:t xml:space="preserve">The Problem-Solution Fit simply means that a problem with the customer has been found and that the solution realised for it actually solves the customer's problem. It helps entrepreneurs, marketers, and corporate innovators identify behavioural patterns and recognise what would work and why.</w:t>
      </w:r>
    </w:p>
    <w:p>
      <w:pPr>
        <w:spacing w:after="100" w:before="140"/>
      </w:pPr>
      <w:r>
        <w:rPr>
          <w:rFonts w:ascii="Calibri" w:cs="Calibri" w:eastAsia="Calibri" w:hAnsi="Calibri"/>
          <w:b/>
          <w:bCs/>
          <w:sz w:val="21"/>
          <w:szCs w:val="21"/>
        </w:rPr>
        <w:t xml:space="preserve">Purpose:</w:t>
      </w:r>
    </w:p>
    <w:p>
      <w:pPr>
        <w:spacing w:after="60"/>
        <w:ind w:left="360" w:hanging="360"/>
      </w:pPr>
      <w:r>
        <w:rPr>
          <w:rFonts w:ascii="Calibri" w:cs="Calibri" w:eastAsia="Calibri" w:hAnsi="Calibri"/>
          <w:sz w:val="20"/>
          <w:szCs w:val="20"/>
        </w:rPr>
        <w:t xml:space="preserve">❑  </w:t>
      </w:r>
      <w:r>
        <w:rPr>
          <w:rFonts w:ascii="Calibri" w:cs="Calibri" w:eastAsia="Calibri" w:hAnsi="Calibri"/>
          <w:sz w:val="20"/>
          <w:szCs w:val="20"/>
        </w:rPr>
        <w:t xml:space="preserve">Solve complex problems in a way that fits the state of your customers.</w:t>
      </w:r>
    </w:p>
    <w:p>
      <w:pPr>
        <w:spacing w:after="60"/>
        <w:ind w:left="360" w:hanging="360"/>
      </w:pPr>
      <w:r>
        <w:rPr>
          <w:rFonts w:ascii="Calibri" w:cs="Calibri" w:eastAsia="Calibri" w:hAnsi="Calibri"/>
          <w:sz w:val="20"/>
          <w:szCs w:val="20"/>
        </w:rPr>
        <w:t xml:space="preserve">❑  </w:t>
      </w:r>
      <w:r>
        <w:rPr>
          <w:rFonts w:ascii="Calibri" w:cs="Calibri" w:eastAsia="Calibri" w:hAnsi="Calibri"/>
          <w:sz w:val="20"/>
          <w:szCs w:val="20"/>
        </w:rPr>
        <w:t xml:space="preserve">Succeed faster and increase your solution adoption by tapping into existing mediums and channels of behaviour.</w:t>
      </w:r>
    </w:p>
    <w:p>
      <w:pPr>
        <w:spacing w:after="60"/>
        <w:ind w:left="360" w:hanging="360"/>
      </w:pPr>
      <w:r>
        <w:rPr>
          <w:rFonts w:ascii="Calibri" w:cs="Calibri" w:eastAsia="Calibri" w:hAnsi="Calibri"/>
          <w:sz w:val="20"/>
          <w:szCs w:val="20"/>
        </w:rPr>
        <w:t xml:space="preserve">❑  </w:t>
      </w:r>
      <w:r>
        <w:rPr>
          <w:rFonts w:ascii="Calibri" w:cs="Calibri" w:eastAsia="Calibri" w:hAnsi="Calibri"/>
          <w:sz w:val="20"/>
          <w:szCs w:val="20"/>
        </w:rPr>
        <w:t xml:space="preserve">Sharpen your communication and marketing strategy with the right triggers and messaging.</w:t>
      </w:r>
    </w:p>
    <w:p>
      <w:pPr>
        <w:spacing w:after="60"/>
        <w:ind w:left="360" w:hanging="360"/>
      </w:pPr>
      <w:r>
        <w:rPr>
          <w:rFonts w:ascii="Calibri" w:cs="Calibri" w:eastAsia="Calibri" w:hAnsi="Calibri"/>
          <w:sz w:val="20"/>
          <w:szCs w:val="20"/>
        </w:rPr>
        <w:t xml:space="preserve">❑  </w:t>
      </w:r>
      <w:r>
        <w:rPr>
          <w:rFonts w:ascii="Calibri" w:cs="Calibri" w:eastAsia="Calibri" w:hAnsi="Calibri"/>
          <w:sz w:val="20"/>
          <w:szCs w:val="20"/>
        </w:rPr>
        <w:t xml:space="preserve">Increase touch-points with your company by finding the right problem-behaviour fit and building trust by solving frequent annoyances, or urgent or costly problems.</w:t>
      </w:r>
    </w:p>
    <w:p>
      <w:pPr>
        <w:spacing w:after="200"/>
        <w:ind w:left="360" w:hanging="360"/>
      </w:pPr>
      <w:r>
        <w:rPr>
          <w:rFonts w:ascii="Calibri" w:cs="Calibri" w:eastAsia="Calibri" w:hAnsi="Calibri"/>
          <w:sz w:val="20"/>
          <w:szCs w:val="20"/>
        </w:rPr>
        <w:t xml:space="preserve">❑  </w:t>
      </w:r>
      <w:r>
        <w:rPr>
          <w:rFonts w:ascii="Calibri" w:cs="Calibri" w:eastAsia="Calibri" w:hAnsi="Calibri"/>
          <w:b/>
          <w:bCs/>
          <w:sz w:val="20"/>
          <w:szCs w:val="20"/>
        </w:rPr>
        <w:t xml:space="preserve">Understand the existing situation in order to improve it for your target group.</w:t>
      </w:r>
    </w:p>
    <w:p>
      <w:pPr>
        <w:spacing w:after="100" w:before="220"/>
      </w:pPr>
      <w:r>
        <w:rPr>
          <w:rFonts w:ascii="Calibri" w:cs="Calibri" w:eastAsia="Calibri" w:hAnsi="Calibri"/>
          <w:b/>
          <w:bCs/>
          <w:sz w:val="24"/>
          <w:szCs w:val="24"/>
        </w:rPr>
        <w:t xml:space="preserve">Template: VBCUA — Problem-Solution Fit Canvas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20"/>
        <w:gridCol w:w="4400"/>
        <w:gridCol w:w="4400"/>
        <w:gridCol w:w="4400"/>
        <w:gridCol w:w="420"/>
      </w:tblGrid>
      <w:tr>
        <w:tc>
          <w:tcPr>
            <w:tcW w:type="dxa" w:w="420"/>
            <w:tcBorders>
              <w:top w:val="single" w:color="000000" w:sz="4"/>
              <w:left w:val="single" w:color="000000" w:sz="4"/>
              <w:bottom w:val="single" w:color="000000" w:sz="4"/>
              <w:right w:val="single" w:color="000000" w:sz="4"/>
            </w:tcBorders>
            <w:shd w:fill="DB2777" w:color="auto" w:val="clear"/>
            <w:tcMar>
              <w:top w:type="dxa" w:w="120"/>
              <w:left w:type="dxa" w:w="80"/>
              <w:bottom w:type="dxa" w:w="120"/>
              <w:right w:type="dxa" w:w="80"/>
            </w:tcMar>
            <w:textDirection w:val="btLr"/>
            <w:vAlign w:val="center"/>
          </w:tcPr>
          <w:p>
            <w:pPr>
              <w:jc w:val="center"/>
            </w:pPr>
            <w:r>
              <w:rPr>
                <w:rFonts w:ascii="Calibri" w:cs="Calibri" w:eastAsia="Calibri" w:hAnsi="Calibri"/>
                <w:b/>
                <w:bCs/>
                <w:color w:val="FFFFFF"/>
                <w:sz w:val="16"/>
                <w:szCs w:val="16"/>
              </w:rPr>
              <w:t xml:space="preserve">Define CS, fit into CC</w:t>
            </w:r>
          </w:p>
        </w:tc>
        <w:tc>
          <w:tcPr>
            <w:tcW w:type="dxa" w:w="4400"/>
            <w:tcBorders>
              <w:top w:val="single" w:color="000000" w:sz="4"/>
              <w:left w:val="single" w:color="000000" w:sz="4"/>
              <w:bottom w:val="single" w:color="000000" w:sz="4"/>
              <w:right w:val="single" w:color="000000" w:sz="4"/>
            </w:tcBorders>
            <w:tcMar>
              <w:top w:type="dxa" w:w="110"/>
              <w:left w:type="dxa" w:w="140"/>
              <w:bottom w:type="dxa" w:w="110"/>
              <w:right w:type="dxa" w:w="140"/>
            </w:tcMar>
            <w:vAlign w:val="top"/>
          </w:tcPr>
          <w:p>
            <w:pPr>
              <w:spacing w:after="60"/>
            </w:pPr>
            <w:r>
              <w:rPr>
                <w:rFonts w:ascii="Calibri" w:cs="Calibri" w:eastAsia="Calibri" w:hAnsi="Calibri"/>
                <w:b/>
                <w:bCs/>
                <w:color w:val="DB2777"/>
                <w:sz w:val="18"/>
                <w:szCs w:val="18"/>
              </w:rPr>
              <w:t xml:space="preserve">1. CUSTOMER SEGMENT(S)</w:t>
            </w:r>
          </w:p>
          <w:p>
            <w:pPr>
              <w:spacing w:after="90"/>
            </w:pPr>
            <w:r>
              <w:rPr>
                <w:rFonts w:ascii="Calibri" w:cs="Calibri" w:eastAsia="Calibri" w:hAnsi="Calibri"/>
                <w:i/>
                <w:iCs/>
                <w:color w:val="6B7280"/>
                <w:sz w:val="14"/>
                <w:szCs w:val="14"/>
              </w:rPr>
              <w:t xml:space="preserve">Who is your customer?</w:t>
            </w:r>
          </w:p>
          <w:p>
            <w:pPr>
              <w:pStyle w:val="ListParagraph"/>
              <w:numPr>
                <w:ilvl w:val="0"/>
                <w:numId w:val="2"/>
              </w:numPr>
              <w:spacing w:after="40"/>
            </w:pPr>
            <w:r>
              <w:rPr>
                <w:rFonts w:ascii="Calibri" w:cs="Calibri" w:eastAsia="Calibri" w:hAnsi="Calibri"/>
                <w:sz w:val="16"/>
                <w:szCs w:val="16"/>
              </w:rPr>
              <w:t xml:space="preserve">Students preparing spoken explanations of academic concepts for graded or self-directed assessment.</w:t>
            </w:r>
          </w:p>
          <w:p>
            <w:pPr>
              <w:pStyle w:val="ListParagraph"/>
              <w:numPr>
                <w:ilvl w:val="0"/>
                <w:numId w:val="2"/>
              </w:numPr>
              <w:spacing w:after="40"/>
            </w:pPr>
            <w:r>
              <w:rPr>
                <w:rFonts w:ascii="Calibri" w:cs="Calibri" w:eastAsia="Calibri" w:hAnsi="Calibri"/>
                <w:sz w:val="16"/>
                <w:szCs w:val="16"/>
              </w:rPr>
              <w:t xml:space="preserve">Teachers / instructors who need to evaluate multiple students' spoken responses for conceptual understanding.</w:t>
            </w:r>
          </w:p>
        </w:tc>
        <w:tc>
          <w:tcPr>
            <w:tcW w:type="dxa" w:w="4400"/>
            <w:tcBorders>
              <w:top w:val="single" w:color="000000" w:sz="4"/>
              <w:left w:val="single" w:color="000000" w:sz="4"/>
              <w:bottom w:val="single" w:color="000000" w:sz="4"/>
              <w:right w:val="single" w:color="000000" w:sz="4"/>
            </w:tcBorders>
            <w:tcMar>
              <w:top w:type="dxa" w:w="110"/>
              <w:left w:type="dxa" w:w="140"/>
              <w:bottom w:type="dxa" w:w="110"/>
              <w:right w:type="dxa" w:w="140"/>
            </w:tcMar>
            <w:vAlign w:val="top"/>
          </w:tcPr>
          <w:p>
            <w:pPr>
              <w:spacing w:after="60"/>
            </w:pPr>
            <w:r>
              <w:rPr>
                <w:rFonts w:ascii="Calibri" w:cs="Calibri" w:eastAsia="Calibri" w:hAnsi="Calibri"/>
                <w:b/>
                <w:bCs/>
                <w:color w:val="DB2777"/>
                <w:sz w:val="18"/>
                <w:szCs w:val="18"/>
              </w:rPr>
              <w:t xml:space="preserve">6. CUSTOMER CONSTRAINTS</w:t>
            </w:r>
          </w:p>
          <w:p>
            <w:pPr>
              <w:spacing w:after="90"/>
            </w:pPr>
            <w:r>
              <w:rPr>
                <w:rFonts w:ascii="Calibri" w:cs="Calibri" w:eastAsia="Calibri" w:hAnsi="Calibri"/>
                <w:i/>
                <w:iCs/>
                <w:color w:val="6B7280"/>
                <w:sz w:val="14"/>
                <w:szCs w:val="14"/>
              </w:rPr>
              <w:t xml:space="preserve">What constraints prevent customers from taking action or limit their choices?</w:t>
            </w:r>
          </w:p>
          <w:p>
            <w:pPr>
              <w:pStyle w:val="ListParagraph"/>
              <w:numPr>
                <w:ilvl w:val="0"/>
                <w:numId w:val="2"/>
              </w:numPr>
              <w:spacing w:after="40"/>
            </w:pPr>
            <w:r>
              <w:rPr>
                <w:rFonts w:ascii="Calibri" w:cs="Calibri" w:eastAsia="Calibri" w:hAnsi="Calibri"/>
                <w:sz w:val="16"/>
                <w:szCs w:val="16"/>
              </w:rPr>
              <w:t xml:space="preserve">Instructors have limited time to manually listen to and grade many spoken responses.</w:t>
            </w:r>
          </w:p>
          <w:p>
            <w:pPr>
              <w:pStyle w:val="ListParagraph"/>
              <w:numPr>
                <w:ilvl w:val="0"/>
                <w:numId w:val="2"/>
              </w:numPr>
              <w:spacing w:after="40"/>
            </w:pPr>
            <w:r>
              <w:rPr>
                <w:rFonts w:ascii="Calibri" w:cs="Calibri" w:eastAsia="Calibri" w:hAnsi="Calibri"/>
                <w:sz w:val="16"/>
                <w:szCs w:val="16"/>
              </w:rPr>
              <w:t xml:space="preserve">Students have no access to a human evaluator when practising outside class hours.</w:t>
            </w:r>
          </w:p>
          <w:p>
            <w:pPr>
              <w:pStyle w:val="ListParagraph"/>
              <w:numPr>
                <w:ilvl w:val="0"/>
                <w:numId w:val="2"/>
              </w:numPr>
              <w:spacing w:after="40"/>
            </w:pPr>
            <w:r>
              <w:rPr>
                <w:rFonts w:ascii="Calibri" w:cs="Calibri" w:eastAsia="Calibri" w:hAnsi="Calibri"/>
                <w:sz w:val="16"/>
                <w:szCs w:val="16"/>
              </w:rPr>
              <w:t xml:space="preserve">Recording quality (microphone, background noise) can affect transcription accuracy.</w:t>
            </w:r>
          </w:p>
          <w:p>
            <w:pPr>
              <w:pStyle w:val="ListParagraph"/>
              <w:numPr>
                <w:ilvl w:val="0"/>
                <w:numId w:val="2"/>
              </w:numPr>
              <w:spacing w:after="40"/>
            </w:pPr>
            <w:r>
              <w:rPr>
                <w:rFonts w:ascii="Calibri" w:cs="Calibri" w:eastAsia="Calibri" w:hAnsi="Calibri"/>
                <w:sz w:val="16"/>
                <w:szCs w:val="16"/>
              </w:rPr>
              <w:t xml:space="preserve">Limited familiarity with AI-based assessment tools among some students and staff.</w:t>
            </w:r>
          </w:p>
        </w:tc>
        <w:tc>
          <w:tcPr>
            <w:tcW w:type="dxa" w:w="4400"/>
            <w:tcBorders>
              <w:top w:val="single" w:color="000000" w:sz="4"/>
              <w:left w:val="single" w:color="000000" w:sz="4"/>
              <w:bottom w:val="single" w:color="000000" w:sz="4"/>
              <w:right w:val="single" w:color="000000" w:sz="4"/>
            </w:tcBorders>
            <w:tcMar>
              <w:top w:type="dxa" w:w="110"/>
              <w:left w:type="dxa" w:w="140"/>
              <w:bottom w:type="dxa" w:w="110"/>
              <w:right w:type="dxa" w:w="140"/>
            </w:tcMar>
            <w:vAlign w:val="top"/>
          </w:tcPr>
          <w:p>
            <w:pPr>
              <w:spacing w:after="60"/>
            </w:pPr>
            <w:r>
              <w:rPr>
                <w:rFonts w:ascii="Calibri" w:cs="Calibri" w:eastAsia="Calibri" w:hAnsi="Calibri"/>
                <w:b/>
                <w:bCs/>
                <w:color w:val="DB2777"/>
                <w:sz w:val="18"/>
                <w:szCs w:val="18"/>
              </w:rPr>
              <w:t xml:space="preserve">5. AVAILABLE SOLUTIONS</w:t>
            </w:r>
          </w:p>
          <w:p>
            <w:pPr>
              <w:spacing w:after="90"/>
            </w:pPr>
            <w:r>
              <w:rPr>
                <w:rFonts w:ascii="Calibri" w:cs="Calibri" w:eastAsia="Calibri" w:hAnsi="Calibri"/>
                <w:i/>
                <w:iCs/>
                <w:color w:val="6B7280"/>
                <w:sz w:val="14"/>
                <w:szCs w:val="14"/>
              </w:rPr>
              <w:t xml:space="preserve">Which solutions are available to customers today?</w:t>
            </w:r>
          </w:p>
          <w:p>
            <w:pPr>
              <w:pStyle w:val="ListParagraph"/>
              <w:numPr>
                <w:ilvl w:val="0"/>
                <w:numId w:val="2"/>
              </w:numPr>
              <w:spacing w:after="40"/>
            </w:pPr>
            <w:r>
              <w:rPr>
                <w:rFonts w:ascii="Calibri" w:cs="Calibri" w:eastAsia="Calibri" w:hAnsi="Calibri"/>
                <w:sz w:val="16"/>
                <w:szCs w:val="16"/>
              </w:rPr>
              <w:t xml:space="preserve">Manual grading: the instructor personally listens to and evaluates each recording (slow, inconsistent across a class).</w:t>
            </w:r>
          </w:p>
          <w:p>
            <w:pPr>
              <w:pStyle w:val="ListParagraph"/>
              <w:numPr>
                <w:ilvl w:val="0"/>
                <w:numId w:val="2"/>
              </w:numPr>
              <w:spacing w:after="40"/>
            </w:pPr>
            <w:r>
              <w:rPr>
                <w:rFonts w:ascii="Calibri" w:cs="Calibri" w:eastAsia="Calibri" w:hAnsi="Calibri"/>
                <w:sz w:val="16"/>
                <w:szCs w:val="16"/>
              </w:rPr>
              <w:t xml:space="preserve">Text-based quizzes and auto-graders, which test recall but not spoken articulation of a concept.</w:t>
            </w:r>
          </w:p>
          <w:p>
            <w:pPr>
              <w:pStyle w:val="ListParagraph"/>
              <w:numPr>
                <w:ilvl w:val="0"/>
                <w:numId w:val="2"/>
              </w:numPr>
              <w:spacing w:after="40"/>
            </w:pPr>
            <w:r>
              <w:rPr>
                <w:rFonts w:ascii="Calibri" w:cs="Calibri" w:eastAsia="Calibri" w:hAnsi="Calibri"/>
                <w:sz w:val="16"/>
                <w:szCs w:val="16"/>
              </w:rPr>
              <w:t xml:space="preserve">General-purpose transcription apps, which produce text but do not score it against a reference answer.</w:t>
            </w:r>
          </w:p>
          <w:p>
            <w:pPr>
              <w:pStyle w:val="ListParagraph"/>
              <w:numPr>
                <w:ilvl w:val="0"/>
                <w:numId w:val="2"/>
              </w:numPr>
              <w:spacing w:after="40"/>
            </w:pPr>
            <w:r>
              <w:rPr>
                <w:rFonts w:ascii="Calibri" w:cs="Calibri" w:eastAsia="Calibri" w:hAnsi="Calibri"/>
                <w:sz w:val="16"/>
                <w:szCs w:val="16"/>
              </w:rPr>
              <w:t xml:space="preserve">Informal peer discussion or study groups for self-assessment (subjective, no objective score).</w:t>
            </w:r>
          </w:p>
        </w:tc>
        <w:tc>
          <w:tcPr>
            <w:tcW w:type="dxa" w:w="420"/>
            <w:tcBorders>
              <w:top w:val="single" w:color="000000" w:sz="4"/>
              <w:left w:val="single" w:color="000000" w:sz="4"/>
              <w:bottom w:val="single" w:color="000000" w:sz="4"/>
              <w:right w:val="single" w:color="000000" w:sz="4"/>
            </w:tcBorders>
            <w:shd w:fill="DB2777" w:color="auto" w:val="clear"/>
            <w:tcMar>
              <w:top w:type="dxa" w:w="120"/>
              <w:left w:type="dxa" w:w="80"/>
              <w:bottom w:type="dxa" w:w="120"/>
              <w:right w:type="dxa" w:w="80"/>
            </w:tcMar>
            <w:textDirection w:val="btLr"/>
            <w:vAlign w:val="center"/>
          </w:tcPr>
          <w:p>
            <w:pPr>
              <w:jc w:val="center"/>
            </w:pPr>
            <w:r>
              <w:rPr>
                <w:rFonts w:ascii="Calibri" w:cs="Calibri" w:eastAsia="Calibri" w:hAnsi="Calibri"/>
                <w:b/>
                <w:bCs/>
                <w:color w:val="FFFFFF"/>
                <w:sz w:val="16"/>
                <w:szCs w:val="16"/>
              </w:rPr>
              <w:t xml:space="preserve">Explore AS, differentiate</w:t>
            </w:r>
          </w:p>
        </w:tc>
      </w:tr>
      <w:tr>
        <w:tc>
          <w:tcPr>
            <w:tcW w:type="dxa" w:w="420"/>
            <w:tcBorders>
              <w:top w:val="single" w:color="000000" w:sz="4"/>
              <w:left w:val="single" w:color="000000" w:sz="4"/>
              <w:bottom w:val="single" w:color="000000" w:sz="4"/>
              <w:right w:val="single" w:color="000000" w:sz="4"/>
            </w:tcBorders>
            <w:shd w:fill="EA580C" w:color="auto" w:val="clear"/>
            <w:tcMar>
              <w:top w:type="dxa" w:w="120"/>
              <w:left w:type="dxa" w:w="80"/>
              <w:bottom w:type="dxa" w:w="120"/>
              <w:right w:type="dxa" w:w="80"/>
            </w:tcMar>
            <w:textDirection w:val="btLr"/>
            <w:vAlign w:val="center"/>
          </w:tcPr>
          <w:p>
            <w:pPr>
              <w:jc w:val="center"/>
            </w:pPr>
            <w:r>
              <w:rPr>
                <w:rFonts w:ascii="Calibri" w:cs="Calibri" w:eastAsia="Calibri" w:hAnsi="Calibri"/>
                <w:b/>
                <w:bCs/>
                <w:color w:val="FFFFFF"/>
                <w:sz w:val="16"/>
                <w:szCs w:val="16"/>
              </w:rPr>
              <w:t xml:space="preserve">Focus on J&amp;P, tap into RC</w:t>
            </w:r>
          </w:p>
        </w:tc>
        <w:tc>
          <w:tcPr>
            <w:tcW w:type="dxa" w:w="4400"/>
            <w:tcBorders>
              <w:top w:val="single" w:color="000000" w:sz="4"/>
              <w:left w:val="single" w:color="000000" w:sz="4"/>
              <w:bottom w:val="single" w:color="000000" w:sz="4"/>
              <w:right w:val="single" w:color="000000" w:sz="4"/>
            </w:tcBorders>
            <w:tcMar>
              <w:top w:type="dxa" w:w="110"/>
              <w:left w:type="dxa" w:w="140"/>
              <w:bottom w:type="dxa" w:w="110"/>
              <w:right w:type="dxa" w:w="140"/>
            </w:tcMar>
            <w:vAlign w:val="top"/>
          </w:tcPr>
          <w:p>
            <w:pPr>
              <w:spacing w:after="60"/>
            </w:pPr>
            <w:r>
              <w:rPr>
                <w:rFonts w:ascii="Calibri" w:cs="Calibri" w:eastAsia="Calibri" w:hAnsi="Calibri"/>
                <w:b/>
                <w:bCs/>
                <w:color w:val="EA580C"/>
                <w:sz w:val="18"/>
                <w:szCs w:val="18"/>
              </w:rPr>
              <w:t xml:space="preserve">2. JOBS-TO-BE-DONE / PROBLEMS</w:t>
            </w:r>
          </w:p>
          <w:p>
            <w:pPr>
              <w:spacing w:after="90"/>
            </w:pPr>
            <w:r>
              <w:rPr>
                <w:rFonts w:ascii="Calibri" w:cs="Calibri" w:eastAsia="Calibri" w:hAnsi="Calibri"/>
                <w:i/>
                <w:iCs/>
                <w:color w:val="6B7280"/>
                <w:sz w:val="14"/>
                <w:szCs w:val="14"/>
              </w:rPr>
              <w:t xml:space="preserve">Which jobs-to-be-done (or problems) do you address for your customers?</w:t>
            </w:r>
          </w:p>
          <w:p>
            <w:pPr>
              <w:pStyle w:val="ListParagraph"/>
              <w:numPr>
                <w:ilvl w:val="0"/>
                <w:numId w:val="2"/>
              </w:numPr>
              <w:spacing w:after="40"/>
            </w:pPr>
            <w:r>
              <w:rPr>
                <w:rFonts w:ascii="Calibri" w:cs="Calibri" w:eastAsia="Calibri" w:hAnsi="Calibri"/>
                <w:sz w:val="16"/>
                <w:szCs w:val="16"/>
              </w:rPr>
              <w:t xml:space="preserve">Demonstrate and verify genuine understanding of a concept through a spoken explanation.</w:t>
            </w:r>
          </w:p>
          <w:p>
            <w:pPr>
              <w:pStyle w:val="ListParagraph"/>
              <w:numPr>
                <w:ilvl w:val="0"/>
                <w:numId w:val="2"/>
              </w:numPr>
              <w:spacing w:after="40"/>
            </w:pPr>
            <w:r>
              <w:rPr>
                <w:rFonts w:ascii="Calibri" w:cs="Calibri" w:eastAsia="Calibri" w:hAnsi="Calibri"/>
                <w:sz w:val="16"/>
                <w:szCs w:val="16"/>
              </w:rPr>
              <w:t xml:space="preserve">Evaluate spoken responses consistently, quickly, and at scale against a reference standard.</w:t>
            </w:r>
          </w:p>
        </w:tc>
        <w:tc>
          <w:tcPr>
            <w:tcW w:type="dxa" w:w="4400"/>
            <w:tcBorders>
              <w:top w:val="single" w:color="000000" w:sz="4"/>
              <w:left w:val="single" w:color="000000" w:sz="4"/>
              <w:bottom w:val="single" w:color="000000" w:sz="4"/>
              <w:right w:val="single" w:color="000000" w:sz="4"/>
            </w:tcBorders>
            <w:tcMar>
              <w:top w:type="dxa" w:w="110"/>
              <w:left w:type="dxa" w:w="140"/>
              <w:bottom w:type="dxa" w:w="110"/>
              <w:right w:type="dxa" w:w="140"/>
            </w:tcMar>
            <w:vAlign w:val="top"/>
          </w:tcPr>
          <w:p>
            <w:pPr>
              <w:spacing w:after="60"/>
            </w:pPr>
            <w:r>
              <w:rPr>
                <w:rFonts w:ascii="Calibri" w:cs="Calibri" w:eastAsia="Calibri" w:hAnsi="Calibri"/>
                <w:b/>
                <w:bCs/>
                <w:color w:val="EA580C"/>
                <w:sz w:val="18"/>
                <w:szCs w:val="18"/>
              </w:rPr>
              <w:t xml:space="preserve">9. PROBLEM ROOT CAUSE</w:t>
            </w:r>
          </w:p>
          <w:p>
            <w:pPr>
              <w:spacing w:after="90"/>
            </w:pPr>
            <w:r>
              <w:rPr>
                <w:rFonts w:ascii="Calibri" w:cs="Calibri" w:eastAsia="Calibri" w:hAnsi="Calibri"/>
                <w:i/>
                <w:iCs/>
                <w:color w:val="6B7280"/>
                <w:sz w:val="14"/>
                <w:szCs w:val="14"/>
              </w:rPr>
              <w:t xml:space="preserve">What is the real reason this problem exists?</w:t>
            </w:r>
          </w:p>
          <w:p>
            <w:pPr>
              <w:pStyle w:val="ListParagraph"/>
              <w:numPr>
                <w:ilvl w:val="0"/>
                <w:numId w:val="2"/>
              </w:numPr>
              <w:spacing w:after="40"/>
            </w:pPr>
            <w:r>
              <w:rPr>
                <w:rFonts w:ascii="Calibri" w:cs="Calibri" w:eastAsia="Calibri" w:hAnsi="Calibri"/>
                <w:sz w:val="16"/>
                <w:szCs w:val="16"/>
              </w:rPr>
              <w:t xml:space="preserve">Manual evaluation of spoken responses does not scale with class size or submission volume.</w:t>
            </w:r>
          </w:p>
          <w:p>
            <w:pPr>
              <w:pStyle w:val="ListParagraph"/>
              <w:numPr>
                <w:ilvl w:val="0"/>
                <w:numId w:val="2"/>
              </w:numPr>
              <w:spacing w:after="40"/>
            </w:pPr>
            <w:r>
              <w:rPr>
                <w:rFonts w:ascii="Calibri" w:cs="Calibri" w:eastAsia="Calibri" w:hAnsi="Calibri"/>
                <w:sz w:val="16"/>
                <w:szCs w:val="16"/>
              </w:rPr>
              <w:t xml:space="preserve">No lightweight existing tool combines speech transcription with reference-based semantic scoring for spoken conceptual answers.</w:t>
            </w:r>
          </w:p>
          <w:p>
            <w:pPr>
              <w:pStyle w:val="ListParagraph"/>
              <w:numPr>
                <w:ilvl w:val="0"/>
                <w:numId w:val="2"/>
              </w:numPr>
              <w:spacing w:after="40"/>
            </w:pPr>
            <w:r>
              <w:rPr>
                <w:rFonts w:ascii="Calibri" w:cs="Calibri" w:eastAsia="Calibri" w:hAnsi="Calibri"/>
                <w:sz w:val="16"/>
                <w:szCs w:val="16"/>
              </w:rPr>
              <w:t xml:space="preserve">Self-assessment of a spoken explanation is inherently difficult without an objective point of comparison.</w:t>
            </w:r>
          </w:p>
        </w:tc>
        <w:tc>
          <w:tcPr>
            <w:tcW w:type="dxa" w:w="4400"/>
            <w:tcBorders>
              <w:top w:val="single" w:color="000000" w:sz="4"/>
              <w:left w:val="single" w:color="000000" w:sz="4"/>
              <w:bottom w:val="single" w:color="000000" w:sz="4"/>
              <w:right w:val="single" w:color="000000" w:sz="4"/>
            </w:tcBorders>
            <w:tcMar>
              <w:top w:type="dxa" w:w="110"/>
              <w:left w:type="dxa" w:w="140"/>
              <w:bottom w:type="dxa" w:w="110"/>
              <w:right w:type="dxa" w:w="140"/>
            </w:tcMar>
            <w:vAlign w:val="top"/>
          </w:tcPr>
          <w:p>
            <w:pPr>
              <w:spacing w:after="60"/>
            </w:pPr>
            <w:r>
              <w:rPr>
                <w:rFonts w:ascii="Calibri" w:cs="Calibri" w:eastAsia="Calibri" w:hAnsi="Calibri"/>
                <w:b/>
                <w:bCs/>
                <w:color w:val="EA580C"/>
                <w:sz w:val="18"/>
                <w:szCs w:val="18"/>
              </w:rPr>
              <w:t xml:space="preserve">7. BEHAVIOUR</w:t>
            </w:r>
          </w:p>
          <w:p>
            <w:pPr>
              <w:spacing w:after="90"/>
            </w:pPr>
            <w:r>
              <w:rPr>
                <w:rFonts w:ascii="Calibri" w:cs="Calibri" w:eastAsia="Calibri" w:hAnsi="Calibri"/>
                <w:i/>
                <w:iCs/>
                <w:color w:val="6B7280"/>
                <w:sz w:val="14"/>
                <w:szCs w:val="14"/>
              </w:rPr>
              <w:t xml:space="preserve">What does your customer do to address the problem and get the job done?</w:t>
            </w:r>
          </w:p>
          <w:p>
            <w:pPr>
              <w:pStyle w:val="ListParagraph"/>
              <w:numPr>
                <w:ilvl w:val="0"/>
                <w:numId w:val="2"/>
              </w:numPr>
              <w:spacing w:after="40"/>
            </w:pPr>
            <w:r>
              <w:rPr>
                <w:rFonts w:ascii="Calibri" w:cs="Calibri" w:eastAsia="Calibri" w:hAnsi="Calibri"/>
                <w:sz w:val="16"/>
                <w:szCs w:val="16"/>
              </w:rPr>
              <w:t xml:space="preserve">Records a spoken explanation using a phone, laptop, or other personal device.</w:t>
            </w:r>
          </w:p>
          <w:p>
            <w:pPr>
              <w:pStyle w:val="ListParagraph"/>
              <w:numPr>
                <w:ilvl w:val="0"/>
                <w:numId w:val="2"/>
              </w:numPr>
              <w:spacing w:after="40"/>
            </w:pPr>
            <w:r>
              <w:rPr>
                <w:rFonts w:ascii="Calibri" w:cs="Calibri" w:eastAsia="Calibri" w:hAnsi="Calibri"/>
                <w:sz w:val="16"/>
                <w:szCs w:val="16"/>
              </w:rPr>
              <w:t xml:space="preserve">Re-reads notes and rehearses the answer before recording, sometimes taking multiple attempts.</w:t>
            </w:r>
          </w:p>
          <w:p>
            <w:pPr>
              <w:pStyle w:val="ListParagraph"/>
              <w:numPr>
                <w:ilvl w:val="0"/>
                <w:numId w:val="2"/>
              </w:numPr>
              <w:spacing w:after="40"/>
            </w:pPr>
            <w:r>
              <w:rPr>
                <w:rFonts w:ascii="Calibri" w:cs="Calibri" w:eastAsia="Calibri" w:hAnsi="Calibri"/>
                <w:sz w:val="16"/>
                <w:szCs w:val="16"/>
              </w:rPr>
              <w:t xml:space="preserve">Asks peers or the instructor for informal, unstructured feedback.</w:t>
            </w:r>
          </w:p>
          <w:p>
            <w:pPr>
              <w:spacing w:after="40" w:before="80"/>
            </w:pPr>
            <w:r>
              <w:rPr>
                <w:rFonts w:ascii="Calibri" w:cs="Calibri" w:eastAsia="Calibri" w:hAnsi="Calibri"/>
                <w:b/>
                <w:bCs/>
                <w:sz w:val="15"/>
                <w:szCs w:val="15"/>
              </w:rPr>
              <w:t xml:space="preserve">Indirectly associated:</w:t>
            </w:r>
          </w:p>
          <w:p>
            <w:pPr>
              <w:pStyle w:val="ListParagraph"/>
              <w:numPr>
                <w:ilvl w:val="0"/>
                <w:numId w:val="2"/>
              </w:numPr>
              <w:spacing w:after="40"/>
            </w:pPr>
            <w:r>
              <w:rPr>
                <w:rFonts w:ascii="Calibri" w:cs="Calibri" w:eastAsia="Calibri" w:hAnsi="Calibri"/>
                <w:sz w:val="16"/>
                <w:szCs w:val="16"/>
              </w:rPr>
              <w:t xml:space="preserve">Reviews the assignment rubric to infer what is expected.</w:t>
            </w:r>
          </w:p>
        </w:tc>
        <w:tc>
          <w:tcPr>
            <w:tcW w:type="dxa" w:w="420"/>
            <w:tcBorders>
              <w:top w:val="single" w:color="000000" w:sz="4"/>
              <w:left w:val="single" w:color="000000" w:sz="4"/>
              <w:bottom w:val="single" w:color="000000" w:sz="4"/>
              <w:right w:val="single" w:color="000000" w:sz="4"/>
            </w:tcBorders>
            <w:shd w:fill="EA580C" w:color="auto" w:val="clear"/>
            <w:tcMar>
              <w:top w:type="dxa" w:w="120"/>
              <w:left w:type="dxa" w:w="80"/>
              <w:bottom w:type="dxa" w:w="120"/>
              <w:right w:type="dxa" w:w="80"/>
            </w:tcMar>
            <w:textDirection w:val="btLr"/>
            <w:vAlign w:val="center"/>
          </w:tcPr>
          <w:p>
            <w:pPr>
              <w:jc w:val="center"/>
            </w:pPr>
            <w:r>
              <w:rPr>
                <w:rFonts w:ascii="Calibri" w:cs="Calibri" w:eastAsia="Calibri" w:hAnsi="Calibri"/>
                <w:b/>
                <w:bCs/>
                <w:color w:val="FFFFFF"/>
                <w:sz w:val="16"/>
                <w:szCs w:val="16"/>
              </w:rPr>
              <w:t xml:space="preserve">Focus on J&amp;P, tap into BE, understand RC</w:t>
            </w:r>
          </w:p>
        </w:tc>
      </w:tr>
      <w:tr>
        <w:tc>
          <w:tcPr>
            <w:tcW w:type="dxa" w:w="420"/>
            <w:vMerge w:val="restart"/>
            <w:tcBorders>
              <w:top w:val="single" w:color="000000" w:sz="4"/>
              <w:left w:val="single" w:color="000000" w:sz="4"/>
              <w:bottom w:val="single" w:color="000000" w:sz="4"/>
              <w:right w:val="single" w:color="000000" w:sz="4"/>
            </w:tcBorders>
            <w:shd w:fill="0D9488" w:color="auto" w:val="clear"/>
            <w:tcMar>
              <w:top w:type="dxa" w:w="120"/>
              <w:left w:type="dxa" w:w="80"/>
              <w:bottom w:type="dxa" w:w="120"/>
              <w:right w:type="dxa" w:w="80"/>
            </w:tcMar>
            <w:textDirection w:val="btLr"/>
            <w:vAlign w:val="center"/>
          </w:tcPr>
          <w:p>
            <w:pPr>
              <w:jc w:val="center"/>
            </w:pPr>
            <w:r>
              <w:rPr>
                <w:rFonts w:ascii="Calibri" w:cs="Calibri" w:eastAsia="Calibri" w:hAnsi="Calibri"/>
                <w:b/>
                <w:bCs/>
                <w:color w:val="FFFFFF"/>
                <w:sz w:val="16"/>
                <w:szCs w:val="16"/>
              </w:rPr>
              <w:t xml:space="preserve">Identify strong TR &amp; EM</w:t>
            </w:r>
          </w:p>
        </w:tc>
        <w:tc>
          <w:tcPr>
            <w:tcW w:type="dxa" w:w="4400"/>
            <w:tcBorders>
              <w:top w:val="single" w:color="000000" w:sz="4"/>
              <w:left w:val="single" w:color="000000" w:sz="4"/>
              <w:bottom w:val="single" w:color="000000" w:sz="4"/>
              <w:right w:val="single" w:color="000000" w:sz="4"/>
            </w:tcBorders>
            <w:tcMar>
              <w:top w:type="dxa" w:w="110"/>
              <w:left w:type="dxa" w:w="140"/>
              <w:bottom w:type="dxa" w:w="110"/>
              <w:right w:type="dxa" w:w="140"/>
            </w:tcMar>
            <w:vAlign w:val="top"/>
          </w:tcPr>
          <w:p>
            <w:pPr>
              <w:spacing w:after="60"/>
            </w:pPr>
            <w:r>
              <w:rPr>
                <w:rFonts w:ascii="Calibri" w:cs="Calibri" w:eastAsia="Calibri" w:hAnsi="Calibri"/>
                <w:b/>
                <w:bCs/>
                <w:color w:val="0D9488"/>
                <w:sz w:val="18"/>
                <w:szCs w:val="18"/>
              </w:rPr>
              <w:t xml:space="preserve">3. TRIGGERS</w:t>
            </w:r>
          </w:p>
          <w:p>
            <w:pPr>
              <w:spacing w:after="90"/>
            </w:pPr>
            <w:r>
              <w:rPr>
                <w:rFonts w:ascii="Calibri" w:cs="Calibri" w:eastAsia="Calibri" w:hAnsi="Calibri"/>
                <w:i/>
                <w:iCs/>
                <w:color w:val="6B7280"/>
                <w:sz w:val="14"/>
                <w:szCs w:val="14"/>
              </w:rPr>
              <w:t xml:space="preserve">What triggers customers to act?</w:t>
            </w:r>
          </w:p>
          <w:p>
            <w:pPr>
              <w:pStyle w:val="ListParagraph"/>
              <w:numPr>
                <w:ilvl w:val="0"/>
                <w:numId w:val="2"/>
              </w:numPr>
              <w:spacing w:after="40"/>
            </w:pPr>
            <w:r>
              <w:rPr>
                <w:rFonts w:ascii="Calibri" w:cs="Calibri" w:eastAsia="Calibri" w:hAnsi="Calibri"/>
                <w:sz w:val="16"/>
                <w:szCs w:val="16"/>
              </w:rPr>
              <w:t xml:space="preserve">An upcoming oral assessment, viva, or presentation.</w:t>
            </w:r>
          </w:p>
          <w:p>
            <w:pPr>
              <w:pStyle w:val="ListParagraph"/>
              <w:numPr>
                <w:ilvl w:val="0"/>
                <w:numId w:val="2"/>
              </w:numPr>
              <w:spacing w:after="40"/>
            </w:pPr>
            <w:r>
              <w:rPr>
                <w:rFonts w:ascii="Calibri" w:cs="Calibri" w:eastAsia="Calibri" w:hAnsi="Calibri"/>
                <w:sz w:val="16"/>
                <w:szCs w:val="16"/>
              </w:rPr>
              <w:t xml:space="preserve">An instructor assigning a “record your explanation” homework task or quiz.</w:t>
            </w:r>
          </w:p>
          <w:p>
            <w:pPr>
              <w:pStyle w:val="ListParagraph"/>
              <w:numPr>
                <w:ilvl w:val="0"/>
                <w:numId w:val="2"/>
              </w:numPr>
              <w:spacing w:after="40"/>
            </w:pPr>
            <w:r>
              <w:rPr>
                <w:rFonts w:ascii="Calibri" w:cs="Calibri" w:eastAsia="Calibri" w:hAnsi="Calibri"/>
                <w:sz w:val="16"/>
                <w:szCs w:val="16"/>
              </w:rPr>
              <w:t xml:space="preserve">Wanting to self-check understanding before a graded exam.</w:t>
            </w:r>
          </w:p>
        </w:tc>
        <w:tc>
          <w:tcPr>
            <w:tcW w:type="dxa" w:w="4400"/>
            <w:vMerge w:val="restart"/>
            <w:tcBorders>
              <w:top w:val="single" w:color="000000" w:sz="4"/>
              <w:left w:val="single" w:color="000000" w:sz="4"/>
              <w:bottom w:val="single" w:color="000000" w:sz="4"/>
              <w:right w:val="single" w:color="000000" w:sz="4"/>
            </w:tcBorders>
            <w:tcMar>
              <w:top w:type="dxa" w:w="110"/>
              <w:left w:type="dxa" w:w="140"/>
              <w:bottom w:type="dxa" w:w="110"/>
              <w:right w:type="dxa" w:w="140"/>
            </w:tcMar>
            <w:vAlign w:val="top"/>
          </w:tcPr>
          <w:p>
            <w:pPr>
              <w:spacing w:after="60"/>
            </w:pPr>
            <w:r>
              <w:rPr>
                <w:rFonts w:ascii="Calibri" w:cs="Calibri" w:eastAsia="Calibri" w:hAnsi="Calibri"/>
                <w:b/>
                <w:bCs/>
                <w:color w:val="0D9488"/>
                <w:sz w:val="18"/>
                <w:szCs w:val="18"/>
              </w:rPr>
              <w:t xml:space="preserve">10. YOUR SOLUTION</w:t>
            </w:r>
          </w:p>
          <w:p>
            <w:pPr>
              <w:spacing w:after="90"/>
            </w:pPr>
            <w:r>
              <w:rPr>
                <w:rFonts w:ascii="Calibri" w:cs="Calibri" w:eastAsia="Calibri" w:hAnsi="Calibri"/>
                <w:i/>
                <w:iCs/>
                <w:color w:val="6B7280"/>
                <w:sz w:val="14"/>
                <w:szCs w:val="14"/>
              </w:rPr>
              <w:t xml:space="preserve">If you are working on an existing solution, write down your current solution first.</w:t>
            </w:r>
          </w:p>
          <w:p>
            <w:pPr>
              <w:pStyle w:val="ListParagraph"/>
              <w:numPr>
                <w:ilvl w:val="0"/>
                <w:numId w:val="2"/>
              </w:numPr>
              <w:spacing w:after="40"/>
            </w:pPr>
            <w:r>
              <w:rPr>
                <w:rFonts w:ascii="Calibri" w:cs="Calibri" w:eastAsia="Calibri" w:hAnsi="Calibri"/>
                <w:sz w:val="16"/>
                <w:szCs w:val="16"/>
              </w:rPr>
              <w:t xml:space="preserve">VBCUA transcribes a student's spoken explanation using OpenAI Whisper, compares it semantically to a stored reference answer using Sentence Transformers, and returns an instant percentage score, grade tier (Excellent / Good / Fair / Needs Improvement), and written feedback.</w:t>
            </w:r>
          </w:p>
          <w:p>
            <w:pPr>
              <w:pStyle w:val="ListParagraph"/>
              <w:numPr>
                <w:ilvl w:val="0"/>
                <w:numId w:val="2"/>
              </w:numPr>
              <w:spacing w:after="40"/>
            </w:pPr>
            <w:r>
              <w:rPr>
                <w:rFonts w:ascii="Calibri" w:cs="Calibri" w:eastAsia="Calibri" w:hAnsi="Calibri"/>
                <w:sz w:val="16"/>
                <w:szCs w:val="16"/>
              </w:rPr>
              <w:t xml:space="preserve">A downloadable PDF report captures the transcript, score, grade, and feedback for the student's or evaluator's records.</w:t>
            </w:r>
          </w:p>
          <w:p>
            <w:pPr>
              <w:pStyle w:val="ListParagraph"/>
              <w:numPr>
                <w:ilvl w:val="0"/>
                <w:numId w:val="2"/>
              </w:numPr>
              <w:spacing w:after="40"/>
            </w:pPr>
            <w:r>
              <w:rPr>
                <w:rFonts w:ascii="Calibri" w:cs="Calibri" w:eastAsia="Calibri" w:hAnsi="Calibri"/>
                <w:sz w:val="16"/>
                <w:szCs w:val="16"/>
              </w:rPr>
              <w:t xml:space="preserve">This removes the need for an instructor to manually listen to and grade every recording for a first-pass assessment, while giving students immediate, objective feedback.</w:t>
            </w:r>
          </w:p>
        </w:tc>
        <w:tc>
          <w:tcPr>
            <w:tcW w:type="dxa" w:w="4400"/>
            <w:vMerge w:val="restart"/>
            <w:tcBorders>
              <w:top w:val="single" w:color="000000" w:sz="4"/>
              <w:left w:val="single" w:color="000000" w:sz="4"/>
              <w:bottom w:val="single" w:color="000000" w:sz="4"/>
              <w:right w:val="single" w:color="000000" w:sz="4"/>
            </w:tcBorders>
            <w:tcMar>
              <w:top w:type="dxa" w:w="110"/>
              <w:left w:type="dxa" w:w="140"/>
              <w:bottom w:type="dxa" w:w="110"/>
              <w:right w:type="dxa" w:w="140"/>
            </w:tcMar>
            <w:vAlign w:val="top"/>
          </w:tcPr>
          <w:p>
            <w:pPr>
              <w:spacing w:after="60"/>
            </w:pPr>
            <w:r>
              <w:rPr>
                <w:rFonts w:ascii="Calibri" w:cs="Calibri" w:eastAsia="Calibri" w:hAnsi="Calibri"/>
                <w:b/>
                <w:bCs/>
                <w:color w:val="0D9488"/>
                <w:sz w:val="18"/>
                <w:szCs w:val="18"/>
              </w:rPr>
              <w:t xml:space="preserve">8. CHANNELS of BEHAVIOUR</w:t>
            </w:r>
          </w:p>
          <w:p>
            <w:pPr>
              <w:spacing w:after="90"/>
            </w:pPr>
            <w:r>
              <w:rPr>
                <w:rFonts w:ascii="Calibri" w:cs="Calibri" w:eastAsia="Calibri" w:hAnsi="Calibri"/>
                <w:i/>
                <w:iCs/>
                <w:color w:val="6B7280"/>
                <w:sz w:val="14"/>
                <w:szCs w:val="14"/>
              </w:rPr>
              <w:t xml:space="preserve">What kind of actions do customers take online / offline?</w:t>
            </w:r>
          </w:p>
          <w:p>
            <w:pPr>
              <w:spacing w:after="40" w:before="80"/>
            </w:pPr>
            <w:r>
              <w:rPr>
                <w:rFonts w:ascii="Calibri" w:cs="Calibri" w:eastAsia="Calibri" w:hAnsi="Calibri"/>
                <w:b/>
                <w:bCs/>
                <w:sz w:val="15"/>
                <w:szCs w:val="15"/>
              </w:rPr>
              <w:t xml:space="preserve">8.1 Online</w:t>
            </w:r>
          </w:p>
          <w:p>
            <w:pPr>
              <w:pStyle w:val="ListParagraph"/>
              <w:numPr>
                <w:ilvl w:val="0"/>
                <w:numId w:val="2"/>
              </w:numPr>
              <w:spacing w:after="40"/>
            </w:pPr>
            <w:r>
              <w:rPr>
                <w:rFonts w:ascii="Calibri" w:cs="Calibri" w:eastAsia="Calibri" w:hAnsi="Calibri"/>
                <w:sz w:val="16"/>
                <w:szCs w:val="16"/>
              </w:rPr>
              <w:t xml:space="preserve">Course LMS submission portals.</w:t>
            </w:r>
          </w:p>
          <w:p>
            <w:pPr>
              <w:pStyle w:val="ListParagraph"/>
              <w:numPr>
                <w:ilvl w:val="0"/>
                <w:numId w:val="2"/>
              </w:numPr>
              <w:spacing w:after="40"/>
            </w:pPr>
            <w:r>
              <w:rPr>
                <w:rFonts w:ascii="Calibri" w:cs="Calibri" w:eastAsia="Calibri" w:hAnsi="Calibri"/>
                <w:sz w:val="16"/>
                <w:szCs w:val="16"/>
              </w:rPr>
              <w:t xml:space="preserve">Email submission of audio files to instructors.</w:t>
            </w:r>
          </w:p>
          <w:p>
            <w:pPr>
              <w:pStyle w:val="ListParagraph"/>
              <w:numPr>
                <w:ilvl w:val="0"/>
                <w:numId w:val="2"/>
              </w:numPr>
              <w:spacing w:after="40"/>
            </w:pPr>
            <w:r>
              <w:rPr>
                <w:rFonts w:ascii="Calibri" w:cs="Calibri" w:eastAsia="Calibri" w:hAnsi="Calibri"/>
                <w:sz w:val="16"/>
                <w:szCs w:val="16"/>
              </w:rPr>
              <w:t xml:space="preserve">General-purpose audio recording and transcription apps.</w:t>
            </w:r>
          </w:p>
          <w:p>
            <w:pPr>
              <w:spacing w:after="40" w:before="80"/>
            </w:pPr>
            <w:r>
              <w:rPr>
                <w:rFonts w:ascii="Calibri" w:cs="Calibri" w:eastAsia="Calibri" w:hAnsi="Calibri"/>
                <w:b/>
                <w:bCs/>
                <w:sz w:val="15"/>
                <w:szCs w:val="15"/>
              </w:rPr>
              <w:t xml:space="preserve">8.2 Offline</w:t>
            </w:r>
          </w:p>
          <w:p>
            <w:pPr>
              <w:pStyle w:val="ListParagraph"/>
              <w:numPr>
                <w:ilvl w:val="0"/>
                <w:numId w:val="2"/>
              </w:numPr>
              <w:spacing w:after="40"/>
            </w:pPr>
            <w:r>
              <w:rPr>
                <w:rFonts w:ascii="Calibri" w:cs="Calibri" w:eastAsia="Calibri" w:hAnsi="Calibri"/>
                <w:sz w:val="16"/>
                <w:szCs w:val="16"/>
              </w:rPr>
              <w:t xml:space="preserve">In-class oral presentations, vivas, or spoken quizzes.</w:t>
            </w:r>
          </w:p>
          <w:p>
            <w:pPr>
              <w:pStyle w:val="ListParagraph"/>
              <w:numPr>
                <w:ilvl w:val="0"/>
                <w:numId w:val="2"/>
              </w:numPr>
              <w:spacing w:after="40"/>
            </w:pPr>
            <w:r>
              <w:rPr>
                <w:rFonts w:ascii="Calibri" w:cs="Calibri" w:eastAsia="Calibri" w:hAnsi="Calibri"/>
                <w:sz w:val="16"/>
                <w:szCs w:val="16"/>
              </w:rPr>
              <w:t xml:space="preserve">Face-to-face office hours with the instructor.</w:t>
            </w:r>
          </w:p>
        </w:tc>
        <w:tc>
          <w:tcPr>
            <w:tcW w:type="dxa" w:w="420"/>
            <w:vMerge w:val="restart"/>
            <w:tcBorders>
              <w:top w:val="single" w:color="000000" w:sz="4"/>
              <w:left w:val="single" w:color="000000" w:sz="4"/>
              <w:bottom w:val="single" w:color="000000" w:sz="4"/>
              <w:right w:val="single" w:color="000000" w:sz="4"/>
            </w:tcBorders>
            <w:shd w:fill="0D9488" w:color="auto" w:val="clear"/>
            <w:tcMar>
              <w:top w:type="dxa" w:w="120"/>
              <w:left w:type="dxa" w:w="80"/>
              <w:bottom w:type="dxa" w:w="120"/>
              <w:right w:type="dxa" w:w="80"/>
            </w:tcMar>
            <w:textDirection w:val="btLr"/>
            <w:vAlign w:val="center"/>
          </w:tcPr>
          <w:p>
            <w:pPr>
              <w:jc w:val="center"/>
            </w:pPr>
            <w:r>
              <w:rPr>
                <w:rFonts w:ascii="Calibri" w:cs="Calibri" w:eastAsia="Calibri" w:hAnsi="Calibri"/>
                <w:b/>
                <w:bCs/>
                <w:color w:val="FFFFFF"/>
                <w:sz w:val="16"/>
                <w:szCs w:val="16"/>
              </w:rPr>
              <w:t xml:space="preserve">Extract online &amp; offline CH of BE</w:t>
            </w:r>
          </w:p>
        </w:tc>
      </w:tr>
      <w:tr>
        <w:tc>
          <w:tcPr>
            <w:vMerge w:val="continue"/>
            <w:tcBorders>
              <w:top w:val="single" w:color="000000" w:sz="4"/>
              <w:left w:val="single" w:color="000000" w:sz="4"/>
              <w:bottom w:val="single" w:color="000000" w:sz="4"/>
              <w:right w:val="single" w:color="000000" w:sz="4"/>
            </w:tcBorders>
          </w:tcPr>
          <w:p/>
        </w:tc>
        <w:tc>
          <w:tcPr>
            <w:tcW w:type="dxa" w:w="4400"/>
            <w:tcBorders>
              <w:top w:val="single" w:color="000000" w:sz="4"/>
              <w:left w:val="single" w:color="000000" w:sz="4"/>
              <w:bottom w:val="single" w:color="000000" w:sz="4"/>
              <w:right w:val="single" w:color="000000" w:sz="4"/>
            </w:tcBorders>
            <w:tcMar>
              <w:top w:type="dxa" w:w="110"/>
              <w:left w:type="dxa" w:w="140"/>
              <w:bottom w:type="dxa" w:w="110"/>
              <w:right w:type="dxa" w:w="140"/>
            </w:tcMar>
            <w:vAlign w:val="top"/>
          </w:tcPr>
          <w:p>
            <w:pPr>
              <w:spacing w:after="60"/>
            </w:pPr>
            <w:r>
              <w:rPr>
                <w:rFonts w:ascii="Calibri" w:cs="Calibri" w:eastAsia="Calibri" w:hAnsi="Calibri"/>
                <w:b/>
                <w:bCs/>
                <w:color w:val="0D9488"/>
                <w:sz w:val="18"/>
                <w:szCs w:val="18"/>
              </w:rPr>
              <w:t xml:space="preserve">4. EMOTIONS: BEFORE / AFTER</w:t>
            </w:r>
          </w:p>
          <w:p>
            <w:pPr>
              <w:spacing w:after="90"/>
            </w:pPr>
            <w:r>
              <w:rPr>
                <w:rFonts w:ascii="Calibri" w:cs="Calibri" w:eastAsia="Calibri" w:hAnsi="Calibri"/>
                <w:i/>
                <w:iCs/>
                <w:color w:val="6B7280"/>
                <w:sz w:val="14"/>
                <w:szCs w:val="14"/>
              </w:rPr>
              <w:t xml:space="preserve">How do customers feel when they face a problem or job, and afterwards?</w:t>
            </w:r>
          </w:p>
          <w:p>
            <w:pPr>
              <w:pStyle w:val="ListParagraph"/>
              <w:numPr>
                <w:ilvl w:val="0"/>
                <w:numId w:val="2"/>
              </w:numPr>
              <w:spacing w:after="40"/>
            </w:pPr>
            <w:r>
              <w:rPr>
                <w:rFonts w:ascii="Calibri" w:cs="Calibri" w:eastAsia="Calibri" w:hAnsi="Calibri"/>
                <w:sz w:val="16"/>
                <w:szCs w:val="16"/>
              </w:rPr>
              <w:t xml:space="preserve">Before: anxious and uncertain about their own understanding; unsure how a spoken answer will be judged.</w:t>
            </w:r>
          </w:p>
          <w:p>
            <w:pPr>
              <w:pStyle w:val="ListParagraph"/>
              <w:numPr>
                <w:ilvl w:val="0"/>
                <w:numId w:val="2"/>
              </w:numPr>
              <w:spacing w:after="40"/>
            </w:pPr>
            <w:r>
              <w:rPr>
                <w:rFonts w:ascii="Calibri" w:cs="Calibri" w:eastAsia="Calibri" w:hAnsi="Calibri"/>
                <w:sz w:val="16"/>
                <w:szCs w:val="16"/>
              </w:rPr>
              <w:t xml:space="preserve">After (using VBCUA): reassured by an objective score, more in control of their preparation, and motivated to re-practise.</w:t>
            </w:r>
          </w:p>
          <w:p>
            <w:pPr>
              <w:pStyle w:val="ListParagraph"/>
              <w:numPr>
                <w:ilvl w:val="0"/>
                <w:numId w:val="2"/>
              </w:numPr>
              <w:spacing w:after="40"/>
            </w:pPr>
            <w:r>
              <w:rPr>
                <w:rFonts w:ascii="Calibri" w:cs="Calibri" w:eastAsia="Calibri" w:hAnsi="Calibri"/>
                <w:sz w:val="16"/>
                <w:szCs w:val="16"/>
              </w:rPr>
              <w:t xml:space="preserve">For evaluators: relieved of repetitive manual grading and more confident in consistent scoring across students.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bl>
    <w:p>
      <w:pPr>
        <w:spacing w:after="100" w:before="260"/>
      </w:pPr>
      <w:r>
        <w:rPr>
          <w:rFonts w:ascii="Calibri" w:cs="Calibri" w:eastAsia="Calibri" w:hAnsi="Calibri"/>
          <w:b/>
          <w:bCs/>
          <w:sz w:val="21"/>
          <w:szCs w:val="21"/>
        </w:rPr>
        <w:t xml:space="preserve">References:</w:t>
      </w:r>
    </w:p>
    <w:p>
      <w:pPr>
        <w:spacing w:after="60"/>
      </w:pPr>
      <w:r>
        <w:rPr>
          <w:rFonts w:ascii="Calibri" w:cs="Calibri" w:eastAsia="Calibri" w:hAnsi="Calibri"/>
          <w:sz w:val="20"/>
          <w:szCs w:val="20"/>
        </w:rPr>
        <w:t xml:space="preserve">1. </w:t>
      </w:r>
      <w:hyperlink w:history="1" r:id="rIdrai5jnlcsmar0dicfndag">
        <w:r>
          <w:rPr>
            <w:rStyle w:val="Hyperlink"/>
            <w:rFonts w:ascii="Calibri" w:cs="Calibri" w:eastAsia="Calibri" w:hAnsi="Calibri"/>
            <w:sz w:val="20"/>
            <w:szCs w:val="20"/>
          </w:rPr>
          <w:t xml:space="preserve">https://www.ideahackers.network/problem-solution-fit-canvas/</w:t>
        </w:r>
      </w:hyperlink>
    </w:p>
    <w:p>
      <w:pPr>
        <w:spacing w:after="60"/>
      </w:pPr>
      <w:r>
        <w:rPr>
          <w:rFonts w:ascii="Calibri" w:cs="Calibri" w:eastAsia="Calibri" w:hAnsi="Calibri"/>
          <w:sz w:val="20"/>
          <w:szCs w:val="20"/>
        </w:rPr>
        <w:t xml:space="preserve">2. </w:t>
      </w:r>
      <w:hyperlink w:history="1" r:id="rId_ijpvobqjluaxikx8djk9">
        <w:r>
          <w:rPr>
            <w:rStyle w:val="Hyperlink"/>
            <w:rFonts w:ascii="Calibri" w:cs="Calibri" w:eastAsia="Calibri" w:hAnsi="Calibri"/>
            <w:sz w:val="20"/>
            <w:szCs w:val="20"/>
          </w:rPr>
          <w:t xml:space="preserve">https://medium.com/@epicantus/problem-solution-fit-canvas-aa3dd59cb4fe</w:t>
        </w:r>
      </w:hyperlink>
    </w:p>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1" w:hanging="20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ai5jnlcsmar0dicfndag" Type="http://schemas.openxmlformats.org/officeDocument/2006/relationships/hyperlink" Target="https://www.ideahackers.network/problem-solution-fit-canvas/" TargetMode="External"/><Relationship Id="rId_ijpvobqjluaxikx8djk9" Type="http://schemas.openxmlformats.org/officeDocument/2006/relationships/hyperlink" Target="https://medium.com/@epicantus/problem-solution-fit-canvas-aa3dd59cb4f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2026-07-13T02:34:56.319Z</dcterms:created>
  <dcterms:modified xsi:type="dcterms:W3CDTF">2026-07-13T02:34:56.331Z</dcterms:modified>
</cp:coreProperties>
</file>

<file path=docProps/custom.xml><?xml version="1.0" encoding="utf-8"?>
<Properties xmlns="http://schemas.openxmlformats.org/officeDocument/2006/custom-properties" xmlns:vt="http://schemas.openxmlformats.org/officeDocument/2006/docPropsVTypes"/>
</file>